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56C05" w14:textId="59DCF5E4" w:rsidR="004D031A" w:rsidRDefault="00FA55DB" w:rsidP="00824C50">
      <w:bookmarkStart w:id="0" w:name="_Hlk160030978"/>
      <w:bookmarkEnd w:id="0"/>
      <w:r w:rsidRPr="003A666E">
        <w:rPr>
          <w:noProof/>
          <w:lang w:eastAsia="sv-SE"/>
        </w:rPr>
        <mc:AlternateContent>
          <mc:Choice Requires="wps">
            <w:drawing>
              <wp:anchor distT="0" distB="0" distL="114300" distR="114300" simplePos="0" relativeHeight="251652096" behindDoc="1" locked="0" layoutInCell="1" allowOverlap="1" wp14:anchorId="6C0292E5" wp14:editId="40A93293">
                <wp:simplePos x="0" y="0"/>
                <wp:positionH relativeFrom="page">
                  <wp:posOffset>365379</wp:posOffset>
                </wp:positionH>
                <wp:positionV relativeFrom="paragraph">
                  <wp:posOffset>-136728</wp:posOffset>
                </wp:positionV>
                <wp:extent cx="6807835" cy="6442837"/>
                <wp:effectExtent l="0" t="0" r="0" b="0"/>
                <wp:wrapNone/>
                <wp:docPr id="4" name="Bild 3"/>
                <wp:cNvGraphicFramePr/>
                <a:graphic xmlns:a="http://schemas.openxmlformats.org/drawingml/2006/main">
                  <a:graphicData uri="http://schemas.microsoft.com/office/word/2010/wordprocessingShape">
                    <wps:wsp>
                      <wps:cNvSpPr/>
                      <wps:spPr>
                        <a:xfrm>
                          <a:off x="0" y="0"/>
                          <a:ext cx="6807835" cy="6442837"/>
                        </a:xfrm>
                        <a:custGeom>
                          <a:avLst/>
                          <a:gdLst>
                            <a:gd name="connsiteX0" fmla="*/ 7144 w 4848225"/>
                            <a:gd name="connsiteY0" fmla="*/ 4373404 h 5324475"/>
                            <a:gd name="connsiteX1" fmla="*/ 4843939 w 4848225"/>
                            <a:gd name="connsiteY1" fmla="*/ 4842034 h 5324475"/>
                            <a:gd name="connsiteX2" fmla="*/ 4843939 w 4848225"/>
                            <a:gd name="connsiteY2" fmla="*/ 7144 h 5324475"/>
                            <a:gd name="connsiteX3" fmla="*/ 7144 w 4848225"/>
                            <a:gd name="connsiteY3" fmla="*/ 7144 h 5324475"/>
                            <a:gd name="connsiteX4" fmla="*/ 7144 w 4848225"/>
                            <a:gd name="connsiteY4" fmla="*/ 4373404 h 53244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48225" h="5324475">
                              <a:moveTo>
                                <a:pt x="7144" y="4373404"/>
                              </a:moveTo>
                              <a:cubicBezTo>
                                <a:pt x="7144" y="4373404"/>
                                <a:pt x="2845594" y="6138387"/>
                                <a:pt x="4843939" y="4842034"/>
                              </a:cubicBezTo>
                              <a:lnTo>
                                <a:pt x="4843939" y="7144"/>
                              </a:lnTo>
                              <a:lnTo>
                                <a:pt x="7144" y="7144"/>
                              </a:lnTo>
                              <a:lnTo>
                                <a:pt x="7144" y="4373404"/>
                              </a:lnTo>
                              <a:close/>
                            </a:path>
                          </a:pathLst>
                        </a:custGeom>
                        <a:solidFill>
                          <a:srgbClr val="00A6E2"/>
                        </a:solidFill>
                        <a:ln w="9525" cap="flat">
                          <a:noFill/>
                          <a:prstDash val="solid"/>
                          <a:miter/>
                        </a:ln>
                      </wps:spPr>
                      <wps:txbx>
                        <w:txbxContent>
                          <w:p w14:paraId="47D7BA7A" w14:textId="77777777" w:rsidR="00FA55DB" w:rsidRDefault="00FA55DB" w:rsidP="00FA55DB">
                            <w:pPr>
                              <w:ind w:left="2608"/>
                              <w:jc w:val="center"/>
                              <w:rPr>
                                <w:b/>
                                <w:bCs/>
                                <w:color w:val="FFFFFF" w:themeColor="background1"/>
                                <w:sz w:val="72"/>
                                <w:szCs w:val="72"/>
                              </w:rPr>
                            </w:pPr>
                            <w:r w:rsidRPr="00CF3178">
                              <w:rPr>
                                <w:b/>
                                <w:bCs/>
                                <w:color w:val="FFFFFF" w:themeColor="background1"/>
                                <w:sz w:val="72"/>
                                <w:szCs w:val="72"/>
                              </w:rPr>
                              <w:t>Bakgrundsmaterial</w:t>
                            </w:r>
                            <w:r>
                              <w:rPr>
                                <w:b/>
                                <w:bCs/>
                                <w:color w:val="FFFFFF" w:themeColor="background1"/>
                                <w:sz w:val="72"/>
                                <w:szCs w:val="72"/>
                              </w:rPr>
                              <w:t xml:space="preserve"> till</w:t>
                            </w:r>
                            <w:r>
                              <w:rPr>
                                <w:b/>
                                <w:bCs/>
                                <w:color w:val="FFFFFF" w:themeColor="background1"/>
                                <w:sz w:val="72"/>
                                <w:szCs w:val="72"/>
                              </w:rPr>
                              <w:br/>
                            </w:r>
                          </w:p>
                          <w:p w14:paraId="3A19C731" w14:textId="77752614" w:rsidR="00FA55DB" w:rsidRDefault="00FA55DB" w:rsidP="00FA55DB">
                            <w:pPr>
                              <w:ind w:left="2608"/>
                              <w:jc w:val="center"/>
                              <w:rPr>
                                <w:b/>
                                <w:bCs/>
                                <w:color w:val="FFFFFF" w:themeColor="background1"/>
                                <w:sz w:val="72"/>
                                <w:szCs w:val="72"/>
                              </w:rPr>
                            </w:pPr>
                            <w:r w:rsidRPr="00CF3178">
                              <w:rPr>
                                <w:b/>
                                <w:bCs/>
                                <w:color w:val="FFFFFF" w:themeColor="background1"/>
                                <w:sz w:val="72"/>
                                <w:szCs w:val="72"/>
                              </w:rPr>
                              <w:t xml:space="preserve">Rekommenderade </w:t>
                            </w:r>
                            <w:r>
                              <w:rPr>
                                <w:b/>
                                <w:bCs/>
                                <w:color w:val="FFFFFF" w:themeColor="background1"/>
                                <w:sz w:val="72"/>
                                <w:szCs w:val="72"/>
                              </w:rPr>
                              <w:br/>
                            </w:r>
                            <w:r w:rsidRPr="00CF3178">
                              <w:rPr>
                                <w:b/>
                                <w:bCs/>
                                <w:color w:val="FFFFFF" w:themeColor="background1"/>
                                <w:sz w:val="72"/>
                                <w:szCs w:val="72"/>
                              </w:rPr>
                              <w:t>läkemedel 202</w:t>
                            </w:r>
                            <w:r w:rsidR="00B232DC">
                              <w:rPr>
                                <w:b/>
                                <w:bCs/>
                                <w:color w:val="FFFFFF" w:themeColor="background1"/>
                                <w:sz w:val="72"/>
                                <w:szCs w:val="72"/>
                              </w:rPr>
                              <w:t>6</w:t>
                            </w:r>
                            <w:r w:rsidRPr="00CF3178">
                              <w:rPr>
                                <w:b/>
                                <w:bCs/>
                                <w:color w:val="FFFFFF" w:themeColor="background1"/>
                                <w:sz w:val="72"/>
                                <w:szCs w:val="72"/>
                              </w:rPr>
                              <w:t xml:space="preserve"> </w:t>
                            </w:r>
                          </w:p>
                          <w:p w14:paraId="09FB79B9" w14:textId="77777777" w:rsidR="00FA55DB" w:rsidRPr="00FA506D" w:rsidRDefault="00FA55DB" w:rsidP="00FA55DB">
                            <w:pPr>
                              <w:rPr>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292E5" id="Bild 3" o:spid="_x0000_s1026" style="position:absolute;margin-left:28.75pt;margin-top:-10.75pt;width:536.05pt;height:507.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848225,5324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" adj="-11796480,,5400" path="m7144,4373404v,,2838450,1764983,4836795,468630l4843939,7144,7144,7144r,4366260xe" fillcolor="#00a6e2" stroked="f">
                <v:stroke joinstyle="miter"/>
                <v:formulas/>
                <v:path arrowok="t" o:connecttype="custom" o:connectlocs="10032,5292001;6801817,5859063;6801817,8645;10032,8645;10032,5292001" o:connectangles="0,0,0,0,0" textboxrect="0,0,4848225,5324475"/>
                <v:textbox>
                  <w:txbxContent>
                    <w:p w14:paraId="47D7BA7A" w14:textId="77777777" w:rsidR="00FA55DB" w:rsidRDefault="00FA55DB" w:rsidP="00FA55DB">
                      <w:pPr>
                        <w:ind w:left="2608"/>
                        <w:jc w:val="center"/>
                        <w:rPr>
                          <w:b/>
                          <w:bCs/>
                          <w:color w:val="FFFFFF" w:themeColor="background1"/>
                          <w:sz w:val="72"/>
                          <w:szCs w:val="72"/>
                        </w:rPr>
                      </w:pPr>
                      <w:r w:rsidRPr="00CF3178">
                        <w:rPr>
                          <w:b/>
                          <w:bCs/>
                          <w:color w:val="FFFFFF" w:themeColor="background1"/>
                          <w:sz w:val="72"/>
                          <w:szCs w:val="72"/>
                        </w:rPr>
                        <w:t>Bakgrundsmaterial</w:t>
                      </w:r>
                      <w:r>
                        <w:rPr>
                          <w:b/>
                          <w:bCs/>
                          <w:color w:val="FFFFFF" w:themeColor="background1"/>
                          <w:sz w:val="72"/>
                          <w:szCs w:val="72"/>
                        </w:rPr>
                        <w:t xml:space="preserve"> till</w:t>
                      </w:r>
                      <w:r>
                        <w:rPr>
                          <w:b/>
                          <w:bCs/>
                          <w:color w:val="FFFFFF" w:themeColor="background1"/>
                          <w:sz w:val="72"/>
                          <w:szCs w:val="72"/>
                        </w:rPr>
                        <w:br/>
                      </w:r>
                    </w:p>
                    <w:p w14:paraId="3A19C731" w14:textId="77752614" w:rsidR="00FA55DB" w:rsidRDefault="00FA55DB" w:rsidP="00FA55DB">
                      <w:pPr>
                        <w:ind w:left="2608"/>
                        <w:jc w:val="center"/>
                        <w:rPr>
                          <w:b/>
                          <w:bCs/>
                          <w:color w:val="FFFFFF" w:themeColor="background1"/>
                          <w:sz w:val="72"/>
                          <w:szCs w:val="72"/>
                        </w:rPr>
                      </w:pPr>
                      <w:r w:rsidRPr="00CF3178">
                        <w:rPr>
                          <w:b/>
                          <w:bCs/>
                          <w:color w:val="FFFFFF" w:themeColor="background1"/>
                          <w:sz w:val="72"/>
                          <w:szCs w:val="72"/>
                        </w:rPr>
                        <w:t xml:space="preserve">Rekommenderade </w:t>
                      </w:r>
                      <w:r>
                        <w:rPr>
                          <w:b/>
                          <w:bCs/>
                          <w:color w:val="FFFFFF" w:themeColor="background1"/>
                          <w:sz w:val="72"/>
                          <w:szCs w:val="72"/>
                        </w:rPr>
                        <w:br/>
                      </w:r>
                      <w:r w:rsidRPr="00CF3178">
                        <w:rPr>
                          <w:b/>
                          <w:bCs/>
                          <w:color w:val="FFFFFF" w:themeColor="background1"/>
                          <w:sz w:val="72"/>
                          <w:szCs w:val="72"/>
                        </w:rPr>
                        <w:t>läkemedel 202</w:t>
                      </w:r>
                      <w:r w:rsidR="00B232DC">
                        <w:rPr>
                          <w:b/>
                          <w:bCs/>
                          <w:color w:val="FFFFFF" w:themeColor="background1"/>
                          <w:sz w:val="72"/>
                          <w:szCs w:val="72"/>
                        </w:rPr>
                        <w:t>6</w:t>
                      </w:r>
                      <w:r w:rsidRPr="00CF3178">
                        <w:rPr>
                          <w:b/>
                          <w:bCs/>
                          <w:color w:val="FFFFFF" w:themeColor="background1"/>
                          <w:sz w:val="72"/>
                          <w:szCs w:val="72"/>
                        </w:rPr>
                        <w:t xml:space="preserve"> </w:t>
                      </w:r>
                    </w:p>
                    <w:p w14:paraId="09FB79B9" w14:textId="77777777" w:rsidR="00FA55DB" w:rsidRPr="00FA506D" w:rsidRDefault="00FA55DB" w:rsidP="00FA55DB">
                      <w:pPr>
                        <w:rPr>
                          <w:b/>
                          <w:bCs/>
                          <w:color w:val="FFFFFF" w:themeColor="background1"/>
                          <w:sz w:val="28"/>
                          <w:szCs w:val="28"/>
                        </w:rPr>
                      </w:pPr>
                    </w:p>
                  </w:txbxContent>
                </v:textbox>
                <w10:wrap anchorx="page"/>
              </v:shape>
            </w:pict>
          </mc:Fallback>
        </mc:AlternateContent>
      </w:r>
    </w:p>
    <w:p w14:paraId="6DC5109C" w14:textId="4F14ECA0" w:rsidR="00FA55DB" w:rsidRDefault="00FA55DB" w:rsidP="00824C50"/>
    <w:p w14:paraId="70C69608" w14:textId="0D769DEE" w:rsidR="00FA55DB" w:rsidRDefault="00FA55DB" w:rsidP="00824C50"/>
    <w:p w14:paraId="1A957207" w14:textId="724443B7" w:rsidR="00FA55DB" w:rsidRDefault="00FA55DB" w:rsidP="00824C50"/>
    <w:p w14:paraId="3FE6C721" w14:textId="13721C60" w:rsidR="00FA55DB" w:rsidRDefault="00FA55DB" w:rsidP="00824C50"/>
    <w:p w14:paraId="1BB74B1F" w14:textId="61C9993C" w:rsidR="00FA55DB" w:rsidRDefault="00FA55DB" w:rsidP="00824C50"/>
    <w:p w14:paraId="0E087CC0" w14:textId="76A67F14" w:rsidR="00FA55DB" w:rsidRDefault="00FA55DB" w:rsidP="00824C50"/>
    <w:p w14:paraId="6C661E58" w14:textId="24A70E61" w:rsidR="00FA55DB" w:rsidRDefault="00FA55DB" w:rsidP="00824C50"/>
    <w:p w14:paraId="37DF752F" w14:textId="129F4CAA" w:rsidR="00FA55DB" w:rsidRDefault="00FA55DB" w:rsidP="00824C50"/>
    <w:p w14:paraId="044CDF44" w14:textId="141DEE73" w:rsidR="00FA55DB" w:rsidRDefault="00FA55DB" w:rsidP="00824C50"/>
    <w:p w14:paraId="5B5174D6" w14:textId="5EFC2562" w:rsidR="00FA55DB" w:rsidRDefault="00FA55DB" w:rsidP="00824C50"/>
    <w:p w14:paraId="0A33132C" w14:textId="6473280B" w:rsidR="00FA55DB" w:rsidRDefault="00FA55DB" w:rsidP="00824C50"/>
    <w:p w14:paraId="30D41C84" w14:textId="5456CAB8" w:rsidR="00FA55DB" w:rsidRDefault="00FA55DB" w:rsidP="00824C50"/>
    <w:p w14:paraId="20ABDBB9" w14:textId="7C190ABD" w:rsidR="00FA55DB" w:rsidRDefault="00FA55DB" w:rsidP="00824C50"/>
    <w:p w14:paraId="67BE0040" w14:textId="7F1C805F" w:rsidR="00FA55DB" w:rsidRDefault="00FA55DB" w:rsidP="00824C50"/>
    <w:p w14:paraId="0375B6A6" w14:textId="55ECB4C7" w:rsidR="00FA55DB" w:rsidRDefault="00FA55DB" w:rsidP="00824C50"/>
    <w:p w14:paraId="74E01227" w14:textId="53255688" w:rsidR="00FA55DB" w:rsidRDefault="00FA55DB" w:rsidP="00824C50"/>
    <w:p w14:paraId="5A757CB1" w14:textId="683D719C" w:rsidR="00FA55DB" w:rsidRDefault="00FA55DB" w:rsidP="00824C50"/>
    <w:p w14:paraId="183C4950" w14:textId="5BD53B28" w:rsidR="00FA55DB" w:rsidRDefault="00FA55DB" w:rsidP="00824C50"/>
    <w:p w14:paraId="1E4B571C" w14:textId="4B597E06" w:rsidR="00FA55DB" w:rsidRDefault="00FA55DB" w:rsidP="00824C50"/>
    <w:p w14:paraId="43449681" w14:textId="394EA30A" w:rsidR="00FA55DB" w:rsidRDefault="00FA55DB" w:rsidP="00824C50"/>
    <w:p w14:paraId="18D177C0" w14:textId="0A7F330E" w:rsidR="00FA55DB" w:rsidRDefault="00FA55DB" w:rsidP="00824C50"/>
    <w:p w14:paraId="4CD650B7" w14:textId="77777777" w:rsidR="00FA55DB" w:rsidRDefault="00FA55DB">
      <w:pPr>
        <w:tabs>
          <w:tab w:val="clear" w:pos="284"/>
        </w:tabs>
        <w:spacing w:after="120" w:line="260" w:lineRule="atLeast"/>
      </w:pPr>
      <w:r>
        <w:br w:type="page"/>
      </w:r>
    </w:p>
    <w:sdt>
      <w:sdtPr>
        <w:id w:val="1616869747"/>
        <w:docPartObj>
          <w:docPartGallery w:val="Table of Contents"/>
          <w:docPartUnique/>
        </w:docPartObj>
      </w:sdtPr>
      <w:sdtEndPr>
        <w:rPr>
          <w:rFonts w:ascii="Garamond" w:eastAsiaTheme="minorHAnsi" w:hAnsi="Garamond" w:cstheme="minorBidi"/>
          <w:sz w:val="22"/>
          <w:szCs w:val="22"/>
          <w:lang w:eastAsia="en-US"/>
        </w:rPr>
      </w:sdtEndPr>
      <w:sdtContent>
        <w:p w14:paraId="28469854" w14:textId="66375470" w:rsidR="000E481D" w:rsidRDefault="00D91685" w:rsidP="001D5189">
          <w:pPr>
            <w:pStyle w:val="Innehllsfrteckningsrubrik"/>
            <w:rPr>
              <w:noProof/>
            </w:rPr>
          </w:pPr>
          <w:r>
            <w:t>Innehåll</w:t>
          </w:r>
          <w:r w:rsidR="001D5189" w:rsidRPr="00053DC4">
            <w:fldChar w:fldCharType="begin"/>
          </w:r>
          <w:r w:rsidR="001D5189" w:rsidRPr="00053DC4">
            <w:instrText xml:space="preserve"> TOC \o "1-1" \h \z \u </w:instrText>
          </w:r>
          <w:r w:rsidR="001D5189" w:rsidRPr="00053DC4">
            <w:fldChar w:fldCharType="separate"/>
          </w:r>
        </w:p>
        <w:p w14:paraId="374E8ECE" w14:textId="03D7700C"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00" w:history="1">
            <w:r w:rsidRPr="00A1669F">
              <w:rPr>
                <w:rStyle w:val="Hyperlnk"/>
                <w:noProof/>
              </w:rPr>
              <w:t>Aktiv sårläkning</w:t>
            </w:r>
            <w:r>
              <w:rPr>
                <w:noProof/>
                <w:webHidden/>
              </w:rPr>
              <w:tab/>
            </w:r>
            <w:r>
              <w:rPr>
                <w:noProof/>
                <w:webHidden/>
              </w:rPr>
              <w:fldChar w:fldCharType="begin"/>
            </w:r>
            <w:r>
              <w:rPr>
                <w:noProof/>
                <w:webHidden/>
              </w:rPr>
              <w:instrText xml:space="preserve"> PAGEREF _Toc164686700 \h </w:instrText>
            </w:r>
            <w:r>
              <w:rPr>
                <w:noProof/>
                <w:webHidden/>
              </w:rPr>
            </w:r>
            <w:r>
              <w:rPr>
                <w:noProof/>
                <w:webHidden/>
              </w:rPr>
              <w:fldChar w:fldCharType="separate"/>
            </w:r>
            <w:r w:rsidR="003C7A94">
              <w:rPr>
                <w:noProof/>
                <w:webHidden/>
              </w:rPr>
              <w:t>3</w:t>
            </w:r>
            <w:r>
              <w:rPr>
                <w:noProof/>
                <w:webHidden/>
              </w:rPr>
              <w:fldChar w:fldCharType="end"/>
            </w:r>
          </w:hyperlink>
        </w:p>
        <w:p w14:paraId="5BC948D4" w14:textId="3A5DFCAE"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01" w:history="1">
            <w:r w:rsidRPr="00A1669F">
              <w:rPr>
                <w:rStyle w:val="Hyperlnk"/>
                <w:rFonts w:cstheme="majorBidi"/>
                <w:noProof/>
                <w14:numForm w14:val="lining"/>
              </w:rPr>
              <w:t>Andningsorgan</w:t>
            </w:r>
            <w:r>
              <w:rPr>
                <w:noProof/>
                <w:webHidden/>
              </w:rPr>
              <w:tab/>
            </w:r>
            <w:r>
              <w:rPr>
                <w:noProof/>
                <w:webHidden/>
              </w:rPr>
              <w:fldChar w:fldCharType="begin"/>
            </w:r>
            <w:r>
              <w:rPr>
                <w:noProof/>
                <w:webHidden/>
              </w:rPr>
              <w:instrText xml:space="preserve"> PAGEREF _Toc164686701 \h </w:instrText>
            </w:r>
            <w:r>
              <w:rPr>
                <w:noProof/>
                <w:webHidden/>
              </w:rPr>
            </w:r>
            <w:r>
              <w:rPr>
                <w:noProof/>
                <w:webHidden/>
              </w:rPr>
              <w:fldChar w:fldCharType="separate"/>
            </w:r>
            <w:r w:rsidR="003C7A94">
              <w:rPr>
                <w:noProof/>
                <w:webHidden/>
              </w:rPr>
              <w:t>9</w:t>
            </w:r>
            <w:r>
              <w:rPr>
                <w:noProof/>
                <w:webHidden/>
              </w:rPr>
              <w:fldChar w:fldCharType="end"/>
            </w:r>
          </w:hyperlink>
        </w:p>
        <w:p w14:paraId="53FBDE9B" w14:textId="6654CCA3"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02" w:history="1">
            <w:r w:rsidRPr="00B7367B">
              <w:rPr>
                <w:rStyle w:val="Hyperlnk"/>
                <w:noProof/>
              </w:rPr>
              <w:t>Diabetes</w:t>
            </w:r>
            <w:r w:rsidRPr="00B7367B">
              <w:rPr>
                <w:noProof/>
                <w:webHidden/>
              </w:rPr>
              <w:tab/>
            </w:r>
            <w:r w:rsidR="003A7474">
              <w:rPr>
                <w:noProof/>
                <w:webHidden/>
              </w:rPr>
              <w:t>47</w:t>
            </w:r>
          </w:hyperlink>
        </w:p>
        <w:p w14:paraId="0097C83D" w14:textId="61A49557"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03" w:history="1">
            <w:r w:rsidRPr="00A1669F">
              <w:rPr>
                <w:rStyle w:val="Hyperlnk"/>
                <w:noProof/>
              </w:rPr>
              <w:t>Endokrinologi</w:t>
            </w:r>
            <w:r>
              <w:rPr>
                <w:noProof/>
                <w:webHidden/>
              </w:rPr>
              <w:tab/>
            </w:r>
            <w:r w:rsidR="00B31AA4">
              <w:rPr>
                <w:noProof/>
                <w:webHidden/>
              </w:rPr>
              <w:t>68</w:t>
            </w:r>
          </w:hyperlink>
        </w:p>
        <w:p w14:paraId="59E97D29" w14:textId="7AE0438C"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04" w:history="1">
            <w:r w:rsidRPr="00A1669F">
              <w:rPr>
                <w:rStyle w:val="Hyperlnk"/>
                <w:noProof/>
              </w:rPr>
              <w:t>Gynekologi</w:t>
            </w:r>
            <w:r>
              <w:rPr>
                <w:noProof/>
                <w:webHidden/>
              </w:rPr>
              <w:tab/>
            </w:r>
            <w:r w:rsidR="003A7474">
              <w:rPr>
                <w:noProof/>
                <w:webHidden/>
              </w:rPr>
              <w:t>75</w:t>
            </w:r>
          </w:hyperlink>
        </w:p>
        <w:p w14:paraId="6D738627" w14:textId="71A23B9D"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05" w:history="1">
            <w:r w:rsidRPr="00A1669F">
              <w:rPr>
                <w:rStyle w:val="Hyperlnk"/>
                <w:noProof/>
              </w:rPr>
              <w:t>Hematologi</w:t>
            </w:r>
            <w:r>
              <w:rPr>
                <w:noProof/>
                <w:webHidden/>
              </w:rPr>
              <w:tab/>
            </w:r>
            <w:r w:rsidR="003A7474">
              <w:rPr>
                <w:noProof/>
                <w:webHidden/>
              </w:rPr>
              <w:t>90</w:t>
            </w:r>
          </w:hyperlink>
        </w:p>
        <w:p w14:paraId="03EE7FEE" w14:textId="32AF883E"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06" w:history="1">
            <w:r w:rsidRPr="009C05A9">
              <w:rPr>
                <w:rStyle w:val="Hyperlnk"/>
                <w:noProof/>
              </w:rPr>
              <w:t>Hjärta-kärl</w:t>
            </w:r>
            <w:r w:rsidRPr="009C05A9">
              <w:rPr>
                <w:noProof/>
                <w:webHidden/>
              </w:rPr>
              <w:tab/>
            </w:r>
            <w:r w:rsidR="003A7474">
              <w:rPr>
                <w:noProof/>
                <w:webHidden/>
              </w:rPr>
              <w:t>92</w:t>
            </w:r>
          </w:hyperlink>
        </w:p>
        <w:p w14:paraId="6FAE8761" w14:textId="102F326F"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07" w:history="1">
            <w:r w:rsidRPr="00A1669F">
              <w:rPr>
                <w:rStyle w:val="Hyperlnk"/>
                <w:noProof/>
              </w:rPr>
              <w:t>Hudsjukdomar</w:t>
            </w:r>
            <w:r>
              <w:rPr>
                <w:noProof/>
                <w:webHidden/>
              </w:rPr>
              <w:tab/>
            </w:r>
            <w:r w:rsidR="003A7474">
              <w:rPr>
                <w:noProof/>
                <w:webHidden/>
              </w:rPr>
              <w:t>125</w:t>
            </w:r>
          </w:hyperlink>
        </w:p>
        <w:p w14:paraId="158C7DBD" w14:textId="35EFA486"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08" w:history="1">
            <w:r w:rsidRPr="00A1669F">
              <w:rPr>
                <w:rStyle w:val="Hyperlnk"/>
                <w:noProof/>
              </w:rPr>
              <w:t>Mun - Mage – Tarm</w:t>
            </w:r>
            <w:r>
              <w:rPr>
                <w:noProof/>
                <w:webHidden/>
              </w:rPr>
              <w:tab/>
            </w:r>
            <w:r w:rsidR="003A7474">
              <w:rPr>
                <w:noProof/>
                <w:webHidden/>
              </w:rPr>
              <w:t>136</w:t>
            </w:r>
          </w:hyperlink>
        </w:p>
        <w:p w14:paraId="49C08BE8" w14:textId="1F0A4D5D"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09" w:history="1">
            <w:r w:rsidRPr="00A1669F">
              <w:rPr>
                <w:rStyle w:val="Hyperlnk"/>
                <w:noProof/>
              </w:rPr>
              <w:t>Neurologi</w:t>
            </w:r>
            <w:r>
              <w:rPr>
                <w:noProof/>
                <w:webHidden/>
              </w:rPr>
              <w:tab/>
            </w:r>
            <w:r w:rsidR="003A7474">
              <w:rPr>
                <w:noProof/>
                <w:webHidden/>
              </w:rPr>
              <w:t>153</w:t>
            </w:r>
          </w:hyperlink>
        </w:p>
        <w:p w14:paraId="7AC431B9" w14:textId="3340DC10"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10" w:history="1">
            <w:r w:rsidRPr="00E05713">
              <w:rPr>
                <w:rStyle w:val="Hyperlnk"/>
                <w:noProof/>
              </w:rPr>
              <w:t>Osteoporos</w:t>
            </w:r>
            <w:r w:rsidRPr="00E05713">
              <w:rPr>
                <w:noProof/>
                <w:webHidden/>
              </w:rPr>
              <w:tab/>
            </w:r>
            <w:r w:rsidR="003A7474">
              <w:rPr>
                <w:noProof/>
                <w:webHidden/>
              </w:rPr>
              <w:t>162</w:t>
            </w:r>
          </w:hyperlink>
        </w:p>
        <w:p w14:paraId="53B47C5E" w14:textId="43D1D2AC"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11" w:history="1">
            <w:r w:rsidRPr="00A1669F">
              <w:rPr>
                <w:rStyle w:val="Hyperlnk"/>
                <w:noProof/>
              </w:rPr>
              <w:t>Psykiatri</w:t>
            </w:r>
            <w:r>
              <w:rPr>
                <w:noProof/>
                <w:webHidden/>
              </w:rPr>
              <w:tab/>
            </w:r>
            <w:r w:rsidR="003A7474">
              <w:rPr>
                <w:noProof/>
                <w:webHidden/>
              </w:rPr>
              <w:t>168</w:t>
            </w:r>
          </w:hyperlink>
        </w:p>
        <w:p w14:paraId="4E140D38" w14:textId="56B46A7C"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12" w:history="1">
            <w:r w:rsidRPr="00A1669F">
              <w:rPr>
                <w:rStyle w:val="Hyperlnk"/>
                <w:noProof/>
              </w:rPr>
              <w:t>Smärta</w:t>
            </w:r>
            <w:r>
              <w:rPr>
                <w:noProof/>
                <w:webHidden/>
              </w:rPr>
              <w:tab/>
            </w:r>
            <w:r w:rsidR="003A7474">
              <w:rPr>
                <w:noProof/>
                <w:webHidden/>
              </w:rPr>
              <w:t>201</w:t>
            </w:r>
          </w:hyperlink>
        </w:p>
        <w:p w14:paraId="724C0CD6" w14:textId="010B2EEA"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13" w:history="1">
            <w:r w:rsidRPr="00A1669F">
              <w:rPr>
                <w:rStyle w:val="Hyperlnk"/>
                <w:noProof/>
              </w:rPr>
              <w:t>Urologi</w:t>
            </w:r>
            <w:r>
              <w:rPr>
                <w:noProof/>
                <w:webHidden/>
              </w:rPr>
              <w:tab/>
            </w:r>
            <w:r w:rsidR="003A7474">
              <w:rPr>
                <w:noProof/>
                <w:webHidden/>
              </w:rPr>
              <w:t>224</w:t>
            </w:r>
          </w:hyperlink>
        </w:p>
        <w:p w14:paraId="6A95525E" w14:textId="7E1AD3AB"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14" w:history="1">
            <w:r w:rsidRPr="00A1669F">
              <w:rPr>
                <w:rStyle w:val="Hyperlnk"/>
                <w:noProof/>
              </w:rPr>
              <w:t>Ögon</w:t>
            </w:r>
            <w:r>
              <w:rPr>
                <w:noProof/>
                <w:webHidden/>
              </w:rPr>
              <w:tab/>
            </w:r>
            <w:r w:rsidR="003A7474">
              <w:rPr>
                <w:noProof/>
                <w:webHidden/>
              </w:rPr>
              <w:t>227</w:t>
            </w:r>
          </w:hyperlink>
        </w:p>
        <w:p w14:paraId="7D85DE40" w14:textId="7A23CEBC" w:rsidR="000E481D" w:rsidRDefault="000E481D">
          <w:pPr>
            <w:pStyle w:val="Innehll1"/>
            <w:tabs>
              <w:tab w:val="right" w:pos="9629"/>
            </w:tabs>
            <w:rPr>
              <w:rFonts w:eastAsiaTheme="minorEastAsia"/>
              <w:b w:val="0"/>
              <w:bCs w:val="0"/>
              <w:i w:val="0"/>
              <w:iCs w:val="0"/>
              <w:noProof/>
              <w:kern w:val="2"/>
              <w:sz w:val="22"/>
              <w:szCs w:val="22"/>
              <w:lang w:eastAsia="sv-SE"/>
              <w14:ligatures w14:val="standardContextual"/>
            </w:rPr>
          </w:pPr>
          <w:hyperlink w:anchor="_Toc164686715" w:history="1">
            <w:r w:rsidRPr="00A1669F">
              <w:rPr>
                <w:rStyle w:val="Hyperlnk"/>
                <w:noProof/>
              </w:rPr>
              <w:t>Öron</w:t>
            </w:r>
            <w:r>
              <w:rPr>
                <w:noProof/>
                <w:webHidden/>
              </w:rPr>
              <w:tab/>
            </w:r>
            <w:r w:rsidR="003A7474">
              <w:rPr>
                <w:noProof/>
                <w:webHidden/>
              </w:rPr>
              <w:t>230</w:t>
            </w:r>
          </w:hyperlink>
        </w:p>
        <w:p w14:paraId="0DCBA8DF" w14:textId="66375470" w:rsidR="00D91685" w:rsidRDefault="001D5189" w:rsidP="001D5189">
          <w:pPr>
            <w:pStyle w:val="Innehllsfrteckningsrubrik"/>
          </w:pPr>
          <w:r w:rsidRPr="00053DC4">
            <w:fldChar w:fldCharType="end"/>
          </w:r>
        </w:p>
      </w:sdtContent>
    </w:sdt>
    <w:p w14:paraId="71048CAA" w14:textId="45EC2B70" w:rsidR="00D91685" w:rsidRDefault="00D91685" w:rsidP="00824C50"/>
    <w:p w14:paraId="0304A59B" w14:textId="444D8BF9" w:rsidR="00D91685" w:rsidRDefault="00D91685" w:rsidP="00824C50"/>
    <w:p w14:paraId="6DFFAFBD" w14:textId="6DB5DB85" w:rsidR="00D91685" w:rsidRDefault="00D91685" w:rsidP="00824C50"/>
    <w:p w14:paraId="74B3737A" w14:textId="5BE31FF5" w:rsidR="00D91685" w:rsidRDefault="00D91685" w:rsidP="00824C50"/>
    <w:p w14:paraId="334DDB56" w14:textId="4CE44A35" w:rsidR="00D91685" w:rsidRDefault="00D91685" w:rsidP="00824C50"/>
    <w:p w14:paraId="6CFFB688" w14:textId="290A7319" w:rsidR="00D91685" w:rsidRDefault="00D91685" w:rsidP="00824C50"/>
    <w:p w14:paraId="10EE4AF2" w14:textId="20BDD69F" w:rsidR="00D91685" w:rsidRDefault="00D91685" w:rsidP="00824C50"/>
    <w:p w14:paraId="2DDF47C9" w14:textId="69D1C26F" w:rsidR="00D91685" w:rsidRDefault="00D91685" w:rsidP="00824C50"/>
    <w:p w14:paraId="2F1D030D" w14:textId="070AE4B0" w:rsidR="00D91685" w:rsidRDefault="00D91685" w:rsidP="00824C50"/>
    <w:p w14:paraId="47F3FB0B" w14:textId="75F2BD4B" w:rsidR="00D91685" w:rsidRDefault="00D91685" w:rsidP="00824C50"/>
    <w:p w14:paraId="7C54E073" w14:textId="5F33A5DE" w:rsidR="00D91685" w:rsidRDefault="00D91685" w:rsidP="00824C50"/>
    <w:p w14:paraId="5B6F2CDC" w14:textId="5318CD63" w:rsidR="00D91685" w:rsidRDefault="00D91685" w:rsidP="00824C50"/>
    <w:p w14:paraId="798C2428" w14:textId="10540087" w:rsidR="00D91685" w:rsidRDefault="00D91685" w:rsidP="00824C50"/>
    <w:p w14:paraId="01A50766" w14:textId="046C09CB" w:rsidR="000508ED" w:rsidRDefault="000508ED">
      <w:pPr>
        <w:tabs>
          <w:tab w:val="clear" w:pos="284"/>
        </w:tabs>
        <w:spacing w:after="120" w:line="260" w:lineRule="atLeast"/>
      </w:pPr>
      <w:r>
        <w:br w:type="page"/>
      </w:r>
    </w:p>
    <w:p w14:paraId="07FA4E2A" w14:textId="79DC1B1A" w:rsidR="008864AD" w:rsidRPr="00C57515" w:rsidRDefault="008864AD" w:rsidP="008864AD">
      <w:pPr>
        <w:pStyle w:val="Rubrik1"/>
      </w:pPr>
      <w:bookmarkStart w:id="1" w:name="_Toc164686700"/>
      <w:bookmarkStart w:id="2" w:name="_Hlk100736468"/>
      <w:r w:rsidRPr="007F5585">
        <w:lastRenderedPageBreak/>
        <w:t>Aktiv sårläkning</w:t>
      </w:r>
      <w:bookmarkEnd w:id="1"/>
    </w:p>
    <w:p w14:paraId="28955A5B" w14:textId="79DC1B1A" w:rsidR="008864AD" w:rsidRPr="00C77E94" w:rsidRDefault="008864AD" w:rsidP="008864AD">
      <w:pPr>
        <w:pStyle w:val="Normal4"/>
        <w:spacing w:after="240"/>
        <w:rPr>
          <w:rFonts w:asciiTheme="minorHAnsi" w:hAnsiTheme="minorHAnsi" w:cs="Open Sans"/>
          <w:color w:val="404040"/>
        </w:rPr>
      </w:pPr>
      <w:r w:rsidRPr="00830719">
        <w:rPr>
          <w:rStyle w:val="Hyperlnk"/>
          <w:rFonts w:asciiTheme="minorHAnsi" w:eastAsiaTheme="majorEastAsia" w:hAnsiTheme="minorHAnsi"/>
          <w:b/>
          <w:bCs/>
          <w:u w:val="none"/>
        </w:rPr>
        <w:t>Senast uppdaterad 2026-03-24</w:t>
      </w:r>
      <w:r w:rsidRPr="00AD03C5">
        <w:rPr>
          <w:rFonts w:cs="Open Sans"/>
          <w:color w:val="404040"/>
        </w:rPr>
        <w:br/>
      </w:r>
      <w:r w:rsidRPr="00A141A3">
        <w:rPr>
          <w:rFonts w:asciiTheme="minorHAnsi" w:hAnsiTheme="minorHAnsi" w:cs="Open Sans"/>
          <w:color w:val="404040"/>
        </w:rPr>
        <w:br/>
      </w:r>
      <w:r w:rsidRPr="00044F66">
        <w:rPr>
          <w:rStyle w:val="env-assistive-text"/>
          <w:rFonts w:asciiTheme="minorHAnsi" w:eastAsiaTheme="majorEastAsia" w:hAnsiTheme="minorHAnsi"/>
          <w:b/>
          <w:bCs/>
        </w:rPr>
        <w:t>Terapigruppsmedlem</w:t>
      </w:r>
      <w:r w:rsidR="007E0573">
        <w:rPr>
          <w:rStyle w:val="env-assistive-text"/>
          <w:rFonts w:asciiTheme="minorHAnsi" w:eastAsiaTheme="majorEastAsia" w:hAnsiTheme="minorHAnsi"/>
          <w:b/>
          <w:bCs/>
        </w:rPr>
        <w:t>mar</w:t>
      </w:r>
      <w:r w:rsidRPr="00044F66">
        <w:rPr>
          <w:rStyle w:val="env-assistive-text"/>
          <w:rFonts w:asciiTheme="minorHAnsi" w:eastAsiaTheme="majorEastAsia" w:hAnsiTheme="minorHAnsi"/>
        </w:rPr>
        <w:br/>
      </w:r>
      <w:r w:rsidRPr="00044F66">
        <w:rPr>
          <w:rFonts w:asciiTheme="minorHAnsi" w:hAnsiTheme="minorHAnsi" w:cs="Open Sans"/>
          <w:color w:val="404040"/>
        </w:rPr>
        <w:t>Hanna Wickström, specialist i allmänmedicin, Sårcentrum</w:t>
      </w:r>
      <w:r>
        <w:rPr>
          <w:rFonts w:asciiTheme="minorHAnsi" w:hAnsiTheme="minorHAnsi" w:cs="Open Sans"/>
          <w:color w:val="404040"/>
        </w:rPr>
        <w:t>, Sölvesborg vårdcentral</w:t>
      </w:r>
      <w:r>
        <w:rPr>
          <w:rFonts w:asciiTheme="minorHAnsi" w:hAnsiTheme="minorHAnsi" w:cs="Open Sans"/>
          <w:color w:val="404040"/>
        </w:rPr>
        <w:br/>
        <w:t>Gustaf Hultman, ST-läkare, infektion- och hudkliniken</w:t>
      </w:r>
      <w:r>
        <w:rPr>
          <w:rFonts w:asciiTheme="minorHAnsi" w:hAnsiTheme="minorHAnsi" w:cs="Open Sans"/>
          <w:color w:val="404040"/>
        </w:rPr>
        <w:br/>
        <w:t>Fanny Holmgren, farmaceut, Läkemedelsenheten</w:t>
      </w:r>
      <w:r w:rsidRPr="000508ED">
        <w:rPr>
          <w:rStyle w:val="Hyperlnk"/>
          <w:rFonts w:eastAsiaTheme="majorEastAsia"/>
          <w:u w:val="none"/>
        </w:rPr>
        <w:br/>
      </w:r>
      <w:r w:rsidRPr="00044F66">
        <w:rPr>
          <w:rFonts w:asciiTheme="minorHAnsi" w:hAnsiTheme="minorHAnsi" w:cs="Open Sans"/>
          <w:color w:val="404040"/>
        </w:rPr>
        <w:br/>
      </w:r>
      <w:bookmarkEnd w:id="2"/>
      <w:r w:rsidRPr="29875AED">
        <w:rPr>
          <w:rFonts w:asciiTheme="minorHAnsi" w:hAnsiTheme="minorHAnsi" w:cs="Open Sans"/>
          <w:color w:val="404040"/>
        </w:rPr>
        <w:t>Svårläkta sår är sår som inte läkt eller förväntas läka inom 4-6 veckor</w:t>
      </w:r>
      <w:r>
        <w:rPr>
          <w:rFonts w:asciiTheme="minorHAnsi" w:hAnsiTheme="minorHAnsi" w:cs="Open Sans"/>
          <w:color w:val="404040"/>
        </w:rPr>
        <w:t xml:space="preserve"> </w:t>
      </w:r>
      <w:r w:rsidRPr="29875AED">
        <w:rPr>
          <w:rFonts w:asciiTheme="minorHAnsi" w:hAnsiTheme="minorHAnsi" w:cs="Open Sans"/>
          <w:color w:val="404040"/>
        </w:rPr>
        <w:t>(1). Svårläkta sår ska hållas lagom fuktiga för att de biologiska processerna i sårläkningen skall fungera maximalt. Omläggningsfrekvens avgörs av sårets och omgivande hudens status och förbandets utseende. Ett orent eller infekterat sår kräver tätare omläggningar och ett rent sår ska läggas om så sällan som möjligt (1).</w:t>
      </w:r>
    </w:p>
    <w:p w14:paraId="04B81846" w14:textId="77777777" w:rsidR="008864AD" w:rsidRPr="00956085" w:rsidRDefault="008864AD" w:rsidP="008864AD">
      <w:pPr>
        <w:pStyle w:val="Rubrik2"/>
      </w:pPr>
      <w:r w:rsidRPr="00956085">
        <w:rPr>
          <w:rStyle w:val="Stark"/>
          <w:b/>
        </w:rPr>
        <w:t>Kompressionsförband</w:t>
      </w:r>
    </w:p>
    <w:p w14:paraId="2587E649"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bCs/>
          <w:color w:val="404040"/>
        </w:rPr>
        <w:t>Ödembehandling är basen för all bensårsbehandling.</w:t>
      </w:r>
      <w:r w:rsidRPr="00445E73">
        <w:rPr>
          <w:rFonts w:asciiTheme="minorHAnsi" w:hAnsiTheme="minorHAnsi" w:cs="Open Sans"/>
          <w:color w:val="404040"/>
        </w:rPr>
        <w:t xml:space="preserve"> Beräkna ankeltryck och ankelarmtrycksindex (ABI) på alla patienter med svårläkta sår på ben eller fot. Detta ingår i basbedömningen för diagnostisering och inför kompressionsbehandling (1). Kompressionsbehandling är obligat vid venösa sår och arteriovenösa sår, men behövs även vid traumatiska sår, diabetesfotsår och atypiska sår om bensvullnad finns. Lindning väljs vid sår, och kompressionsstrumpa används förebyggande. Kompressionsbehandling är kontraindicerat vid ABI&lt;0.5, då får endast tubbandage användas</w:t>
      </w:r>
      <w:r>
        <w:rPr>
          <w:rFonts w:asciiTheme="minorHAnsi" w:hAnsiTheme="minorHAnsi" w:cs="Open Sans"/>
          <w:color w:val="404040"/>
        </w:rPr>
        <w:t xml:space="preserve"> för fixering/stöd</w:t>
      </w:r>
      <w:r w:rsidRPr="00445E73">
        <w:rPr>
          <w:rFonts w:asciiTheme="minorHAnsi" w:hAnsiTheme="minorHAnsi" w:cs="Open Sans"/>
          <w:color w:val="404040"/>
        </w:rPr>
        <w:t>.</w:t>
      </w:r>
    </w:p>
    <w:p w14:paraId="699A427A" w14:textId="77777777" w:rsidR="008864AD" w:rsidRPr="00956085" w:rsidRDefault="008864AD" w:rsidP="008864AD">
      <w:pPr>
        <w:pStyle w:val="Rubrik3"/>
        <w:rPr>
          <w:rFonts w:asciiTheme="minorHAnsi" w:hAnsiTheme="minorHAnsi" w:cs="Open Sans"/>
          <w:b w:val="0"/>
          <w:bCs w:val="0"/>
          <w:color w:val="404040"/>
        </w:rPr>
      </w:pPr>
      <w:r w:rsidRPr="00956085">
        <w:rPr>
          <w:rStyle w:val="Stark"/>
          <w:rFonts w:asciiTheme="minorHAnsi" w:hAnsiTheme="minorHAnsi" w:cs="Open Sans"/>
          <w:b/>
          <w:bCs w:val="0"/>
          <w:color w:val="404040"/>
        </w:rPr>
        <w:t>Flerlagerbandage</w:t>
      </w:r>
    </w:p>
    <w:p w14:paraId="5DF538DB"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Pr>
          <w:rStyle w:val="Stark"/>
          <w:rFonts w:asciiTheme="minorHAnsi" w:eastAsiaTheme="minorEastAsia" w:hAnsiTheme="minorHAnsi" w:cs="Open Sans"/>
          <w:color w:val="404040"/>
        </w:rPr>
        <w:t>Comprifore</w:t>
      </w:r>
      <w:r w:rsidRPr="00445E73">
        <w:rPr>
          <w:rStyle w:val="Stark"/>
          <w:rFonts w:asciiTheme="minorHAnsi" w:eastAsiaTheme="minorEastAsia" w:hAnsiTheme="minorHAnsi" w:cs="Open Sans"/>
          <w:color w:val="404040"/>
        </w:rPr>
        <w:t xml:space="preserve"> 18–25 cm</w:t>
      </w:r>
      <w:r w:rsidRPr="00445E73">
        <w:rPr>
          <w:rFonts w:asciiTheme="minorHAnsi" w:hAnsiTheme="minorHAnsi" w:cs="Open Sans"/>
          <w:b/>
          <w:bCs/>
          <w:color w:val="404040"/>
        </w:rPr>
        <w:br/>
      </w:r>
      <w:r w:rsidRPr="00445E73">
        <w:rPr>
          <w:rFonts w:asciiTheme="minorHAnsi" w:hAnsiTheme="minorHAnsi" w:cs="Open Sans"/>
          <w:color w:val="404040"/>
        </w:rPr>
        <w:t>Skall användas vid ankelarmtrycksindex &gt;0,8. Försiktighet vid diabetes (komplettera med tåtrycksmätning). Ger ca 40mmHg. Används vid ankelomfång 18–25 cm.</w:t>
      </w:r>
      <w:r>
        <w:rPr>
          <w:rFonts w:asciiTheme="minorHAnsi" w:hAnsiTheme="minorHAnsi" w:cs="Open Sans"/>
          <w:color w:val="404040"/>
        </w:rPr>
        <w:t xml:space="preserve"> För andra ankelomfång finns Profore.</w:t>
      </w:r>
    </w:p>
    <w:p w14:paraId="23931109"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color w:val="404040"/>
        </w:rPr>
        <w:t xml:space="preserve">Comprifore Lite LF </w:t>
      </w:r>
      <w:r w:rsidRPr="00445E73">
        <w:rPr>
          <w:rFonts w:asciiTheme="minorHAnsi" w:hAnsiTheme="minorHAnsi" w:cs="Open Sans"/>
          <w:b/>
          <w:bCs/>
          <w:color w:val="404040"/>
        </w:rPr>
        <w:br/>
      </w:r>
      <w:r w:rsidRPr="00445E73">
        <w:rPr>
          <w:rFonts w:asciiTheme="minorHAnsi" w:hAnsiTheme="minorHAnsi" w:cs="Open Sans"/>
          <w:color w:val="404040"/>
        </w:rPr>
        <w:t>Skall användas vid ankelarmtrycksindex 0,6-0,8. Ger ca 25mmHg. Latexfri.</w:t>
      </w:r>
      <w:r w:rsidRPr="00445E73">
        <w:rPr>
          <w:rFonts w:asciiTheme="minorHAnsi" w:hAnsiTheme="minorHAnsi" w:cs="Open Sans"/>
          <w:color w:val="404040"/>
        </w:rPr>
        <w:br/>
        <w:t> </w:t>
      </w:r>
    </w:p>
    <w:p w14:paraId="5C015A30"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956085">
        <w:rPr>
          <w:rStyle w:val="Rubrik2Char"/>
        </w:rPr>
        <w:t>Sårtvätt och debridering</w:t>
      </w:r>
      <w:r w:rsidRPr="00956085">
        <w:rPr>
          <w:rStyle w:val="Rubrik2Char"/>
        </w:rPr>
        <w:br/>
      </w:r>
      <w:r w:rsidRPr="00445E73">
        <w:rPr>
          <w:rFonts w:asciiTheme="minorHAnsi" w:hAnsiTheme="minorHAnsi" w:cs="Open Sans"/>
          <w:color w:val="404040"/>
        </w:rPr>
        <w:t xml:space="preserve">Rengör sår och omkringliggande hud med ljummet kranvatten som ska rinna genom kranen 1–2 minuter innan användning (2). Dusch är att föredra. Vid lednära sår och sår med skelettkontakt gäller istället sårtvätt och rengöring med NaCl. Nekrotisk vävnad och fibrinbeläggning i såret ska avlägsnas mekaniskt med ståltops, kyrett, sax eller pincett (3). Obs! torra svarta nekroser på tår skall inte röras. </w:t>
      </w:r>
    </w:p>
    <w:p w14:paraId="3AEDCE10"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color w:val="404040"/>
        </w:rPr>
        <w:t>Prontosan Debridement Pad</w:t>
      </w:r>
      <w:r w:rsidRPr="00445E73">
        <w:rPr>
          <w:rFonts w:asciiTheme="minorHAnsi" w:hAnsiTheme="minorHAnsi" w:cs="Open Sans"/>
          <w:b/>
          <w:bCs/>
          <w:color w:val="404040"/>
        </w:rPr>
        <w:br/>
      </w:r>
      <w:r w:rsidRPr="00445E73">
        <w:rPr>
          <w:rFonts w:asciiTheme="minorHAnsi" w:hAnsiTheme="minorHAnsi" w:cs="Open Sans"/>
          <w:color w:val="404040"/>
        </w:rPr>
        <w:t>En dyna för debridering. Produkten gör det möjligt att på ett skonsamt sätt avlägsna debris och exsudat ur sår samt hudflagor och keratoser från omgivande hud. Fuktas innan användning. Ska inte användas som sårförband utan endast för debridering.</w:t>
      </w:r>
    </w:p>
    <w:p w14:paraId="5007017F"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color w:val="404040"/>
        </w:rPr>
        <w:t>Debrisoft Lolly</w:t>
      </w:r>
      <w:r w:rsidRPr="00445E73">
        <w:rPr>
          <w:rFonts w:asciiTheme="minorHAnsi" w:hAnsiTheme="minorHAnsi" w:cs="Open Sans"/>
          <w:b/>
          <w:bCs/>
          <w:color w:val="404040"/>
        </w:rPr>
        <w:br/>
      </w:r>
      <w:r w:rsidRPr="00445E73">
        <w:rPr>
          <w:rFonts w:asciiTheme="minorHAnsi" w:hAnsiTheme="minorHAnsi" w:cs="Open Sans"/>
          <w:color w:val="404040"/>
        </w:rPr>
        <w:t>Sårrengöringsdyna med skaft, för kaviteter. Produkten gör det möjligt att på ett skonsamt sätt avlägsna debris och exsudat ur sår. Fuktas innan användning.</w:t>
      </w:r>
    </w:p>
    <w:p w14:paraId="37D13C21" w14:textId="77777777" w:rsidR="008864AD" w:rsidRPr="00E05713" w:rsidRDefault="008864AD" w:rsidP="008864AD">
      <w:pPr>
        <w:pStyle w:val="Rubrik2"/>
      </w:pPr>
      <w:r w:rsidRPr="00E05713">
        <w:rPr>
          <w:rStyle w:val="Stark"/>
          <w:b/>
        </w:rPr>
        <w:lastRenderedPageBreak/>
        <w:t>Lösningar</w:t>
      </w:r>
    </w:p>
    <w:p w14:paraId="70FC9367"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color w:val="404040"/>
        </w:rPr>
        <w:t xml:space="preserve">Kaliumpermanganatlösning APL </w:t>
      </w:r>
      <w:r w:rsidRPr="00445E73">
        <w:rPr>
          <w:rFonts w:asciiTheme="minorHAnsi" w:hAnsiTheme="minorHAnsi" w:cs="Open Sans"/>
          <w:b/>
          <w:bCs/>
          <w:color w:val="404040"/>
        </w:rPr>
        <w:t>0,1 %</w:t>
      </w:r>
      <w:r w:rsidRPr="00445E73">
        <w:rPr>
          <w:rFonts w:asciiTheme="minorHAnsi" w:hAnsiTheme="minorHAnsi" w:cs="Open Sans"/>
          <w:color w:val="404040"/>
        </w:rPr>
        <w:br/>
        <w:t>Lösningen har en upptorkande och kärlsammandragande effekt, används på kraftigt vätskande sårytor (4). Fuktade kompresser får ligga på såret 10 minuter vid behandlingstillfället.</w:t>
      </w:r>
    </w:p>
    <w:p w14:paraId="24AFD952"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color w:val="404040"/>
        </w:rPr>
        <w:t xml:space="preserve">Ättiksyrelösning APL </w:t>
      </w:r>
      <w:r w:rsidRPr="00445E73">
        <w:rPr>
          <w:rFonts w:asciiTheme="minorHAnsi" w:hAnsiTheme="minorHAnsi" w:cs="Open Sans"/>
          <w:b/>
          <w:bCs/>
          <w:color w:val="404040"/>
        </w:rPr>
        <w:t>0,5 % (5mg/ml)</w:t>
      </w:r>
      <w:r w:rsidRPr="00445E73">
        <w:rPr>
          <w:rFonts w:asciiTheme="minorHAnsi" w:hAnsiTheme="minorHAnsi" w:cs="Open Sans"/>
          <w:b/>
          <w:bCs/>
          <w:color w:val="404040"/>
        </w:rPr>
        <w:br/>
      </w:r>
      <w:r w:rsidRPr="00445E73">
        <w:rPr>
          <w:rFonts w:asciiTheme="minorHAnsi" w:hAnsiTheme="minorHAnsi" w:cs="Open Sans"/>
          <w:color w:val="404040"/>
        </w:rPr>
        <w:t>Lösningen har en antimikrobiell effekt mot Pseudomonas aeruginosa (4). Fuktade kompresser får ligga på såret 10 minuter vid behandlingstillfället. Obs ej dygnsbehandling!</w:t>
      </w:r>
    </w:p>
    <w:p w14:paraId="0930DEDB"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color w:val="404040"/>
        </w:rPr>
        <w:t>Prontosan</w:t>
      </w:r>
      <w:r w:rsidRPr="00445E73">
        <w:rPr>
          <w:rFonts w:asciiTheme="minorHAnsi" w:hAnsiTheme="minorHAnsi" w:cs="Open Sans"/>
          <w:b/>
          <w:bCs/>
          <w:color w:val="404040"/>
        </w:rPr>
        <w:br/>
      </w:r>
      <w:r w:rsidRPr="00445E73">
        <w:rPr>
          <w:rFonts w:asciiTheme="minorHAnsi" w:hAnsiTheme="minorHAnsi" w:cs="Open Sans"/>
          <w:color w:val="404040"/>
        </w:rPr>
        <w:t>Prontosan (Polyhexametylenbiguanid, PHMB) används som antiseptisk lösning</w:t>
      </w:r>
      <w:r>
        <w:rPr>
          <w:rFonts w:asciiTheme="minorHAnsi" w:hAnsiTheme="minorHAnsi" w:cs="Open Sans"/>
          <w:color w:val="404040"/>
        </w:rPr>
        <w:t xml:space="preserve"> vid misstanke om infektion.</w:t>
      </w:r>
      <w:r w:rsidRPr="00445E73">
        <w:rPr>
          <w:rFonts w:asciiTheme="minorHAnsi" w:hAnsiTheme="minorHAnsi" w:cs="Open Sans"/>
          <w:color w:val="404040"/>
        </w:rPr>
        <w:t xml:space="preserve"> </w:t>
      </w:r>
      <w:r>
        <w:rPr>
          <w:rFonts w:asciiTheme="minorHAnsi" w:hAnsiTheme="minorHAnsi" w:cs="Open Sans"/>
          <w:color w:val="404040"/>
        </w:rPr>
        <w:t>O</w:t>
      </w:r>
      <w:r w:rsidRPr="00445E73">
        <w:rPr>
          <w:rFonts w:asciiTheme="minorHAnsi" w:hAnsiTheme="minorHAnsi" w:cs="Open Sans"/>
          <w:color w:val="404040"/>
        </w:rPr>
        <w:t>mslag</w:t>
      </w:r>
      <w:r>
        <w:rPr>
          <w:rFonts w:asciiTheme="minorHAnsi" w:hAnsiTheme="minorHAnsi" w:cs="Open Sans"/>
          <w:color w:val="404040"/>
        </w:rPr>
        <w:t xml:space="preserve"> läggs</w:t>
      </w:r>
      <w:r w:rsidRPr="00445E73">
        <w:rPr>
          <w:rFonts w:asciiTheme="minorHAnsi" w:hAnsiTheme="minorHAnsi" w:cs="Open Sans"/>
          <w:color w:val="404040"/>
        </w:rPr>
        <w:t xml:space="preserve"> ovan såret i 10-15 minuter vid behandlingstillfället alternativt som upprensande gel (Prontosan wound gel X) att applicera i sårhåla. I studier har PHMB visat antimikrobiell effekt mot Staphylococcus aureus och mot biofilm (3, 5, 6). </w:t>
      </w:r>
    </w:p>
    <w:p w14:paraId="32E236A6" w14:textId="77777777" w:rsidR="008864AD" w:rsidRPr="00956085" w:rsidRDefault="008864AD" w:rsidP="008864AD">
      <w:pPr>
        <w:pStyle w:val="Rubrik2"/>
      </w:pPr>
      <w:r w:rsidRPr="00956085">
        <w:rPr>
          <w:rStyle w:val="Stark"/>
          <w:b/>
        </w:rPr>
        <w:t>Huden runt såret</w:t>
      </w:r>
    </w:p>
    <w:p w14:paraId="2B5755E6"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color w:val="404040"/>
        </w:rPr>
        <w:t>Karbamid</w:t>
      </w:r>
      <w:r w:rsidRPr="00445E73">
        <w:rPr>
          <w:rFonts w:asciiTheme="minorHAnsi" w:hAnsiTheme="minorHAnsi" w:cs="Open Sans"/>
          <w:color w:val="404040"/>
        </w:rPr>
        <w:t xml:space="preserve"> Canoderm</w:t>
      </w:r>
      <w:r w:rsidRPr="00445E73">
        <w:rPr>
          <w:rFonts w:asciiTheme="minorHAnsi" w:hAnsiTheme="minorHAnsi" w:cs="Open Sans"/>
          <w:color w:val="404040"/>
        </w:rPr>
        <w:br/>
        <w:t>Mjukgörande kräm till torra sårkanter och torr kringliggande hud. Kan användas dagligen.</w:t>
      </w:r>
    </w:p>
    <w:p w14:paraId="508718FE"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color w:val="404040"/>
        </w:rPr>
        <w:t>Propylenglykol</w:t>
      </w:r>
      <w:r w:rsidRPr="00445E73">
        <w:rPr>
          <w:rFonts w:asciiTheme="minorHAnsi" w:hAnsiTheme="minorHAnsi" w:cs="Open Sans"/>
          <w:color w:val="404040"/>
        </w:rPr>
        <w:t xml:space="preserve"> Oviderm</w:t>
      </w:r>
      <w:r w:rsidRPr="00445E73">
        <w:rPr>
          <w:rFonts w:asciiTheme="minorHAnsi" w:hAnsiTheme="minorHAnsi" w:cs="Open Sans"/>
          <w:color w:val="404040"/>
        </w:rPr>
        <w:br/>
        <w:t>Mjukgörande kräm till torra sårkanter och torr kringliggande hud</w:t>
      </w:r>
      <w:r>
        <w:rPr>
          <w:rFonts w:asciiTheme="minorHAnsi" w:hAnsiTheme="minorHAnsi" w:cs="Open Sans"/>
          <w:color w:val="404040"/>
        </w:rPr>
        <w:t xml:space="preserve">. Har viss </w:t>
      </w:r>
      <w:r w:rsidRPr="00445E73">
        <w:rPr>
          <w:rFonts w:asciiTheme="minorHAnsi" w:hAnsiTheme="minorHAnsi" w:cs="Open Sans"/>
          <w:color w:val="404040"/>
        </w:rPr>
        <w:t xml:space="preserve">hämmande </w:t>
      </w:r>
      <w:r>
        <w:rPr>
          <w:rFonts w:asciiTheme="minorHAnsi" w:hAnsiTheme="minorHAnsi" w:cs="Open Sans"/>
          <w:color w:val="404040"/>
        </w:rPr>
        <w:t xml:space="preserve">effekt </w:t>
      </w:r>
      <w:r w:rsidRPr="00445E73">
        <w:rPr>
          <w:rFonts w:asciiTheme="minorHAnsi" w:hAnsiTheme="minorHAnsi" w:cs="Open Sans"/>
          <w:color w:val="404040"/>
        </w:rPr>
        <w:t>mot bakterier och jästsvamp. Fri från konserveringsmedel. Luktfri.</w:t>
      </w:r>
    </w:p>
    <w:p w14:paraId="69D6AA34"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Pr>
          <w:rStyle w:val="Stark"/>
          <w:rFonts w:asciiTheme="minorHAnsi" w:eastAsiaTheme="minorEastAsia" w:hAnsiTheme="minorHAnsi" w:cs="Open Sans"/>
          <w:color w:val="404040"/>
        </w:rPr>
        <w:t>Esenta</w:t>
      </w:r>
      <w:r w:rsidRPr="00445E73">
        <w:rPr>
          <w:rStyle w:val="Stark"/>
          <w:rFonts w:asciiTheme="minorHAnsi" w:eastAsiaTheme="minorEastAsia" w:hAnsiTheme="minorHAnsi" w:cs="Open Sans"/>
          <w:color w:val="404040"/>
        </w:rPr>
        <w:t xml:space="preserve"> </w:t>
      </w:r>
      <w:r>
        <w:rPr>
          <w:rFonts w:asciiTheme="minorHAnsi" w:hAnsiTheme="minorHAnsi" w:cs="Open Sans"/>
          <w:color w:val="404040"/>
        </w:rPr>
        <w:t>silikon</w:t>
      </w:r>
      <w:r w:rsidRPr="00445E73">
        <w:rPr>
          <w:rFonts w:asciiTheme="minorHAnsi" w:hAnsiTheme="minorHAnsi" w:cs="Open Sans"/>
          <w:color w:val="404040"/>
        </w:rPr>
        <w:br/>
        <w:t>Hudbarriärfilm som ger ett långtidsskydd. Skyddar ömtålig hud mot urin och faeces genom att bilda en transparent film på huden. Finns som applikatorpinne (1 ml, 3ml) och i sprayform.</w:t>
      </w:r>
    </w:p>
    <w:p w14:paraId="6B4C763D" w14:textId="77777777" w:rsidR="008864AD" w:rsidRPr="00445E73" w:rsidRDefault="008864AD" w:rsidP="008864AD">
      <w:pPr>
        <w:pStyle w:val="Normal4"/>
        <w:spacing w:before="0" w:beforeAutospacing="0" w:after="240" w:afterAutospacing="0"/>
        <w:rPr>
          <w:rStyle w:val="Betoning"/>
          <w:rFonts w:asciiTheme="minorHAnsi" w:eastAsiaTheme="majorEastAsia" w:hAnsiTheme="minorHAnsi" w:cs="Open Sans"/>
          <w:i w:val="0"/>
          <w:iCs w:val="0"/>
          <w:color w:val="404040"/>
        </w:rPr>
      </w:pPr>
      <w:r w:rsidRPr="00445E73">
        <w:rPr>
          <w:rStyle w:val="Stark"/>
          <w:rFonts w:asciiTheme="minorHAnsi" w:eastAsiaTheme="minorEastAsia" w:hAnsiTheme="minorHAnsi" w:cs="Open Sans"/>
          <w:color w:val="404040"/>
        </w:rPr>
        <w:t>Kortisonkräm/salva</w:t>
      </w:r>
      <w:r w:rsidRPr="00445E73">
        <w:rPr>
          <w:rFonts w:asciiTheme="minorHAnsi" w:hAnsiTheme="minorHAnsi" w:cs="Open Sans"/>
          <w:b/>
          <w:bCs/>
          <w:color w:val="404040"/>
        </w:rPr>
        <w:br/>
      </w:r>
      <w:r w:rsidRPr="00445E73">
        <w:rPr>
          <w:rFonts w:asciiTheme="minorHAnsi" w:hAnsiTheme="minorHAnsi" w:cs="Open Sans"/>
          <w:color w:val="404040"/>
        </w:rPr>
        <w:t xml:space="preserve">Eksem kring såret behandlas med grupp III (betametason, mometason)-steroid tills att huden är återställd, och sedan i nedtrappning. Steroid i kombination med neomycin (betametason-neomycin i Essex kräm) används kortvarigt vid infekterat eksem. </w:t>
      </w:r>
      <w:r w:rsidRPr="00445E73">
        <w:rPr>
          <w:rStyle w:val="Betoning"/>
          <w:rFonts w:asciiTheme="minorHAnsi" w:eastAsiaTheme="majorEastAsia" w:hAnsiTheme="minorHAnsi" w:cs="Open Sans"/>
          <w:color w:val="404040"/>
        </w:rPr>
        <w:t>Vid svårbehandlat eksem ska patienten remitteras till hudklinik.</w:t>
      </w:r>
    </w:p>
    <w:p w14:paraId="6F60EAD5"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ajorEastAsia" w:hAnsiTheme="minorHAnsi"/>
        </w:rPr>
        <w:t>Zinkoxid</w:t>
      </w:r>
      <w:r w:rsidRPr="00445E73">
        <w:rPr>
          <w:rStyle w:val="Rubrik2Char"/>
        </w:rPr>
        <w:br/>
      </w:r>
      <w:r w:rsidRPr="00445E73">
        <w:rPr>
          <w:rStyle w:val="Stark"/>
          <w:rFonts w:asciiTheme="minorHAnsi" w:eastAsiaTheme="minorEastAsia" w:hAnsiTheme="minorHAnsi" w:cs="Open Sans"/>
          <w:color w:val="404040"/>
        </w:rPr>
        <w:t>Zinksalva</w:t>
      </w:r>
      <w:r w:rsidRPr="00445E73">
        <w:rPr>
          <w:rFonts w:asciiTheme="minorHAnsi" w:hAnsiTheme="minorHAnsi" w:cs="Open Sans"/>
          <w:color w:val="404040"/>
        </w:rPr>
        <w:br/>
        <w:t>För att minska risken för fuktskada (maceration) kring såret och nya sårbildningar kan man skydda huden kring vätskande sår med zinksalva.</w:t>
      </w:r>
    </w:p>
    <w:p w14:paraId="741DE423"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color w:val="404040"/>
        </w:rPr>
        <w:t>Zipzoc Salvstrumpa (recept)</w:t>
      </w:r>
      <w:r w:rsidRPr="00445E73">
        <w:rPr>
          <w:rFonts w:asciiTheme="minorHAnsi" w:hAnsiTheme="minorHAnsi" w:cs="Open Sans"/>
          <w:b/>
          <w:bCs/>
          <w:color w:val="404040"/>
        </w:rPr>
        <w:br/>
      </w:r>
      <w:r w:rsidRPr="00445E73">
        <w:rPr>
          <w:rFonts w:asciiTheme="minorHAnsi" w:hAnsiTheme="minorHAnsi" w:cs="Open Sans"/>
          <w:color w:val="404040"/>
        </w:rPr>
        <w:t xml:space="preserve">Salvstrumpa med zink kan användas närmast huden hos patienter med </w:t>
      </w:r>
      <w:r>
        <w:rPr>
          <w:rFonts w:asciiTheme="minorHAnsi" w:hAnsiTheme="minorHAnsi" w:cs="Open Sans"/>
          <w:color w:val="404040"/>
        </w:rPr>
        <w:t>venöst</w:t>
      </w:r>
      <w:r w:rsidRPr="00445E73">
        <w:rPr>
          <w:rFonts w:asciiTheme="minorHAnsi" w:hAnsiTheme="minorHAnsi" w:cs="Open Sans"/>
          <w:color w:val="404040"/>
        </w:rPr>
        <w:t xml:space="preserve"> eksem. Används tillsammans med kompressionsförband och byts 1–2 gånger per vecka.</w:t>
      </w:r>
    </w:p>
    <w:p w14:paraId="39C60F2C" w14:textId="77777777" w:rsidR="008864AD" w:rsidRPr="00BB1D3A" w:rsidRDefault="008864AD" w:rsidP="008864AD">
      <w:pPr>
        <w:pStyle w:val="Rubrik2"/>
      </w:pPr>
      <w:r w:rsidRPr="00BB1D3A">
        <w:rPr>
          <w:rStyle w:val="Stark"/>
          <w:b/>
        </w:rPr>
        <w:t>Gel</w:t>
      </w:r>
    </w:p>
    <w:p w14:paraId="7E40D995"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color w:val="404040"/>
        </w:rPr>
        <w:t>IntraSite Gel</w:t>
      </w:r>
      <w:r w:rsidRPr="00445E73">
        <w:rPr>
          <w:rFonts w:asciiTheme="minorHAnsi" w:hAnsiTheme="minorHAnsi" w:cs="Open Sans"/>
          <w:color w:val="404040"/>
        </w:rPr>
        <w:br/>
        <w:t>Återfuktande och rensande egenskaper till sår som behöver fukt eller upprensning. Innehåller renat vatten och natriumcarboxymethylcellulosa. Finns i 8g och 15g.</w:t>
      </w:r>
    </w:p>
    <w:p w14:paraId="18E817BA" w14:textId="77777777" w:rsidR="008864AD" w:rsidRPr="00956085" w:rsidRDefault="008864AD" w:rsidP="008864AD">
      <w:pPr>
        <w:pStyle w:val="Rubrik2"/>
      </w:pPr>
      <w:r w:rsidRPr="00956085">
        <w:rPr>
          <w:rStyle w:val="Stark"/>
          <w:b/>
        </w:rPr>
        <w:lastRenderedPageBreak/>
        <w:t>Polyuretanskumförband</w:t>
      </w:r>
    </w:p>
    <w:p w14:paraId="1AE2F1F2" w14:textId="77777777" w:rsidR="008864AD" w:rsidRPr="00C77E94" w:rsidRDefault="008864AD" w:rsidP="008864AD">
      <w:pPr>
        <w:pStyle w:val="Normal4"/>
        <w:spacing w:before="0" w:beforeAutospacing="0" w:after="240" w:afterAutospacing="0"/>
        <w:rPr>
          <w:rFonts w:asciiTheme="minorHAnsi" w:hAnsiTheme="minorHAnsi" w:cs="Open Sans"/>
          <w:color w:val="404040" w:themeColor="text1" w:themeTint="BF"/>
        </w:rPr>
      </w:pPr>
      <w:r w:rsidRPr="5C190B67">
        <w:rPr>
          <w:rStyle w:val="Stark"/>
          <w:rFonts w:asciiTheme="minorHAnsi" w:eastAsiaTheme="minorEastAsia" w:hAnsiTheme="minorHAnsi" w:cs="Open Sans"/>
          <w:color w:val="404040"/>
        </w:rPr>
        <w:t>Mepilex Up, Mepilex Border flex, , Mepilex Lite, Mepilex Transfer, Mepilex Heel, Mepilex Border Sacrum</w:t>
      </w:r>
      <w:r w:rsidRPr="00445E73">
        <w:rPr>
          <w:rFonts w:asciiTheme="minorHAnsi" w:hAnsiTheme="minorHAnsi" w:cs="Open Sans"/>
          <w:b/>
          <w:bCs/>
          <w:color w:val="404040"/>
        </w:rPr>
        <w:br/>
      </w:r>
      <w:r w:rsidRPr="5C190B67">
        <w:rPr>
          <w:rFonts w:asciiTheme="minorHAnsi" w:hAnsiTheme="minorHAnsi" w:cs="Open Sans"/>
          <w:color w:val="404040"/>
        </w:rPr>
        <w:t xml:space="preserve">Mepilexförbanden ska väljas om patienten har tunn och skör hud. Mepilex Up är en vidareutveckling av standardMepilex och absorberar mer sårvätska. </w:t>
      </w:r>
      <w:r w:rsidRPr="00C77E94">
        <w:rPr>
          <w:rStyle w:val="Stark"/>
          <w:rFonts w:asciiTheme="minorHAnsi" w:eastAsiaTheme="minorEastAsia" w:hAnsiTheme="minorHAnsi" w:cs="Open Sans"/>
          <w:color w:val="404040"/>
        </w:rPr>
        <w:t>Mepilex Lite</w:t>
      </w:r>
      <w:r w:rsidRPr="5C190B67">
        <w:rPr>
          <w:rFonts w:asciiTheme="minorHAnsi" w:hAnsiTheme="minorHAnsi" w:cs="Open Sans"/>
          <w:color w:val="404040"/>
        </w:rPr>
        <w:t xml:space="preserve"> och </w:t>
      </w:r>
      <w:r w:rsidRPr="00C77E94">
        <w:rPr>
          <w:rStyle w:val="Stark"/>
          <w:rFonts w:asciiTheme="minorHAnsi" w:eastAsiaTheme="minorEastAsia" w:hAnsiTheme="minorHAnsi" w:cs="Open Sans"/>
          <w:color w:val="404040"/>
        </w:rPr>
        <w:t>Mepilex Transfer</w:t>
      </w:r>
      <w:r w:rsidRPr="5C190B67">
        <w:rPr>
          <w:rFonts w:asciiTheme="minorHAnsi" w:hAnsiTheme="minorHAnsi" w:cs="Open Sans"/>
          <w:color w:val="404040"/>
        </w:rPr>
        <w:t xml:space="preserve"> är tunna förband, som passar bra under flerlagerbandage och lämpar sig för olika typer av torra till minimalt vätskande sår. Mepilex Lite och Mepilex Transfer kan klippas till lämplig storlek. Mepilex Lite har ett spärrskikt som håller kvar fukten i såret. Mepilex Transfer transporterar vätska genom förbandet. Mepilex Border Flex är med häftkant. </w:t>
      </w:r>
      <w:r w:rsidRPr="00C77E94">
        <w:rPr>
          <w:rStyle w:val="Stark"/>
          <w:rFonts w:asciiTheme="minorHAnsi" w:eastAsiaTheme="minorEastAsia" w:hAnsiTheme="minorHAnsi" w:cs="Open Sans"/>
          <w:color w:val="404040"/>
        </w:rPr>
        <w:t>Mepilex Heel</w:t>
      </w:r>
      <w:r w:rsidRPr="5C190B67">
        <w:rPr>
          <w:rFonts w:asciiTheme="minorHAnsi" w:hAnsiTheme="minorHAnsi" w:cs="Open Sans"/>
          <w:color w:val="404040"/>
        </w:rPr>
        <w:t xml:space="preserve"> och </w:t>
      </w:r>
      <w:r w:rsidRPr="00C77E94">
        <w:rPr>
          <w:rStyle w:val="Stark"/>
          <w:rFonts w:asciiTheme="minorHAnsi" w:eastAsiaTheme="minorEastAsia" w:hAnsiTheme="minorHAnsi" w:cs="Open Sans"/>
          <w:color w:val="404040"/>
        </w:rPr>
        <w:t>Mepilex Border Sacrum</w:t>
      </w:r>
      <w:r w:rsidRPr="5C190B67">
        <w:rPr>
          <w:rFonts w:asciiTheme="minorHAnsi" w:hAnsiTheme="minorHAnsi" w:cs="Open Sans"/>
          <w:color w:val="404040"/>
        </w:rPr>
        <w:t xml:space="preserve"> finns också att tillgå vid specifika behov.</w:t>
      </w:r>
    </w:p>
    <w:p w14:paraId="0F688D4F" w14:textId="77777777" w:rsidR="008864AD"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color w:val="404040"/>
        </w:rPr>
        <w:t>Tegaderm Foam Adesive</w:t>
      </w:r>
      <w:r w:rsidRPr="00445E73">
        <w:rPr>
          <w:rFonts w:asciiTheme="minorHAnsi" w:hAnsiTheme="minorHAnsi" w:cs="Open Sans"/>
          <w:b/>
          <w:bCs/>
          <w:color w:val="404040"/>
        </w:rPr>
        <w:br/>
      </w:r>
      <w:r w:rsidRPr="00445E73">
        <w:rPr>
          <w:rFonts w:asciiTheme="minorHAnsi" w:hAnsiTheme="minorHAnsi" w:cs="Open Sans"/>
          <w:color w:val="404040"/>
        </w:rPr>
        <w:t xml:space="preserve">Polyuretanskumförband som absorberar stor mängd sårvätska. </w:t>
      </w:r>
      <w:r>
        <w:rPr>
          <w:rFonts w:asciiTheme="minorHAnsi" w:hAnsiTheme="minorHAnsi" w:cs="Open Sans"/>
          <w:color w:val="404040"/>
        </w:rPr>
        <w:t>S</w:t>
      </w:r>
      <w:r w:rsidRPr="00445E73">
        <w:rPr>
          <w:rFonts w:asciiTheme="minorHAnsi" w:hAnsiTheme="minorHAnsi" w:cs="Open Sans"/>
          <w:color w:val="404040"/>
        </w:rPr>
        <w:t>tjärnliknande förband med häftkant, vilket gör det lätt att applicera på svårapplicerade områden så som hälar, knä, axlar och höft.</w:t>
      </w:r>
    </w:p>
    <w:p w14:paraId="3901D29C" w14:textId="77777777" w:rsidR="008864AD" w:rsidRDefault="008864AD" w:rsidP="008864AD">
      <w:pPr>
        <w:pStyle w:val="Normal4"/>
        <w:spacing w:before="0" w:beforeAutospacing="0" w:after="240" w:afterAutospacing="0"/>
        <w:rPr>
          <w:rFonts w:asciiTheme="minorHAnsi" w:hAnsiTheme="minorHAnsi" w:cs="Open Sans"/>
          <w:b/>
          <w:bCs/>
          <w:color w:val="404040"/>
        </w:rPr>
      </w:pPr>
      <w:r w:rsidRPr="006E243E">
        <w:rPr>
          <w:rFonts w:asciiTheme="minorHAnsi" w:hAnsiTheme="minorHAnsi" w:cs="Open Sans"/>
          <w:b/>
          <w:bCs/>
          <w:color w:val="404040"/>
        </w:rPr>
        <w:t>Mediplast</w:t>
      </w:r>
      <w:r>
        <w:rPr>
          <w:rFonts w:asciiTheme="minorHAnsi" w:hAnsiTheme="minorHAnsi" w:cs="Open Sans"/>
          <w:b/>
          <w:bCs/>
          <w:color w:val="404040"/>
        </w:rPr>
        <w:t xml:space="preserve"> skumförband</w:t>
      </w:r>
      <w:r>
        <w:rPr>
          <w:rFonts w:asciiTheme="minorHAnsi" w:hAnsiTheme="minorHAnsi" w:cs="Open Sans"/>
          <w:b/>
          <w:bCs/>
          <w:color w:val="404040"/>
        </w:rPr>
        <w:br/>
      </w:r>
      <w:r w:rsidRPr="006E243E">
        <w:rPr>
          <w:rFonts w:asciiTheme="minorHAnsi" w:hAnsiTheme="minorHAnsi" w:cs="Open Sans"/>
          <w:color w:val="404040"/>
        </w:rPr>
        <w:t>Polyuretanskumförband utan vidhäftning. Fungerar bra under kompression. Finns i två olika storlekar.</w:t>
      </w:r>
      <w:r>
        <w:rPr>
          <w:rFonts w:asciiTheme="minorHAnsi" w:hAnsiTheme="minorHAnsi" w:cs="Open Sans"/>
          <w:color w:val="404040"/>
        </w:rPr>
        <w:t xml:space="preserve"> Används vid </w:t>
      </w:r>
      <w:r w:rsidRPr="00501A05">
        <w:rPr>
          <w:rFonts w:asciiTheme="minorHAnsi" w:hAnsiTheme="minorHAnsi" w:cs="Open Sans"/>
          <w:color w:val="404040"/>
        </w:rPr>
        <w:t>måttligt till rikligt vätskande sår</w:t>
      </w:r>
      <w:r>
        <w:rPr>
          <w:rFonts w:asciiTheme="minorHAnsi" w:hAnsiTheme="minorHAnsi" w:cs="Open Sans"/>
          <w:color w:val="404040"/>
        </w:rPr>
        <w:t>.</w:t>
      </w:r>
    </w:p>
    <w:p w14:paraId="15F98C62" w14:textId="77777777" w:rsidR="008864AD" w:rsidRPr="006E243E" w:rsidRDefault="008864AD" w:rsidP="008864AD">
      <w:pPr>
        <w:pStyle w:val="Normal4"/>
        <w:spacing w:before="0" w:beforeAutospacing="0" w:after="240" w:afterAutospacing="0"/>
        <w:rPr>
          <w:rFonts w:asciiTheme="minorHAnsi" w:hAnsiTheme="minorHAnsi" w:cs="Open Sans"/>
          <w:color w:val="404040"/>
        </w:rPr>
      </w:pPr>
      <w:r>
        <w:rPr>
          <w:rFonts w:asciiTheme="minorHAnsi" w:hAnsiTheme="minorHAnsi" w:cs="Open Sans"/>
          <w:b/>
          <w:bCs/>
          <w:color w:val="404040"/>
        </w:rPr>
        <w:t>Kliniderm Foam Heel</w:t>
      </w:r>
      <w:r>
        <w:rPr>
          <w:rFonts w:asciiTheme="minorHAnsi" w:hAnsiTheme="minorHAnsi" w:cs="Open Sans"/>
          <w:b/>
          <w:bCs/>
          <w:color w:val="404040"/>
        </w:rPr>
        <w:br/>
      </w:r>
      <w:r>
        <w:rPr>
          <w:rFonts w:asciiTheme="minorHAnsi" w:hAnsiTheme="minorHAnsi" w:cs="Open Sans"/>
          <w:color w:val="404040"/>
        </w:rPr>
        <w:t>Polyuretanskumförband till måttligt till kraftigt vätskande hälsår. Utan häftkant.</w:t>
      </w:r>
    </w:p>
    <w:p w14:paraId="218B39AF"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445E73">
        <w:rPr>
          <w:rStyle w:val="Stark"/>
          <w:rFonts w:asciiTheme="minorHAnsi" w:eastAsiaTheme="minorEastAsia" w:hAnsiTheme="minorHAnsi" w:cs="Open Sans"/>
          <w:color w:val="404040"/>
        </w:rPr>
        <w:t>Allevyn Gentle Border Heel</w:t>
      </w:r>
      <w:r w:rsidRPr="00445E73">
        <w:rPr>
          <w:rFonts w:asciiTheme="minorHAnsi" w:hAnsiTheme="minorHAnsi" w:cs="Open Sans"/>
          <w:b/>
          <w:bCs/>
          <w:color w:val="404040"/>
        </w:rPr>
        <w:br/>
      </w:r>
      <w:r w:rsidRPr="00445E73">
        <w:rPr>
          <w:rFonts w:asciiTheme="minorHAnsi" w:hAnsiTheme="minorHAnsi" w:cs="Open Sans"/>
          <w:color w:val="404040"/>
        </w:rPr>
        <w:t>Polyuretanskum med ytbeläggning av silikon. Förbande</w:t>
      </w:r>
      <w:r>
        <w:rPr>
          <w:rFonts w:asciiTheme="minorHAnsi" w:hAnsiTheme="minorHAnsi" w:cs="Open Sans"/>
          <w:color w:val="404040"/>
        </w:rPr>
        <w:t>t</w:t>
      </w:r>
      <w:r w:rsidRPr="00445E73">
        <w:rPr>
          <w:rFonts w:asciiTheme="minorHAnsi" w:hAnsiTheme="minorHAnsi" w:cs="Open Sans"/>
          <w:color w:val="404040"/>
        </w:rPr>
        <w:t xml:space="preserve"> används för måttligt till kraftigt vätskande </w:t>
      </w:r>
      <w:r>
        <w:rPr>
          <w:rFonts w:asciiTheme="minorHAnsi" w:hAnsiTheme="minorHAnsi" w:cs="Open Sans"/>
          <w:color w:val="404040"/>
        </w:rPr>
        <w:t>häl</w:t>
      </w:r>
      <w:r w:rsidRPr="00445E73">
        <w:rPr>
          <w:rFonts w:asciiTheme="minorHAnsi" w:hAnsiTheme="minorHAnsi" w:cs="Open Sans"/>
          <w:color w:val="404040"/>
        </w:rPr>
        <w:t>sår. Har häftkant.</w:t>
      </w:r>
    </w:p>
    <w:p w14:paraId="7530BD3F" w14:textId="77777777" w:rsidR="008864AD" w:rsidRPr="00956085" w:rsidRDefault="008864AD" w:rsidP="008864AD">
      <w:pPr>
        <w:pStyle w:val="Rubrik2"/>
      </w:pPr>
      <w:r w:rsidRPr="00956085">
        <w:rPr>
          <w:rStyle w:val="Stark"/>
          <w:b/>
        </w:rPr>
        <w:t>Hydrokolloida förband</w:t>
      </w:r>
    </w:p>
    <w:p w14:paraId="69D90F72"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830719">
        <w:rPr>
          <w:rStyle w:val="Stark"/>
          <w:rFonts w:asciiTheme="majorHAnsi" w:eastAsiaTheme="minorEastAsia" w:hAnsiTheme="majorHAnsi" w:cs="Open Sans"/>
          <w:color w:val="404040"/>
        </w:rPr>
        <w:t xml:space="preserve">DuoDERM E, DuoDERM extra thin, DuoDERM Standard, DuoDERM mini, </w:t>
      </w:r>
      <w:r w:rsidRPr="00830719">
        <w:rPr>
          <w:rStyle w:val="Stark"/>
          <w:rFonts w:asciiTheme="majorHAnsi" w:eastAsiaTheme="minorEastAsia" w:hAnsiTheme="majorHAnsi" w:cs="Open Sans"/>
          <w:color w:val="404040"/>
        </w:rPr>
        <w:br/>
        <w:t>Duoderm E Border</w:t>
      </w:r>
      <w:r w:rsidRPr="00445E73">
        <w:rPr>
          <w:rFonts w:asciiTheme="minorHAnsi" w:hAnsiTheme="minorHAnsi" w:cs="Open Sans"/>
          <w:b/>
          <w:bCs/>
          <w:color w:val="404040"/>
        </w:rPr>
        <w:br/>
      </w:r>
      <w:r w:rsidRPr="00445E73">
        <w:rPr>
          <w:rFonts w:asciiTheme="minorHAnsi" w:hAnsiTheme="minorHAnsi" w:cs="Open Sans"/>
          <w:color w:val="404040"/>
        </w:rPr>
        <w:t xml:space="preserve">Hydrokolloidplatta som ger en fuktighetsbevarande miljö som främjar uppbyggnad av nytt epitel i såret. Löser upp fibrinbeläggning och nekroser. </w:t>
      </w:r>
      <w:r w:rsidRPr="00445E73">
        <w:rPr>
          <w:rStyle w:val="Stark"/>
          <w:rFonts w:asciiTheme="minorHAnsi" w:eastAsiaTheme="minorEastAsia" w:hAnsiTheme="minorHAnsi" w:cs="Open Sans"/>
          <w:color w:val="404040"/>
        </w:rPr>
        <w:t>Skall ej användas på arteriella sår med torra nekroser, diabetesfotsår eller vid infekterade, starkt vätskande sår</w:t>
      </w:r>
      <w:r w:rsidRPr="00445E73">
        <w:rPr>
          <w:rFonts w:asciiTheme="minorHAnsi" w:hAnsiTheme="minorHAnsi" w:cs="Open Sans"/>
          <w:color w:val="404040"/>
        </w:rPr>
        <w:t>. Bör ej användas om huden runt såret är mycket skör. Plattan kan klippas till önskad storlek, med minst 2 cm utanför sårkanten för att den skall få en bra fästyta. Värm med handen på plattan, så fastnar den bättre. Under upprensningsfas rekommenderas täta byten. Patienter med kolofoniumallergi (plåsterallergi) kan ha problem att tåla DuoDERM E, DuoDERM E Border, DuoDERM mini och DuoDERM extra thin.</w:t>
      </w:r>
    </w:p>
    <w:p w14:paraId="47328877" w14:textId="77777777" w:rsidR="008864AD" w:rsidRPr="00956085" w:rsidRDefault="008864AD" w:rsidP="008864AD">
      <w:pPr>
        <w:pStyle w:val="Rubrik2"/>
      </w:pPr>
      <w:r w:rsidRPr="00956085">
        <w:rPr>
          <w:rStyle w:val="Stark"/>
          <w:b/>
        </w:rPr>
        <w:t>Alginatförband</w:t>
      </w:r>
    </w:p>
    <w:p w14:paraId="78AA2753"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830719">
        <w:rPr>
          <w:rStyle w:val="Stark"/>
          <w:rFonts w:asciiTheme="majorHAnsi" w:eastAsiaTheme="minorEastAsia" w:hAnsiTheme="majorHAnsi" w:cs="Open Sans"/>
          <w:color w:val="404040"/>
        </w:rPr>
        <w:t xml:space="preserve">Kaltostat </w:t>
      </w:r>
      <w:r w:rsidRPr="00445E73">
        <w:rPr>
          <w:rFonts w:asciiTheme="minorHAnsi" w:hAnsiTheme="minorHAnsi" w:cs="Open Sans"/>
          <w:b/>
          <w:bCs/>
          <w:color w:val="404040"/>
        </w:rPr>
        <w:br/>
      </w:r>
      <w:r w:rsidRPr="00445E73">
        <w:rPr>
          <w:rFonts w:asciiTheme="minorHAnsi" w:hAnsiTheme="minorHAnsi" w:cs="Open Sans"/>
          <w:color w:val="404040"/>
        </w:rPr>
        <w:t>Förbandet kan användas till måttligt till kraftigt vätskande sår och till sår med lättare blödning, då det har blodstillande egenskaper. Kaltostat är ett innerförband, där ytterförband sedan väljs med hänsyn till mängd sekretion från såret.</w:t>
      </w:r>
    </w:p>
    <w:p w14:paraId="32B3A326" w14:textId="77777777" w:rsidR="008864AD" w:rsidRPr="00956085" w:rsidRDefault="008864AD" w:rsidP="008864AD">
      <w:pPr>
        <w:pStyle w:val="Rubrik2"/>
        <w:rPr>
          <w:rStyle w:val="Rubrik3Char"/>
          <w:b/>
          <w:bCs/>
          <w:sz w:val="28"/>
        </w:rPr>
      </w:pPr>
      <w:r w:rsidRPr="00956085">
        <w:rPr>
          <w:rStyle w:val="Rubrik3Char"/>
          <w:b/>
          <w:bCs/>
          <w:sz w:val="28"/>
        </w:rPr>
        <w:t>Hydrofiberförband</w:t>
      </w:r>
    </w:p>
    <w:p w14:paraId="3086B65B"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830719">
        <w:rPr>
          <w:rStyle w:val="Stark"/>
          <w:rFonts w:asciiTheme="majorHAnsi" w:eastAsiaTheme="minorEastAsia" w:hAnsiTheme="majorHAnsi" w:cs="Open Sans"/>
          <w:color w:val="404040"/>
        </w:rPr>
        <w:t>Aquacel Extra</w:t>
      </w:r>
      <w:r w:rsidRPr="00445E73">
        <w:rPr>
          <w:rFonts w:asciiTheme="minorHAnsi" w:hAnsiTheme="minorHAnsi" w:cs="Open Sans"/>
          <w:b/>
          <w:bCs/>
          <w:color w:val="404040"/>
        </w:rPr>
        <w:br/>
      </w:r>
      <w:r>
        <w:rPr>
          <w:rFonts w:asciiTheme="minorHAnsi" w:hAnsiTheme="minorHAnsi" w:cs="Open Sans"/>
          <w:color w:val="404040"/>
        </w:rPr>
        <w:t>Aquacel Extra är ett h</w:t>
      </w:r>
      <w:r w:rsidRPr="00445E73">
        <w:rPr>
          <w:rFonts w:asciiTheme="minorHAnsi" w:hAnsiTheme="minorHAnsi" w:cs="Open Sans"/>
          <w:color w:val="404040"/>
        </w:rPr>
        <w:t xml:space="preserve">ydrofiberförband </w:t>
      </w:r>
      <w:r>
        <w:rPr>
          <w:rFonts w:asciiTheme="minorHAnsi" w:hAnsiTheme="minorHAnsi" w:cs="Open Sans"/>
          <w:color w:val="404040"/>
        </w:rPr>
        <w:t xml:space="preserve">som </w:t>
      </w:r>
      <w:r w:rsidRPr="00445E73">
        <w:rPr>
          <w:rFonts w:asciiTheme="minorHAnsi" w:hAnsiTheme="minorHAnsi" w:cs="Open Sans"/>
          <w:color w:val="404040"/>
        </w:rPr>
        <w:t xml:space="preserve">absorberar och håller kvar vätska inne i fiberstrukturen. </w:t>
      </w:r>
      <w:r w:rsidRPr="00445E73">
        <w:rPr>
          <w:rStyle w:val="Stark"/>
          <w:rFonts w:asciiTheme="minorHAnsi" w:eastAsiaTheme="minorEastAsia" w:hAnsiTheme="minorHAnsi" w:cs="Open Sans"/>
          <w:bCs/>
          <w:color w:val="404040"/>
        </w:rPr>
        <w:t>Aquacel Extra</w:t>
      </w:r>
      <w:r w:rsidRPr="00445E73">
        <w:rPr>
          <w:rFonts w:asciiTheme="minorHAnsi" w:hAnsiTheme="minorHAnsi" w:cs="Open Sans"/>
          <w:b/>
          <w:bCs/>
          <w:color w:val="404040"/>
        </w:rPr>
        <w:t xml:space="preserve"> </w:t>
      </w:r>
      <w:r w:rsidRPr="00445E73">
        <w:rPr>
          <w:rFonts w:asciiTheme="minorHAnsi" w:hAnsiTheme="minorHAnsi" w:cs="Open Sans"/>
          <w:color w:val="404040"/>
        </w:rPr>
        <w:t xml:space="preserve">kan användas vid kraftigt vätskande sår och sårhålor (finns även som tamponad/Aquacel band). </w:t>
      </w:r>
      <w:r w:rsidRPr="00445E73">
        <w:rPr>
          <w:rFonts w:asciiTheme="minorHAnsi" w:hAnsiTheme="minorHAnsi" w:cs="Open Sans"/>
          <w:color w:val="404040"/>
        </w:rPr>
        <w:lastRenderedPageBreak/>
        <w:t xml:space="preserve">Appliceras med en marginal på 1–2 cm ut över sårkanten, ytterförband väljs sedan med hänsyn till mängd sekretion från såret. </w:t>
      </w:r>
    </w:p>
    <w:p w14:paraId="3B0E9AD3" w14:textId="77777777" w:rsidR="008864AD" w:rsidRPr="00956085" w:rsidRDefault="008864AD" w:rsidP="008864AD">
      <w:pPr>
        <w:pStyle w:val="Rubrik2"/>
        <w:rPr>
          <w:rStyle w:val="Rubrik3Char"/>
          <w:b/>
          <w:bCs/>
          <w:sz w:val="28"/>
        </w:rPr>
      </w:pPr>
      <w:r w:rsidRPr="00956085">
        <w:rPr>
          <w:rStyle w:val="Rubrik3Char"/>
          <w:b/>
          <w:bCs/>
          <w:sz w:val="28"/>
        </w:rPr>
        <w:t>Sårförband med speciella egenskaper</w:t>
      </w:r>
    </w:p>
    <w:p w14:paraId="3A565B5B"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830719">
        <w:rPr>
          <w:rStyle w:val="Stark"/>
          <w:rFonts w:asciiTheme="majorHAnsi" w:eastAsiaTheme="minorEastAsia" w:hAnsiTheme="majorHAnsi" w:cs="Open Sans"/>
          <w:color w:val="404040"/>
        </w:rPr>
        <w:t>Iodosorb</w:t>
      </w:r>
      <w:r w:rsidRPr="00445E73">
        <w:rPr>
          <w:rFonts w:asciiTheme="minorHAnsi" w:hAnsiTheme="minorHAnsi" w:cs="Open Sans"/>
          <w:b/>
          <w:bCs/>
          <w:color w:val="404040"/>
        </w:rPr>
        <w:br/>
      </w:r>
      <w:r w:rsidRPr="00445E73">
        <w:rPr>
          <w:rFonts w:asciiTheme="minorHAnsi" w:hAnsiTheme="minorHAnsi" w:cs="Open Sans"/>
          <w:color w:val="404040"/>
        </w:rPr>
        <w:t>Jod anses i låga doser, kunna inhibera ett stort spektrum av bakterier, svampar, och virus, inklusive MRSA (6, 7). Studier har påvisat effekt mot biofilm, Staphylococcus aureus och Pseudomonas aeruginosa (6, 7, 8). Varken toxicitet för eller resistens mot jod är rapporterad (8), dock ska det användas med försiktighet till patienter med tyreoideasjukdom och stora sårytor (4). Iodosorb rekommenderas för upprensning, framför allt till illaluktande, infekterade, starkt vätskande sår med nekrotisk vävnad (3,7). Finns som salva eller kompress, och har hög absorptionskapacitet. Används under kortare tid, som upprensande och antibakteriell ”kur”. Bra till små distala sår, trycksår, diabetesfotsår. Klipp kompressen något mindre än sårets storlek eller lägg en lagom mängd Iodosorbsalva i såret/sårhålan, ej upp på sårkanter. Byts vid färgomslag (till gråvit) efter 2–3 dygn. Täck med lämpligt ytterförband, t ex Kliniderm superabsorbent dressing eller polyuretanskumförband.</w:t>
      </w:r>
    </w:p>
    <w:p w14:paraId="1DFB8F92"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830719">
        <w:rPr>
          <w:rStyle w:val="Stark"/>
          <w:rFonts w:asciiTheme="majorHAnsi" w:eastAsiaTheme="minorEastAsia" w:hAnsiTheme="majorHAnsi" w:cs="Open Sans"/>
          <w:color w:val="404040"/>
        </w:rPr>
        <w:t>Aquacel Ag+Extra</w:t>
      </w:r>
      <w:r w:rsidRPr="00445E73">
        <w:rPr>
          <w:rFonts w:asciiTheme="minorHAnsi" w:hAnsiTheme="minorHAnsi" w:cs="Open Sans"/>
          <w:color w:val="404040"/>
        </w:rPr>
        <w:t xml:space="preserve"> - Silverförband (läkarordination, rekommenderat i 2-4 veckor).</w:t>
      </w:r>
      <w:r w:rsidRPr="00445E73">
        <w:rPr>
          <w:rFonts w:asciiTheme="minorHAnsi" w:hAnsiTheme="minorHAnsi" w:cs="Open Sans"/>
          <w:color w:val="404040"/>
        </w:rPr>
        <w:br/>
        <w:t xml:space="preserve">Silver har experimentellt uppvisat god antibakteriell effekt men antalet väl utförda jämförande kliniska behandlingsstudier är begränsat (6). Det finns fallstudier och enstaka studier som stödjer kortare tids lokalbehandling med silver och senare studier har påvisat effekt mot Staphylococcus aureus, Pseudomonas aeruginosa och MRSA (9, 10). Silverbehandling kan övervägas till svårläkta sår med infektionstecken (3, 4, 11, 12) under kortare tid (två till fyra veckor). Det finns påvisat silver- och antibiotikaresistens hos bakterier som utsatts för silver, men den kliniska betydelsen av dessa fynd är oklar (13, 14). Silverförband används förutom till infekterade, vätskande sår, även för att förebygga infektioner i vissa rena sår, som t ex brännskador. Aquacel Ag+Extra absorberar vätskan vertikalt, vilket minskar risk för fuktskadade sårkanter, även under tryck. Klipp till valfri storlek och form. Lägg den torra kompressen direkt på såret, minst 1 cm:s marginal över sårkanten. Täck med lämpligt ytterförband. Aquacel Ag+Extra finns även som tamponad. </w:t>
      </w:r>
      <w:r w:rsidRPr="00445E73">
        <w:rPr>
          <w:rStyle w:val="Stark"/>
          <w:rFonts w:asciiTheme="minorHAnsi" w:eastAsiaTheme="minorEastAsia" w:hAnsiTheme="minorHAnsi" w:cs="Open Sans"/>
          <w:color w:val="404040"/>
        </w:rPr>
        <w:t>Mepilex Ag</w:t>
      </w:r>
      <w:r w:rsidRPr="00445E73">
        <w:rPr>
          <w:rFonts w:asciiTheme="minorHAnsi" w:hAnsiTheme="minorHAnsi" w:cs="Open Sans"/>
          <w:color w:val="404040"/>
        </w:rPr>
        <w:t xml:space="preserve"> används vid brännskada, se PM Brännskada.</w:t>
      </w:r>
    </w:p>
    <w:p w14:paraId="56BFA1E3"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956085">
        <w:rPr>
          <w:rStyle w:val="Rubrik3Char"/>
        </w:rPr>
        <w:t>Activon</w:t>
      </w:r>
      <w:r w:rsidRPr="00956085">
        <w:rPr>
          <w:rStyle w:val="Rubrik3Char"/>
          <w:b w:val="0"/>
          <w:bCs w:val="0"/>
        </w:rPr>
        <w:br/>
      </w:r>
      <w:r w:rsidRPr="00445E73">
        <w:rPr>
          <w:rFonts w:asciiTheme="minorHAnsi" w:hAnsiTheme="minorHAnsi" w:cs="Open Sans"/>
          <w:color w:val="404040"/>
        </w:rPr>
        <w:t xml:space="preserve">Medicinsk honung (Manukahonung) tillskrivs antiinflammatorisk och antibakteriell </w:t>
      </w:r>
      <w:r>
        <w:rPr>
          <w:rFonts w:asciiTheme="minorHAnsi" w:hAnsiTheme="minorHAnsi" w:cs="Open Sans"/>
          <w:color w:val="404040"/>
        </w:rPr>
        <w:t>inverkan</w:t>
      </w:r>
      <w:r w:rsidRPr="00445E73">
        <w:rPr>
          <w:rFonts w:asciiTheme="minorHAnsi" w:hAnsiTheme="minorHAnsi" w:cs="Open Sans"/>
          <w:color w:val="404040"/>
        </w:rPr>
        <w:t xml:space="preserve"> och har visat effekt mot biofilm (15), Staphylococcus aureus och MRSA (16)</w:t>
      </w:r>
      <w:r>
        <w:rPr>
          <w:rFonts w:asciiTheme="minorHAnsi" w:hAnsiTheme="minorHAnsi" w:cs="Open Sans"/>
          <w:color w:val="404040"/>
        </w:rPr>
        <w:t xml:space="preserve"> i studier</w:t>
      </w:r>
      <w:r w:rsidRPr="00445E73">
        <w:rPr>
          <w:rFonts w:asciiTheme="minorHAnsi" w:hAnsiTheme="minorHAnsi" w:cs="Open Sans"/>
          <w:color w:val="404040"/>
        </w:rPr>
        <w:t xml:space="preserve">. Medicinsk honung används på sår med infektionstecken samt är debriderande genom hög osmotisk potential. </w:t>
      </w:r>
      <w:r>
        <w:rPr>
          <w:rFonts w:asciiTheme="minorHAnsi" w:hAnsiTheme="minorHAnsi" w:cs="Open Sans"/>
          <w:color w:val="404040"/>
        </w:rPr>
        <w:t>Activon</w:t>
      </w:r>
      <w:r w:rsidRPr="00445E73">
        <w:rPr>
          <w:rFonts w:asciiTheme="minorHAnsi" w:hAnsiTheme="minorHAnsi" w:cs="Open Sans"/>
          <w:color w:val="404040"/>
        </w:rPr>
        <w:t xml:space="preserve"> är luktreducerande vilket gör att förbandet passar bra vid till exempel maligna sår. Finns i flera beredningsformer, i tub och kompress 10x10 cm. Täck med lämpligt ytterförband.</w:t>
      </w:r>
      <w:r>
        <w:rPr>
          <w:rFonts w:asciiTheme="minorHAnsi" w:hAnsiTheme="minorHAnsi" w:cs="Open Sans"/>
          <w:color w:val="404040"/>
        </w:rPr>
        <w:t xml:space="preserve"> Finns nu även som ett tunt viskosnät med namnet Actilite.</w:t>
      </w:r>
    </w:p>
    <w:p w14:paraId="10B2771B"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956085">
        <w:rPr>
          <w:rStyle w:val="Rubrik3Char"/>
        </w:rPr>
        <w:t>Kliniderm Superabsorbent dressing</w:t>
      </w:r>
      <w:r w:rsidRPr="00956085">
        <w:rPr>
          <w:rStyle w:val="Rubrik3Char"/>
          <w:b w:val="0"/>
          <w:bCs w:val="0"/>
        </w:rPr>
        <w:br/>
      </w:r>
      <w:r w:rsidRPr="00445E73">
        <w:rPr>
          <w:rFonts w:asciiTheme="minorHAnsi" w:hAnsiTheme="minorHAnsi" w:cs="Open Sans"/>
          <w:color w:val="404040"/>
        </w:rPr>
        <w:t>Superabsorberande ytterförband till rikligt vätskande sår. Absorberar flera gånger sin egen vikt och kapslar in vätska i förbandet. Minimerar risk för fuktskadade sårkanter. Kan ej klippas i. Har ingen häftkant.</w:t>
      </w:r>
      <w:r>
        <w:rPr>
          <w:rFonts w:asciiTheme="minorHAnsi" w:hAnsiTheme="minorHAnsi" w:cs="Open Sans"/>
          <w:color w:val="404040"/>
        </w:rPr>
        <w:t xml:space="preserve"> Fungerar bra under kompression.</w:t>
      </w:r>
    </w:p>
    <w:p w14:paraId="29900108"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956085">
        <w:rPr>
          <w:rStyle w:val="Rubrik3Char"/>
        </w:rPr>
        <w:t>Drymax Extra soft</w:t>
      </w:r>
      <w:r w:rsidRPr="00956085">
        <w:rPr>
          <w:rStyle w:val="Rubrik3Char"/>
        </w:rPr>
        <w:br/>
      </w:r>
      <w:r w:rsidRPr="00445E73">
        <w:rPr>
          <w:rFonts w:asciiTheme="minorHAnsi" w:hAnsiTheme="minorHAnsi" w:cs="Open Sans"/>
          <w:color w:val="404040"/>
        </w:rPr>
        <w:t>Stort (37x56 cm) superabsorberande förband för rikligt vätskande stora sårytor. Har ingen häftkant.</w:t>
      </w:r>
    </w:p>
    <w:p w14:paraId="1484488E" w14:textId="77777777" w:rsidR="008864AD" w:rsidRPr="006E243E" w:rsidRDefault="008864AD" w:rsidP="008864AD">
      <w:pPr>
        <w:pStyle w:val="Normal4"/>
        <w:spacing w:before="0" w:beforeAutospacing="0" w:after="240" w:afterAutospacing="0"/>
        <w:rPr>
          <w:rFonts w:asciiTheme="minorHAnsi" w:hAnsiTheme="minorHAnsi" w:cs="Open Sans"/>
          <w:color w:val="404040"/>
        </w:rPr>
      </w:pPr>
      <w:r w:rsidRPr="00956085">
        <w:rPr>
          <w:rStyle w:val="Rubrik3Char"/>
        </w:rPr>
        <w:t>Cutimed Sorbion Sachet Multi Star</w:t>
      </w:r>
      <w:r w:rsidRPr="00956085">
        <w:rPr>
          <w:rStyle w:val="Rubrik3Char"/>
        </w:rPr>
        <w:br/>
      </w:r>
      <w:r w:rsidRPr="006E243E">
        <w:rPr>
          <w:rFonts w:asciiTheme="minorHAnsi" w:hAnsiTheme="minorHAnsi" w:cs="Open Sans"/>
          <w:color w:val="404040"/>
        </w:rPr>
        <w:t>Ett superabsorber</w:t>
      </w:r>
      <w:r>
        <w:rPr>
          <w:rFonts w:asciiTheme="minorHAnsi" w:hAnsiTheme="minorHAnsi" w:cs="Open Sans"/>
          <w:color w:val="404040"/>
        </w:rPr>
        <w:t>ande förband utan häftkant som kan användas på armbågar och kring dränage (då med slits).</w:t>
      </w:r>
    </w:p>
    <w:p w14:paraId="31E02F5A"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956085">
        <w:rPr>
          <w:rStyle w:val="Rubrik3Char"/>
        </w:rPr>
        <w:lastRenderedPageBreak/>
        <w:t xml:space="preserve">PolyMem </w:t>
      </w:r>
      <w:r w:rsidRPr="00956085">
        <w:rPr>
          <w:rStyle w:val="Rubrik3Char"/>
        </w:rPr>
        <w:br/>
      </w:r>
      <w:r w:rsidRPr="00445E73">
        <w:rPr>
          <w:rFonts w:asciiTheme="minorHAnsi" w:hAnsiTheme="minorHAnsi" w:cs="Open Sans"/>
          <w:color w:val="404040"/>
        </w:rPr>
        <w:t>PolyMemförband innehåller glycerin, surfactant F-68 och superabsorbent, som rensar, fyller, absorberar och ger en jämn fuktighet till såret. Förbandet beskrivs även som smärtreducerande. Finns som PolyMem Max (med spärrskikt) för vätskande sårytor och PolyMem Wic för kaviteter (obs expanderar, fyll endast 2/3 av kaviteten). PolyMem med fixering finns också att tillgå.</w:t>
      </w:r>
    </w:p>
    <w:p w14:paraId="00855947"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956085">
        <w:rPr>
          <w:rStyle w:val="Rubrik3Char"/>
        </w:rPr>
        <w:t>Cutimed Epiona</w:t>
      </w:r>
      <w:r w:rsidRPr="00956085">
        <w:rPr>
          <w:rStyle w:val="Rubrik3Char"/>
          <w:b w:val="0"/>
          <w:bCs w:val="0"/>
        </w:rPr>
        <w:br/>
      </w:r>
      <w:r w:rsidRPr="00445E73">
        <w:rPr>
          <w:rFonts w:asciiTheme="minorHAnsi" w:hAnsiTheme="minorHAnsi" w:cs="Open Sans"/>
          <w:color w:val="404040"/>
        </w:rPr>
        <w:t>Förbandet består av 90 % kollagen och 10 % kalciumalginat. Vid kontakt med sårvätska, omvandlas Epiona till en biologisk nedbrytbar gel, som binder och skyddar naturligt förekommande tillväxtfaktorer. Används till rena sår, där sårläkningen avstannat. Appliceras över hela sårbädden. Om såret är torrt, fukta först med koksaltlösning. Kan användas i samband med pinch graft. Risk för hypergranulation vid långtidsanvändning, behandlingen ska då avbrytas. Täck med lämpligt ytterförband.</w:t>
      </w:r>
    </w:p>
    <w:p w14:paraId="16BEBA82"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956085">
        <w:rPr>
          <w:rStyle w:val="Rubrik3Char"/>
        </w:rPr>
        <w:t>Sorbact</w:t>
      </w:r>
      <w:r w:rsidRPr="00956085">
        <w:rPr>
          <w:rStyle w:val="Rubrik3Char"/>
          <w:b w:val="0"/>
          <w:bCs w:val="0"/>
        </w:rPr>
        <w:br/>
      </w:r>
      <w:r w:rsidRPr="00445E73">
        <w:rPr>
          <w:rFonts w:asciiTheme="minorHAnsi" w:hAnsiTheme="minorHAnsi" w:cs="Open Sans"/>
          <w:color w:val="404040"/>
        </w:rPr>
        <w:t>Bakterie- och svampbindande förband, effektivt mot svampinfektioner i hudveck. Sorbact måste komma i kontakt med sårytan för att vara aktivt. Finns som polyuretanskumförband, kompress, gelkompress och pad.</w:t>
      </w:r>
    </w:p>
    <w:p w14:paraId="2E05CC2B"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956085">
        <w:rPr>
          <w:rStyle w:val="Rubrik3Char"/>
        </w:rPr>
        <w:t>Carboflex</w:t>
      </w:r>
      <w:r w:rsidRPr="00956085">
        <w:rPr>
          <w:rStyle w:val="Rubrik3Char"/>
          <w:b w:val="0"/>
          <w:bCs w:val="0"/>
        </w:rPr>
        <w:br/>
      </w:r>
      <w:r w:rsidRPr="00445E73">
        <w:rPr>
          <w:rFonts w:asciiTheme="minorHAnsi" w:hAnsiTheme="minorHAnsi" w:cs="Open Sans"/>
          <w:color w:val="404040"/>
        </w:rPr>
        <w:t>Kolförband. Används för dess luktreducerande egenskaper. Kan ej klippas i.</w:t>
      </w:r>
    </w:p>
    <w:p w14:paraId="2F7662C7"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956085">
        <w:rPr>
          <w:rStyle w:val="Rubrik3Char"/>
        </w:rPr>
        <w:t>Hydroclean Advance</w:t>
      </w:r>
      <w:r w:rsidRPr="00956085">
        <w:rPr>
          <w:rStyle w:val="Rubrik3Char"/>
          <w:b w:val="0"/>
          <w:bCs w:val="0"/>
        </w:rPr>
        <w:br/>
      </w:r>
      <w:r w:rsidRPr="00445E73">
        <w:rPr>
          <w:rFonts w:asciiTheme="minorHAnsi" w:hAnsiTheme="minorHAnsi" w:cs="Open Sans"/>
          <w:color w:val="404040"/>
        </w:rPr>
        <w:t>Upprensande förband till nekrotiska och fibrinbelagda sårkaviteter, bytes var 3:e dag. Hydroclean är en sårdyna som innehåller superabsorberande polymerer samt Ringer-lösning som spolar rent såret. Täck med lämpligt ytterförband.</w:t>
      </w:r>
    </w:p>
    <w:p w14:paraId="6BB8439F"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956085">
        <w:rPr>
          <w:rStyle w:val="Rubrik3Char"/>
        </w:rPr>
        <w:t>Cutimed HydroControl</w:t>
      </w:r>
      <w:r w:rsidRPr="00956085">
        <w:rPr>
          <w:rStyle w:val="Rubrik3Char"/>
          <w:b w:val="0"/>
          <w:bCs w:val="0"/>
        </w:rPr>
        <w:br/>
      </w:r>
      <w:r w:rsidRPr="00445E73">
        <w:rPr>
          <w:rFonts w:asciiTheme="minorHAnsi" w:hAnsiTheme="minorHAnsi" w:cs="Open Sans"/>
          <w:color w:val="404040"/>
        </w:rPr>
        <w:t>Används till fibrinbelagda sår och sår där sårläkningen står stilla. Förband av polyuretanfilm med hydroaktiv gelmatrix av hydropolymer. Verkar genom osmos för att absorbera sårvätska, upprätthålla en fuktig sårmiljö och stimulera till autolytisk debridering. Ej till rikligt vätskande sårytor. Förbandet kan klippas till lämplig storlek.</w:t>
      </w:r>
    </w:p>
    <w:p w14:paraId="17070C5C"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956085">
        <w:rPr>
          <w:rStyle w:val="Rubrik3Char"/>
        </w:rPr>
        <w:t>Mepitel One</w:t>
      </w:r>
      <w:r w:rsidRPr="00956085">
        <w:rPr>
          <w:rStyle w:val="Rubrik3Char"/>
        </w:rPr>
        <w:br/>
      </w:r>
      <w:r w:rsidRPr="00445E73">
        <w:rPr>
          <w:rFonts w:asciiTheme="minorHAnsi" w:hAnsiTheme="minorHAnsi" w:cs="Open Sans"/>
          <w:color w:val="404040"/>
        </w:rPr>
        <w:t>Ett icke vidhäftande silikonnät som inte fastnar i sårytan, varför förbandsbyten blir mindre smärtsamma. Används till rena granulerande sår, till smärtsamma sår och sår som skall skyddas från skada. Täck med ytterförband.</w:t>
      </w:r>
    </w:p>
    <w:p w14:paraId="0471DC59" w14:textId="77777777" w:rsidR="008864AD" w:rsidRPr="00445E73" w:rsidRDefault="008864AD" w:rsidP="008864AD">
      <w:pPr>
        <w:pStyle w:val="Normal4"/>
        <w:spacing w:before="0" w:beforeAutospacing="0" w:after="240" w:afterAutospacing="0"/>
        <w:rPr>
          <w:rFonts w:asciiTheme="minorHAnsi" w:hAnsiTheme="minorHAnsi" w:cs="Open Sans"/>
          <w:color w:val="404040"/>
        </w:rPr>
      </w:pPr>
      <w:r w:rsidRPr="00956085">
        <w:rPr>
          <w:rStyle w:val="Rubrik3Char"/>
        </w:rPr>
        <w:t>PICO</w:t>
      </w:r>
      <w:r w:rsidRPr="00445E73">
        <w:rPr>
          <w:rFonts w:asciiTheme="minorHAnsi" w:hAnsiTheme="minorHAnsi" w:cs="Open Sans"/>
          <w:color w:val="404040"/>
        </w:rPr>
        <w:t xml:space="preserve"> (läkarordination)</w:t>
      </w:r>
      <w:r w:rsidRPr="00445E73">
        <w:rPr>
          <w:rFonts w:asciiTheme="minorHAnsi" w:hAnsiTheme="minorHAnsi" w:cs="Open Sans"/>
          <w:color w:val="404040"/>
        </w:rPr>
        <w:br/>
        <w:t>Engångssystem för sårbehandling med negativt tryck. PICO-pumpen, som är ansluten till förbandet, genererar ett negativt tryck på -80 mm Hg och är tillräckligt liten för att få plats i fickan. Kan användas till rena svårläkta trycksår, arteriella sår, arteriovenösa sår och sårskador där sårläkningen avstannat. Obs! Osteit måste verifieras och behandlas innan PICO-behandling startas. Acticoat Flex 3, skum tillhörande PICOn eller gasväv är de enda förbanden som kan användas under PICO-förbandet. PICO 14 är upphandlad och pumpen fungerar i 14 dagar, förbandsbyte beroende på sårstatus och sårvätskning. PICO är ingen långtidsbehandling utan används under kortare tid för att stimulera till läkning. Ska utvärderas kontinuerligt av ordinatör.</w:t>
      </w:r>
    </w:p>
    <w:p w14:paraId="1F1EFB48" w14:textId="77777777" w:rsidR="008864AD" w:rsidRPr="00445E73" w:rsidRDefault="008864AD" w:rsidP="008864AD">
      <w:pPr>
        <w:pStyle w:val="Rubrik3"/>
      </w:pPr>
      <w:r w:rsidRPr="00445E73">
        <w:rPr>
          <w:rStyle w:val="Stark"/>
        </w:rPr>
        <w:lastRenderedPageBreak/>
        <w:t>Referenser</w:t>
      </w:r>
    </w:p>
    <w:p w14:paraId="029AAE6F" w14:textId="77777777" w:rsidR="008864AD" w:rsidRPr="00445E73" w:rsidRDefault="008864AD" w:rsidP="008864AD">
      <w:pPr>
        <w:numPr>
          <w:ilvl w:val="0"/>
          <w:numId w:val="52"/>
        </w:numPr>
        <w:spacing w:beforeAutospacing="1" w:afterAutospacing="1" w:line="240" w:lineRule="auto"/>
        <w:rPr>
          <w:rFonts w:asciiTheme="minorHAnsi" w:eastAsia="Times New Roman" w:hAnsiTheme="minorHAnsi" w:cs="Open Sans"/>
          <w:color w:val="404040"/>
          <w:sz w:val="24"/>
          <w:szCs w:val="24"/>
          <w:lang w:eastAsia="sv-SE"/>
        </w:rPr>
      </w:pPr>
      <w:r w:rsidRPr="00445E73">
        <w:t xml:space="preserve">Nationellt vårdprogram för svårläkta sår 2023, </w:t>
      </w:r>
      <w:hyperlink r:id="rId8" w:history="1">
        <w:r w:rsidRPr="00445E73">
          <w:rPr>
            <w:color w:val="0000FF"/>
            <w:u w:val="single"/>
          </w:rPr>
          <w:t>Nationellt vårdprogram för svårläkta sår (nationelltklinisktkunskapsstod.se)</w:t>
        </w:r>
      </w:hyperlink>
    </w:p>
    <w:p w14:paraId="0322916C" w14:textId="77777777" w:rsidR="008864AD" w:rsidRPr="00445E73" w:rsidRDefault="008864AD" w:rsidP="008864AD">
      <w:pPr>
        <w:numPr>
          <w:ilvl w:val="0"/>
          <w:numId w:val="52"/>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445E73">
        <w:rPr>
          <w:rFonts w:asciiTheme="minorHAnsi" w:eastAsia="Times New Roman" w:hAnsiTheme="minorHAnsi" w:cs="Open Sans"/>
          <w:color w:val="404040"/>
          <w:sz w:val="24"/>
          <w:szCs w:val="24"/>
          <w:lang w:eastAsia="sv-SE"/>
        </w:rPr>
        <w:t>Bjellerup M, Lindholm C, Öien RF. Bensår, fotsår hos diabetiker och trycksår. Läkemedelsboken 2014. Stockholm: Läkemedelsverket.</w:t>
      </w:r>
    </w:p>
    <w:p w14:paraId="60319F72" w14:textId="77777777" w:rsidR="008864AD" w:rsidRPr="00445E73" w:rsidRDefault="008864AD" w:rsidP="008864AD">
      <w:pPr>
        <w:numPr>
          <w:ilvl w:val="0"/>
          <w:numId w:val="52"/>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445E73">
        <w:rPr>
          <w:rFonts w:asciiTheme="minorHAnsi" w:eastAsia="Times New Roman" w:hAnsiTheme="minorHAnsi" w:cs="Open Sans"/>
          <w:color w:val="404040"/>
          <w:sz w:val="24"/>
          <w:szCs w:val="24"/>
          <w:lang w:val="en-US" w:eastAsia="sv-SE"/>
        </w:rPr>
        <w:t xml:space="preserve">International Wound Infection Institute (IWII) Wound infection in clinical practice. </w:t>
      </w:r>
      <w:r w:rsidRPr="00445E73">
        <w:rPr>
          <w:rFonts w:asciiTheme="minorHAnsi" w:eastAsia="Times New Roman" w:hAnsiTheme="minorHAnsi" w:cs="Open Sans"/>
          <w:color w:val="404040"/>
          <w:sz w:val="24"/>
          <w:szCs w:val="24"/>
          <w:lang w:eastAsia="sv-SE"/>
        </w:rPr>
        <w:t>Wounds International 2016 International consensus update 2016.</w:t>
      </w:r>
    </w:p>
    <w:p w14:paraId="6ABEC6A0" w14:textId="77777777" w:rsidR="008864AD" w:rsidRPr="00445E73" w:rsidRDefault="008864AD" w:rsidP="008864AD">
      <w:pPr>
        <w:numPr>
          <w:ilvl w:val="0"/>
          <w:numId w:val="52"/>
        </w:numPr>
        <w:tabs>
          <w:tab w:val="clear" w:pos="284"/>
        </w:tabs>
        <w:spacing w:beforeAutospacing="1" w:afterAutospacing="1" w:line="240" w:lineRule="auto"/>
        <w:rPr>
          <w:rFonts w:asciiTheme="minorHAnsi" w:eastAsia="Times New Roman" w:hAnsiTheme="minorHAnsi" w:cs="Open Sans"/>
          <w:color w:val="404040"/>
          <w:sz w:val="24"/>
          <w:szCs w:val="24"/>
          <w:lang w:eastAsia="sv-SE"/>
        </w:rPr>
      </w:pPr>
      <w:hyperlink r:id="rId9" w:history="1">
        <w:r w:rsidRPr="00445E73">
          <w:rPr>
            <w:rStyle w:val="Hyperlnk"/>
            <w:rFonts w:eastAsia="Times New Roman"/>
            <w:sz w:val="24"/>
            <w:szCs w:val="24"/>
            <w:lang w:eastAsia="sv-SE"/>
          </w:rPr>
          <w:t>https://www.internetmedicin.se/page.aspx?id=255</w:t>
        </w:r>
        <w:r w:rsidRPr="00445E73">
          <w:rPr>
            <w:rStyle w:val="Hyperlnk"/>
            <w:rFonts w:eastAsia="Times New Roman"/>
            <w:noProof/>
            <w:sz w:val="24"/>
            <w:szCs w:val="24"/>
            <w:lang w:eastAsia="sv-SE"/>
          </w:rPr>
          <w:drawing>
            <wp:inline distT="0" distB="0" distL="0" distR="0" wp14:anchorId="04FC19AF" wp14:editId="567208F1">
              <wp:extent cx="106680" cy="95250"/>
              <wp:effectExtent l="0" t="0" r="7620" b="0"/>
              <wp:docPr id="29" name="Bildobjekt 2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95250"/>
                      </a:xfrm>
                      <a:prstGeom prst="rect">
                        <a:avLst/>
                      </a:prstGeom>
                      <a:noFill/>
                      <a:ln>
                        <a:noFill/>
                      </a:ln>
                    </pic:spPr>
                  </pic:pic>
                </a:graphicData>
              </a:graphic>
            </wp:inline>
          </w:drawing>
        </w:r>
      </w:hyperlink>
    </w:p>
    <w:p w14:paraId="33D6E81B" w14:textId="77777777" w:rsidR="008864AD" w:rsidRPr="00445E73" w:rsidRDefault="008864AD" w:rsidP="008864AD">
      <w:pPr>
        <w:numPr>
          <w:ilvl w:val="0"/>
          <w:numId w:val="52"/>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445E73">
        <w:rPr>
          <w:rFonts w:asciiTheme="minorHAnsi" w:eastAsia="Times New Roman" w:hAnsiTheme="minorHAnsi" w:cs="Open Sans"/>
          <w:color w:val="404040"/>
          <w:sz w:val="24"/>
          <w:szCs w:val="24"/>
          <w:lang w:val="en-US" w:eastAsia="sv-SE"/>
        </w:rPr>
        <w:t xml:space="preserve">Wiegand C, Eberlein T, Andriessen A. Antibacterial activity of polihexanide formulations in a co-culture of HaCaT keratinocytes and Staphylococcus aureus and at different pH levels. </w:t>
      </w:r>
      <w:r w:rsidRPr="00445E73">
        <w:rPr>
          <w:rFonts w:asciiTheme="minorHAnsi" w:eastAsia="Times New Roman" w:hAnsiTheme="minorHAnsi" w:cs="Open Sans"/>
          <w:color w:val="404040"/>
          <w:sz w:val="24"/>
          <w:szCs w:val="24"/>
          <w:lang w:eastAsia="sv-SE"/>
        </w:rPr>
        <w:t>Wound Repair Regen. 2017 May;25(3):423-431. doi: 10.1111/wrr.12528. Epub 2017 Apr 24.</w:t>
      </w:r>
    </w:p>
    <w:p w14:paraId="56931093" w14:textId="77777777" w:rsidR="008864AD" w:rsidRPr="00445E73" w:rsidRDefault="008864AD" w:rsidP="008864AD">
      <w:pPr>
        <w:numPr>
          <w:ilvl w:val="0"/>
          <w:numId w:val="52"/>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445E73">
        <w:rPr>
          <w:rFonts w:asciiTheme="minorHAnsi" w:eastAsia="Times New Roman" w:hAnsiTheme="minorHAnsi" w:cs="Open Sans"/>
          <w:color w:val="404040"/>
          <w:sz w:val="24"/>
          <w:szCs w:val="24"/>
          <w:lang w:eastAsia="sv-SE"/>
        </w:rPr>
        <w:t>Wickström H. Infektioner vid svårläkta ben-, fot- och trycksår. Information från Läkemedelsverket 2018;29(3):24-27.</w:t>
      </w:r>
    </w:p>
    <w:p w14:paraId="62EFBD27" w14:textId="77777777" w:rsidR="008864AD" w:rsidRPr="00445E73" w:rsidRDefault="008864AD" w:rsidP="008864AD">
      <w:pPr>
        <w:numPr>
          <w:ilvl w:val="0"/>
          <w:numId w:val="52"/>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445E73">
        <w:rPr>
          <w:rFonts w:asciiTheme="minorHAnsi" w:eastAsia="Times New Roman" w:hAnsiTheme="minorHAnsi" w:cs="Open Sans"/>
          <w:color w:val="404040"/>
          <w:sz w:val="24"/>
          <w:szCs w:val="24"/>
          <w:lang w:eastAsia="sv-SE"/>
        </w:rPr>
        <w:t xml:space="preserve">Fitzgerald DJ, Renick PJ, Forrest EC et al. </w:t>
      </w:r>
      <w:r w:rsidRPr="00445E73">
        <w:rPr>
          <w:rFonts w:asciiTheme="minorHAnsi" w:eastAsia="Times New Roman" w:hAnsiTheme="minorHAnsi" w:cs="Open Sans"/>
          <w:color w:val="404040"/>
          <w:sz w:val="24"/>
          <w:szCs w:val="24"/>
          <w:lang w:val="en-US" w:eastAsia="sv-SE"/>
        </w:rPr>
        <w:t xml:space="preserve">Cadexomer iodine provides superior efficacy against bacterial wound biofilms in vitro and in vivo. </w:t>
      </w:r>
      <w:r w:rsidRPr="00445E73">
        <w:rPr>
          <w:rFonts w:asciiTheme="minorHAnsi" w:eastAsia="Times New Roman" w:hAnsiTheme="minorHAnsi" w:cs="Open Sans"/>
          <w:color w:val="404040"/>
          <w:sz w:val="24"/>
          <w:szCs w:val="24"/>
          <w:lang w:eastAsia="sv-SE"/>
        </w:rPr>
        <w:t>Wound Repair Regen. 2017 Jan;25(1):13-24. doi: 10.1111/wrr.12497. Epub 2016 Dec 5.</w:t>
      </w:r>
    </w:p>
    <w:p w14:paraId="223874A2" w14:textId="77777777" w:rsidR="008864AD" w:rsidRPr="00445E73" w:rsidRDefault="008864AD" w:rsidP="008864AD">
      <w:pPr>
        <w:numPr>
          <w:ilvl w:val="0"/>
          <w:numId w:val="52"/>
        </w:numPr>
        <w:tabs>
          <w:tab w:val="clear" w:pos="284"/>
        </w:tabs>
        <w:spacing w:before="100" w:beforeAutospacing="1" w:after="100" w:afterAutospacing="1" w:line="240" w:lineRule="auto"/>
        <w:rPr>
          <w:rFonts w:asciiTheme="minorHAnsi" w:eastAsia="Times New Roman" w:hAnsiTheme="minorHAnsi" w:cs="Open Sans"/>
          <w:color w:val="404040"/>
          <w:sz w:val="24"/>
          <w:szCs w:val="24"/>
          <w:lang w:val="en-US" w:eastAsia="sv-SE"/>
        </w:rPr>
      </w:pPr>
      <w:r w:rsidRPr="00445E73">
        <w:rPr>
          <w:rFonts w:asciiTheme="minorHAnsi" w:eastAsia="Times New Roman" w:hAnsiTheme="minorHAnsi" w:cs="Open Sans"/>
          <w:color w:val="404040"/>
          <w:sz w:val="24"/>
          <w:szCs w:val="24"/>
          <w:lang w:val="en-US" w:eastAsia="sv-SE"/>
        </w:rPr>
        <w:t>Cooper RA. Iodine revisited. J Wound care. 2007;4(2):124-37.</w:t>
      </w:r>
    </w:p>
    <w:p w14:paraId="6ADF412B" w14:textId="77777777" w:rsidR="008864AD" w:rsidRPr="00445E73" w:rsidRDefault="008864AD" w:rsidP="008864AD">
      <w:pPr>
        <w:numPr>
          <w:ilvl w:val="0"/>
          <w:numId w:val="52"/>
        </w:numPr>
        <w:tabs>
          <w:tab w:val="clear" w:pos="284"/>
        </w:tabs>
        <w:spacing w:before="100" w:beforeAutospacing="1" w:after="100" w:afterAutospacing="1" w:line="240" w:lineRule="auto"/>
        <w:rPr>
          <w:rFonts w:asciiTheme="minorHAnsi" w:eastAsia="Times New Roman" w:hAnsiTheme="minorHAnsi" w:cs="Open Sans"/>
          <w:color w:val="404040"/>
          <w:sz w:val="24"/>
          <w:szCs w:val="24"/>
          <w:lang w:val="en-US" w:eastAsia="sv-SE"/>
        </w:rPr>
      </w:pPr>
      <w:r w:rsidRPr="00445E73">
        <w:rPr>
          <w:rFonts w:asciiTheme="minorHAnsi" w:eastAsia="Times New Roman" w:hAnsiTheme="minorHAnsi" w:cs="Open Sans"/>
          <w:color w:val="404040"/>
          <w:sz w:val="24"/>
          <w:szCs w:val="24"/>
          <w:lang w:eastAsia="sv-SE"/>
        </w:rPr>
        <w:t xml:space="preserve">Vermeulen H, van Hattem JM, Storm-Versloot MN, et al. </w:t>
      </w:r>
      <w:r w:rsidRPr="00445E73">
        <w:rPr>
          <w:rFonts w:asciiTheme="minorHAnsi" w:eastAsia="Times New Roman" w:hAnsiTheme="minorHAnsi" w:cs="Open Sans"/>
          <w:color w:val="404040"/>
          <w:sz w:val="24"/>
          <w:szCs w:val="24"/>
          <w:lang w:val="en-US" w:eastAsia="sv-SE"/>
        </w:rPr>
        <w:t>Topical silver for treating infected wounds. Cochrane database of Systematic Reviews 2007, Issue 1. Art. No: CD005486.doi: 10.1002/14651858, CD005486.pub2.</w:t>
      </w:r>
    </w:p>
    <w:p w14:paraId="11D3F20E" w14:textId="77777777" w:rsidR="008864AD" w:rsidRPr="00445E73" w:rsidRDefault="008864AD" w:rsidP="008864AD">
      <w:pPr>
        <w:numPr>
          <w:ilvl w:val="0"/>
          <w:numId w:val="52"/>
        </w:numPr>
        <w:tabs>
          <w:tab w:val="clear" w:pos="284"/>
        </w:tabs>
        <w:spacing w:before="100" w:beforeAutospacing="1" w:after="100" w:afterAutospacing="1" w:line="240" w:lineRule="auto"/>
        <w:rPr>
          <w:rFonts w:asciiTheme="minorHAnsi" w:eastAsia="Times New Roman" w:hAnsiTheme="minorHAnsi" w:cs="Open Sans"/>
          <w:color w:val="404040"/>
          <w:sz w:val="24"/>
          <w:szCs w:val="24"/>
          <w:lang w:val="en-US" w:eastAsia="sv-SE"/>
        </w:rPr>
      </w:pPr>
      <w:r w:rsidRPr="00445E73">
        <w:rPr>
          <w:rFonts w:asciiTheme="minorHAnsi" w:eastAsia="Times New Roman" w:hAnsiTheme="minorHAnsi" w:cs="Open Sans"/>
          <w:color w:val="404040"/>
          <w:sz w:val="24"/>
          <w:szCs w:val="24"/>
          <w:lang w:val="en-US" w:eastAsia="sv-SE"/>
        </w:rPr>
        <w:t>Tran PL, Huynh E, Hamood AN, et al. The ability of a colloidal silver gel wound dressing to kill bacteria in vitro and in vivo. J Wound Care. 2017 Apr 1:26(sup4):S16-S24. Doi: 10.12968/jowc.2017.26.Sup4.S16.</w:t>
      </w:r>
    </w:p>
    <w:p w14:paraId="0AF9B810" w14:textId="77777777" w:rsidR="008864AD" w:rsidRPr="00445E73" w:rsidRDefault="008864AD" w:rsidP="008864AD">
      <w:pPr>
        <w:numPr>
          <w:ilvl w:val="0"/>
          <w:numId w:val="52"/>
        </w:numPr>
        <w:tabs>
          <w:tab w:val="clear" w:pos="284"/>
        </w:tabs>
        <w:spacing w:beforeAutospacing="1" w:afterAutospacing="1" w:line="240" w:lineRule="auto"/>
        <w:rPr>
          <w:rFonts w:asciiTheme="minorHAnsi" w:eastAsia="Times New Roman" w:hAnsiTheme="minorHAnsi" w:cs="Open Sans"/>
          <w:color w:val="404040"/>
          <w:sz w:val="24"/>
          <w:szCs w:val="24"/>
          <w:lang w:val="en-US" w:eastAsia="sv-SE"/>
        </w:rPr>
      </w:pPr>
      <w:r w:rsidRPr="00445E73">
        <w:rPr>
          <w:rFonts w:asciiTheme="minorHAnsi" w:eastAsia="Times New Roman" w:hAnsiTheme="minorHAnsi" w:cs="Open Sans"/>
          <w:color w:val="404040"/>
          <w:sz w:val="24"/>
          <w:szCs w:val="24"/>
          <w:lang w:val="en-US" w:eastAsia="sv-SE"/>
        </w:rPr>
        <w:t xml:space="preserve">International consensus. Appropriate use of silver dressings in wounds. An expert working group consensus. London: Wounds International, 2012. Available to download from: </w:t>
      </w:r>
      <w:hyperlink r:id="rId11" w:anchor="." w:history="1">
        <w:r w:rsidRPr="00445E73">
          <w:rPr>
            <w:rFonts w:eastAsia="Times New Roman"/>
            <w:color w:val="404040"/>
            <w:sz w:val="24"/>
            <w:szCs w:val="24"/>
            <w:lang w:val="en-US" w:eastAsia="sv-SE"/>
          </w:rPr>
          <w:t>www.woundsinternational.com</w:t>
        </w:r>
        <w:r w:rsidRPr="00445E73">
          <w:rPr>
            <w:rFonts w:eastAsia="Times New Roman"/>
            <w:noProof/>
            <w:color w:val="404040"/>
            <w:sz w:val="24"/>
            <w:szCs w:val="24"/>
            <w:lang w:eastAsia="sv-SE"/>
          </w:rPr>
          <w:drawing>
            <wp:inline distT="0" distB="0" distL="0" distR="0" wp14:anchorId="6FCDF27E" wp14:editId="4ADCD006">
              <wp:extent cx="106680" cy="95250"/>
              <wp:effectExtent l="0" t="0" r="7620" b="0"/>
              <wp:docPr id="25" name="Bildobjekt 2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2"/>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95250"/>
                      </a:xfrm>
                      <a:prstGeom prst="rect">
                        <a:avLst/>
                      </a:prstGeom>
                      <a:noFill/>
                      <a:ln>
                        <a:noFill/>
                      </a:ln>
                    </pic:spPr>
                  </pic:pic>
                </a:graphicData>
              </a:graphic>
            </wp:inline>
          </w:drawing>
        </w:r>
        <w:r w:rsidRPr="00445E73">
          <w:rPr>
            <w:rFonts w:eastAsia="Times New Roman"/>
            <w:color w:val="404040"/>
            <w:sz w:val="24"/>
            <w:szCs w:val="24"/>
            <w:lang w:val="en-US" w:eastAsia="sv-SE"/>
          </w:rPr>
          <w:t>.</w:t>
        </w:r>
      </w:hyperlink>
    </w:p>
    <w:p w14:paraId="29170166" w14:textId="77777777" w:rsidR="008864AD" w:rsidRPr="00445E73" w:rsidRDefault="008864AD" w:rsidP="008864AD">
      <w:pPr>
        <w:numPr>
          <w:ilvl w:val="0"/>
          <w:numId w:val="52"/>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445E73">
        <w:rPr>
          <w:rFonts w:asciiTheme="minorHAnsi" w:eastAsia="Times New Roman" w:hAnsiTheme="minorHAnsi" w:cs="Open Sans"/>
          <w:color w:val="404040"/>
          <w:sz w:val="24"/>
          <w:szCs w:val="24"/>
          <w:lang w:val="en-US" w:eastAsia="sv-SE"/>
        </w:rPr>
        <w:t xml:space="preserve">Leaper DJ. Silver dressings: their role in wound management. </w:t>
      </w:r>
      <w:r w:rsidRPr="00445E73">
        <w:rPr>
          <w:rFonts w:asciiTheme="minorHAnsi" w:eastAsia="Times New Roman" w:hAnsiTheme="minorHAnsi" w:cs="Open Sans"/>
          <w:color w:val="404040"/>
          <w:sz w:val="24"/>
          <w:szCs w:val="24"/>
          <w:lang w:eastAsia="sv-SE"/>
        </w:rPr>
        <w:t>In Wound J. 2006;3(4):282-94.</w:t>
      </w:r>
    </w:p>
    <w:p w14:paraId="729D79BF" w14:textId="77777777" w:rsidR="008864AD" w:rsidRPr="006E243E" w:rsidRDefault="008864AD" w:rsidP="008864AD">
      <w:pPr>
        <w:numPr>
          <w:ilvl w:val="0"/>
          <w:numId w:val="52"/>
        </w:numPr>
        <w:tabs>
          <w:tab w:val="clear" w:pos="284"/>
        </w:tabs>
        <w:spacing w:before="100" w:beforeAutospacing="1" w:after="100" w:afterAutospacing="1" w:line="240" w:lineRule="auto"/>
        <w:rPr>
          <w:rFonts w:asciiTheme="minorHAnsi" w:eastAsia="Times New Roman" w:hAnsiTheme="minorHAnsi" w:cs="Open Sans"/>
          <w:color w:val="404040"/>
          <w:sz w:val="24"/>
          <w:szCs w:val="24"/>
          <w:lang w:val="en-GB" w:eastAsia="sv-SE"/>
        </w:rPr>
      </w:pPr>
      <w:r w:rsidRPr="00445E73">
        <w:rPr>
          <w:rFonts w:asciiTheme="minorHAnsi" w:eastAsia="Times New Roman" w:hAnsiTheme="minorHAnsi" w:cs="Open Sans"/>
          <w:color w:val="404040"/>
          <w:sz w:val="24"/>
          <w:szCs w:val="24"/>
          <w:lang w:val="en-US" w:eastAsia="sv-SE"/>
        </w:rPr>
        <w:t xml:space="preserve">Sütterlin S, Edquist P, Sandegren L, et al. Silver resistance genes are overrepresented among Escherichia coli isolates with CTX-M production. Appl Environ Microbiol. 2014 Nov;80(22):6863-9. </w:t>
      </w:r>
      <w:r w:rsidRPr="00445E73">
        <w:rPr>
          <w:rFonts w:asciiTheme="minorHAnsi" w:eastAsia="Times New Roman" w:hAnsiTheme="minorHAnsi" w:cs="Open Sans"/>
          <w:color w:val="404040"/>
          <w:sz w:val="24"/>
          <w:szCs w:val="24"/>
          <w:lang w:val="en-GB" w:eastAsia="sv-SE"/>
        </w:rPr>
        <w:t xml:space="preserve">Doi: 1128/AEM.01803-14. </w:t>
      </w:r>
      <w:r w:rsidRPr="006E243E">
        <w:rPr>
          <w:rFonts w:asciiTheme="minorHAnsi" w:eastAsia="Times New Roman" w:hAnsiTheme="minorHAnsi" w:cs="Open Sans"/>
          <w:color w:val="404040"/>
          <w:sz w:val="24"/>
          <w:szCs w:val="24"/>
          <w:lang w:val="en-GB" w:eastAsia="sv-SE"/>
        </w:rPr>
        <w:t>Epub 2014 Aug 15.</w:t>
      </w:r>
    </w:p>
    <w:p w14:paraId="1E549078" w14:textId="77777777" w:rsidR="008864AD" w:rsidRPr="00445E73" w:rsidRDefault="008864AD" w:rsidP="008864AD">
      <w:pPr>
        <w:numPr>
          <w:ilvl w:val="0"/>
          <w:numId w:val="52"/>
        </w:numPr>
        <w:tabs>
          <w:tab w:val="clear" w:pos="284"/>
        </w:tabs>
        <w:spacing w:beforeAutospacing="1" w:afterAutospacing="1" w:line="240" w:lineRule="auto"/>
        <w:rPr>
          <w:rFonts w:asciiTheme="minorHAnsi" w:eastAsia="Times New Roman" w:hAnsiTheme="minorHAnsi" w:cs="Open Sans"/>
          <w:color w:val="404040"/>
          <w:sz w:val="24"/>
          <w:szCs w:val="24"/>
          <w:lang w:eastAsia="sv-SE"/>
        </w:rPr>
      </w:pPr>
      <w:r w:rsidRPr="00445E73">
        <w:rPr>
          <w:rFonts w:asciiTheme="minorHAnsi" w:eastAsia="Times New Roman" w:hAnsiTheme="minorHAnsi" w:cs="Open Sans"/>
          <w:color w:val="404040"/>
          <w:sz w:val="24"/>
          <w:szCs w:val="24"/>
          <w:lang w:eastAsia="sv-SE"/>
        </w:rPr>
        <w:t xml:space="preserve">Silverförband vid behandling av kroniska sår. Stockholm: Statens beredning för medicinsk utvärdering (SBU); 2010. SBU Alert-rapport nr 2010-02. ISSN 1652-7151. </w:t>
      </w:r>
      <w:hyperlink r:id="rId13" w:history="1">
        <w:r w:rsidRPr="00445E73">
          <w:rPr>
            <w:rFonts w:eastAsia="Times New Roman"/>
            <w:color w:val="404040"/>
            <w:sz w:val="24"/>
            <w:szCs w:val="24"/>
            <w:lang w:eastAsia="sv-SE"/>
          </w:rPr>
          <w:t>http://www.sbu.se</w:t>
        </w:r>
        <w:r w:rsidRPr="00445E73">
          <w:rPr>
            <w:rFonts w:eastAsia="Times New Roman"/>
            <w:noProof/>
            <w:color w:val="404040"/>
            <w:sz w:val="24"/>
            <w:szCs w:val="24"/>
            <w:lang w:eastAsia="sv-SE"/>
          </w:rPr>
          <w:drawing>
            <wp:inline distT="0" distB="0" distL="0" distR="0" wp14:anchorId="14254096" wp14:editId="742B7C20">
              <wp:extent cx="106680" cy="95250"/>
              <wp:effectExtent l="0" t="0" r="7620" b="0"/>
              <wp:docPr id="24" name="Bildobjekt 2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4"/>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95250"/>
                      </a:xfrm>
                      <a:prstGeom prst="rect">
                        <a:avLst/>
                      </a:prstGeom>
                      <a:noFill/>
                      <a:ln>
                        <a:noFill/>
                      </a:ln>
                    </pic:spPr>
                  </pic:pic>
                </a:graphicData>
              </a:graphic>
            </wp:inline>
          </w:drawing>
        </w:r>
      </w:hyperlink>
    </w:p>
    <w:p w14:paraId="2D371DA4" w14:textId="77777777" w:rsidR="008864AD" w:rsidRPr="00445E73" w:rsidRDefault="008864AD" w:rsidP="008864AD">
      <w:pPr>
        <w:numPr>
          <w:ilvl w:val="0"/>
          <w:numId w:val="52"/>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445E73">
        <w:rPr>
          <w:rFonts w:asciiTheme="minorHAnsi" w:eastAsia="Times New Roman" w:hAnsiTheme="minorHAnsi" w:cs="Open Sans"/>
          <w:color w:val="404040"/>
          <w:sz w:val="24"/>
          <w:szCs w:val="24"/>
          <w:lang w:val="en-US" w:eastAsia="sv-SE"/>
        </w:rPr>
        <w:t xml:space="preserve">Halstead FD, Webber MA, Rauf M et al. In vitro activity of an engineered honey, medical-grade honeys, and antimicrobial wound dressings against biofilm-producing clinical bacterial isolates. </w:t>
      </w:r>
      <w:r w:rsidRPr="00445E73">
        <w:rPr>
          <w:rFonts w:asciiTheme="minorHAnsi" w:eastAsia="Times New Roman" w:hAnsiTheme="minorHAnsi" w:cs="Open Sans"/>
          <w:color w:val="404040"/>
          <w:sz w:val="24"/>
          <w:szCs w:val="24"/>
          <w:lang w:eastAsia="sv-SE"/>
        </w:rPr>
        <w:t>J Wound Care 2016 Feb;25(2):93-4, 96-102.</w:t>
      </w:r>
    </w:p>
    <w:p w14:paraId="3678F272" w14:textId="77777777" w:rsidR="008864AD" w:rsidRPr="00445E73" w:rsidRDefault="008864AD" w:rsidP="008864AD">
      <w:pPr>
        <w:numPr>
          <w:ilvl w:val="0"/>
          <w:numId w:val="52"/>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445E73">
        <w:rPr>
          <w:rFonts w:asciiTheme="minorHAnsi" w:eastAsia="Times New Roman" w:hAnsiTheme="minorHAnsi" w:cs="Open Sans"/>
          <w:color w:val="404040"/>
          <w:sz w:val="24"/>
          <w:szCs w:val="24"/>
          <w:lang w:eastAsia="sv-SE"/>
        </w:rPr>
        <w:t xml:space="preserve">Almasaudi SB, Al-Nahari AAM, Abd El-Ghany ESM et al. </w:t>
      </w:r>
      <w:r w:rsidRPr="00445E73">
        <w:rPr>
          <w:rFonts w:asciiTheme="minorHAnsi" w:eastAsia="Times New Roman" w:hAnsiTheme="minorHAnsi" w:cs="Open Sans"/>
          <w:color w:val="404040"/>
          <w:sz w:val="24"/>
          <w:szCs w:val="24"/>
          <w:lang w:val="en-US" w:eastAsia="sv-SE"/>
        </w:rPr>
        <w:t xml:space="preserve">Antibicrobial effect of different types of honey on Staphylococcus aureus. </w:t>
      </w:r>
      <w:r w:rsidRPr="00445E73">
        <w:rPr>
          <w:rFonts w:asciiTheme="minorHAnsi" w:eastAsia="Times New Roman" w:hAnsiTheme="minorHAnsi" w:cs="Open Sans"/>
          <w:color w:val="404040"/>
          <w:sz w:val="24"/>
          <w:szCs w:val="24"/>
          <w:lang w:eastAsia="sv-SE"/>
        </w:rPr>
        <w:t>Saudi J Biol Sci 2017 Sept;24(6):1255-1261.</w:t>
      </w:r>
    </w:p>
    <w:p w14:paraId="0D2B4FB8" w14:textId="58F9DF65" w:rsidR="00AD03C5" w:rsidRDefault="008864AD" w:rsidP="008864AD">
      <w:pPr>
        <w:pStyle w:val="Normal4"/>
        <w:spacing w:after="240"/>
      </w:pPr>
      <w:r w:rsidRPr="00445E73">
        <w:rPr>
          <w:rFonts w:asciiTheme="minorHAnsi" w:hAnsiTheme="minorHAnsi" w:cs="Open Sans"/>
          <w:color w:val="404040"/>
        </w:rPr>
        <w:br/>
      </w:r>
      <w:r w:rsidRPr="00445E73">
        <w:rPr>
          <w:rStyle w:val="Stark"/>
          <w:rFonts w:asciiTheme="minorHAnsi" w:eastAsiaTheme="minorEastAsia" w:hAnsiTheme="minorHAnsi" w:cs="Open Sans"/>
          <w:color w:val="404040"/>
        </w:rPr>
        <w:t>För vidare läsning rekommenderas följande:</w:t>
      </w:r>
      <w:r w:rsidRPr="00445E73">
        <w:rPr>
          <w:rStyle w:val="Stark"/>
          <w:rFonts w:asciiTheme="minorHAnsi" w:eastAsiaTheme="minorEastAsia" w:hAnsiTheme="minorHAnsi" w:cs="Open Sans"/>
          <w:color w:val="404040"/>
        </w:rPr>
        <w:br/>
      </w:r>
      <w:r w:rsidRPr="00445E73">
        <w:rPr>
          <w:rFonts w:asciiTheme="minorHAnsi" w:hAnsiTheme="minorHAnsi" w:cs="Open Sans"/>
          <w:color w:val="404040"/>
        </w:rPr>
        <w:t xml:space="preserve">RiksSår: </w:t>
      </w:r>
      <w:hyperlink r:id="rId15" w:history="1">
        <w:r w:rsidRPr="00956085">
          <w:rPr>
            <w:rStyle w:val="Hyperlnk"/>
            <w:rFonts w:asciiTheme="minorHAnsi" w:eastAsiaTheme="majorEastAsia" w:hAnsiTheme="minorHAnsi" w:cs="Open Sans"/>
            <w:color w:val="0070C0"/>
          </w:rPr>
          <w:t>www.rikssar.se</w:t>
        </w:r>
        <w:r w:rsidRPr="00956085">
          <w:rPr>
            <w:rStyle w:val="Hyperlnk"/>
            <w:rFonts w:asciiTheme="minorHAnsi" w:hAnsiTheme="minorHAnsi" w:cs="Open Sans"/>
            <w:noProof/>
            <w:color w:val="0070C0"/>
          </w:rPr>
          <w:drawing>
            <wp:inline distT="0" distB="0" distL="0" distR="0" wp14:anchorId="4345DC53" wp14:editId="6A222A00">
              <wp:extent cx="106680" cy="95250"/>
              <wp:effectExtent l="0" t="0" r="7620" b="0"/>
              <wp:docPr id="17" name="Bildobjekt 1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6"/>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95250"/>
                      </a:xfrm>
                      <a:prstGeom prst="rect">
                        <a:avLst/>
                      </a:prstGeom>
                      <a:noFill/>
                      <a:ln>
                        <a:noFill/>
                      </a:ln>
                    </pic:spPr>
                  </pic:pic>
                </a:graphicData>
              </a:graphic>
            </wp:inline>
          </w:drawing>
        </w:r>
      </w:hyperlink>
      <w:r w:rsidRPr="00445E73">
        <w:rPr>
          <w:rFonts w:asciiTheme="minorHAnsi" w:hAnsiTheme="minorHAnsi" w:cs="Open Sans"/>
          <w:color w:val="404040"/>
        </w:rPr>
        <w:br/>
        <w:t xml:space="preserve">Sårwebben: </w:t>
      </w:r>
      <w:hyperlink r:id="rId17" w:history="1">
        <w:r w:rsidRPr="00956085">
          <w:rPr>
            <w:rStyle w:val="Hyperlnk"/>
            <w:rFonts w:asciiTheme="minorHAnsi" w:eastAsiaTheme="majorEastAsia" w:hAnsiTheme="minorHAnsi" w:cs="Open Sans"/>
            <w:color w:val="0070C0"/>
          </w:rPr>
          <w:t>https://www.vgregion.se/s/skaraborgs-sjukhus/vardgivare/sarwebben/</w:t>
        </w:r>
        <w:r w:rsidRPr="00956085">
          <w:rPr>
            <w:rFonts w:asciiTheme="minorHAnsi" w:hAnsiTheme="minorHAnsi" w:cs="Open Sans"/>
            <w:noProof/>
            <w:color w:val="0070C0"/>
          </w:rPr>
          <w:drawing>
            <wp:inline distT="0" distB="0" distL="0" distR="0" wp14:anchorId="3BB237A3" wp14:editId="3F0D48CC">
              <wp:extent cx="106680" cy="95250"/>
              <wp:effectExtent l="0" t="0" r="7620" b="0"/>
              <wp:docPr id="13" name="Bildobjekt 1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7"/>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95250"/>
                      </a:xfrm>
                      <a:prstGeom prst="rect">
                        <a:avLst/>
                      </a:prstGeom>
                      <a:noFill/>
                      <a:ln>
                        <a:noFill/>
                      </a:ln>
                    </pic:spPr>
                  </pic:pic>
                </a:graphicData>
              </a:graphic>
            </wp:inline>
          </w:drawing>
        </w:r>
      </w:hyperlink>
      <w:r w:rsidR="00AD03C5">
        <w:br w:type="page"/>
      </w:r>
    </w:p>
    <w:p w14:paraId="7ECF8137" w14:textId="77777777" w:rsidR="00EC79BD" w:rsidRPr="002C2CB5" w:rsidRDefault="00EC79BD" w:rsidP="00EC79BD">
      <w:pPr>
        <w:pStyle w:val="Rubrik1"/>
        <w:rPr>
          <w:rFonts w:cstheme="majorBidi"/>
          <w:color w:val="000000" w:themeColor="text1"/>
          <w:sz w:val="40"/>
          <w:szCs w:val="40"/>
        </w:rPr>
      </w:pPr>
      <w:bookmarkStart w:id="3" w:name="_Toc72423771"/>
      <w:bookmarkStart w:id="4" w:name="_Toc164686701"/>
      <w:r>
        <w:rPr>
          <w:rFonts w:cstheme="majorBidi"/>
          <w:color w:val="000000" w:themeColor="text1"/>
          <w:sz w:val="40"/>
          <w:szCs w:val="40"/>
          <w14:numForm w14:val="lining"/>
        </w:rPr>
        <w:lastRenderedPageBreak/>
        <w:t>A</w:t>
      </w:r>
      <w:r w:rsidRPr="30DC2584">
        <w:rPr>
          <w:rFonts w:cstheme="majorBidi"/>
          <w:color w:val="000000" w:themeColor="text1"/>
          <w:sz w:val="40"/>
          <w:szCs w:val="40"/>
          <w14:numForm w14:val="lining"/>
        </w:rPr>
        <w:t>ndningsorgan</w:t>
      </w:r>
      <w:bookmarkEnd w:id="3"/>
      <w:bookmarkEnd w:id="4"/>
    </w:p>
    <w:p w14:paraId="799D1FE6" w14:textId="77777777" w:rsidR="00EC79BD" w:rsidRPr="00613DC9" w:rsidRDefault="00EC79BD" w:rsidP="00EC79BD">
      <w:pPr>
        <w:rPr>
          <w:rFonts w:cs="Arial"/>
          <w:szCs w:val="24"/>
        </w:rPr>
      </w:pPr>
      <w:r>
        <w:rPr>
          <w:rFonts w:eastAsiaTheme="majorEastAsia" w:cstheme="majorBidi"/>
          <w:b/>
          <w:bCs/>
          <w:sz w:val="24"/>
          <w:szCs w:val="24"/>
          <w14:numForm w14:val="lining"/>
        </w:rPr>
        <w:br/>
      </w:r>
      <w:r w:rsidRPr="00613DC9">
        <w:rPr>
          <w:rFonts w:eastAsiaTheme="majorEastAsia" w:cstheme="majorBidi"/>
          <w:b/>
          <w:bCs/>
          <w:sz w:val="24"/>
          <w:szCs w:val="24"/>
          <w14:numForm w14:val="lining"/>
        </w:rPr>
        <w:t xml:space="preserve">Senast uppdaterad </w:t>
      </w:r>
      <w:r>
        <w:rPr>
          <w:rFonts w:eastAsiaTheme="majorEastAsia" w:cstheme="majorBidi"/>
          <w:b/>
          <w:bCs/>
          <w:sz w:val="24"/>
          <w:szCs w:val="24"/>
          <w14:numForm w14:val="lining"/>
        </w:rPr>
        <w:t>2026-03-24</w:t>
      </w:r>
    </w:p>
    <w:p w14:paraId="1BDDC3C0" w14:textId="77777777" w:rsidR="00EC79BD" w:rsidRPr="00BD5A6E" w:rsidRDefault="00EC79BD" w:rsidP="00EC79BD">
      <w:pPr>
        <w:pStyle w:val="Rubrik3"/>
      </w:pPr>
      <w:r w:rsidRPr="00BD5A6E">
        <w:rPr>
          <w:rStyle w:val="Stark"/>
          <w:b/>
        </w:rPr>
        <w:t>Terapigruppsmedlemmar</w:t>
      </w:r>
    </w:p>
    <w:p w14:paraId="25AB66B5" w14:textId="77777777" w:rsidR="00EC79BD" w:rsidRDefault="00EC79BD" w:rsidP="00EC79BD">
      <w:pPr>
        <w:pStyle w:val="Normal4"/>
        <w:spacing w:before="0" w:beforeAutospacing="0" w:after="0" w:afterAutospacing="0"/>
        <w:rPr>
          <w:rFonts w:asciiTheme="minorHAnsi" w:hAnsiTheme="minorHAnsi" w:cs="Open Sans"/>
          <w:color w:val="404040"/>
        </w:rPr>
      </w:pPr>
      <w:r w:rsidRPr="00BD5A6E">
        <w:rPr>
          <w:rFonts w:asciiTheme="minorHAnsi" w:hAnsiTheme="minorHAnsi" w:cs="Open Sans"/>
          <w:color w:val="404040"/>
        </w:rPr>
        <w:t>Ida Sigsäter</w:t>
      </w:r>
      <w:r>
        <w:rPr>
          <w:rFonts w:asciiTheme="minorHAnsi" w:hAnsiTheme="minorHAnsi" w:cs="Open Sans"/>
          <w:color w:val="404040"/>
        </w:rPr>
        <w:t xml:space="preserve"> de Neergaard</w:t>
      </w:r>
      <w:r w:rsidRPr="00BD5A6E">
        <w:rPr>
          <w:rFonts w:asciiTheme="minorHAnsi" w:hAnsiTheme="minorHAnsi" w:cs="Open Sans"/>
          <w:color w:val="404040"/>
        </w:rPr>
        <w:t xml:space="preserve">, </w:t>
      </w:r>
      <w:r>
        <w:rPr>
          <w:rFonts w:asciiTheme="minorHAnsi" w:hAnsiTheme="minorHAnsi" w:cs="Open Sans"/>
          <w:color w:val="404040"/>
        </w:rPr>
        <w:t>ST-</w:t>
      </w:r>
      <w:r w:rsidRPr="00BD5A6E">
        <w:rPr>
          <w:rFonts w:asciiTheme="minorHAnsi" w:hAnsiTheme="minorHAnsi" w:cs="Open Sans"/>
          <w:color w:val="404040"/>
        </w:rPr>
        <w:t xml:space="preserve">läkare, </w:t>
      </w:r>
      <w:r>
        <w:rPr>
          <w:rFonts w:asciiTheme="minorHAnsi" w:hAnsiTheme="minorHAnsi" w:cs="Open Sans"/>
          <w:color w:val="404040"/>
        </w:rPr>
        <w:t xml:space="preserve">sammankallande, </w:t>
      </w:r>
      <w:r w:rsidRPr="00BD5A6E">
        <w:rPr>
          <w:rFonts w:asciiTheme="minorHAnsi" w:hAnsiTheme="minorHAnsi" w:cs="Open Sans"/>
          <w:color w:val="404040"/>
        </w:rPr>
        <w:t>Nättraby vårdcentral</w:t>
      </w:r>
      <w:r w:rsidRPr="00BD5A6E">
        <w:rPr>
          <w:rFonts w:asciiTheme="minorHAnsi" w:hAnsiTheme="minorHAnsi" w:cs="Open Sans"/>
          <w:color w:val="404040"/>
        </w:rPr>
        <w:br/>
        <w:t xml:space="preserve">Caroline Servin, </w:t>
      </w:r>
      <w:r>
        <w:rPr>
          <w:rFonts w:asciiTheme="minorHAnsi" w:hAnsiTheme="minorHAnsi" w:cs="Open Sans"/>
          <w:color w:val="404040"/>
        </w:rPr>
        <w:t>överläkare</w:t>
      </w:r>
      <w:r w:rsidRPr="00BD5A6E">
        <w:rPr>
          <w:rFonts w:asciiTheme="minorHAnsi" w:hAnsiTheme="minorHAnsi" w:cs="Open Sans"/>
          <w:color w:val="404040"/>
        </w:rPr>
        <w:t>, Barn</w:t>
      </w:r>
      <w:r>
        <w:rPr>
          <w:rFonts w:asciiTheme="minorHAnsi" w:hAnsiTheme="minorHAnsi" w:cs="Open Sans"/>
          <w:color w:val="404040"/>
        </w:rPr>
        <w:t>- och ungdoms</w:t>
      </w:r>
      <w:r w:rsidRPr="00BD5A6E">
        <w:rPr>
          <w:rFonts w:asciiTheme="minorHAnsi" w:hAnsiTheme="minorHAnsi" w:cs="Open Sans"/>
          <w:color w:val="404040"/>
        </w:rPr>
        <w:t>kliniken</w:t>
      </w:r>
      <w:r w:rsidRPr="00BD5A6E">
        <w:rPr>
          <w:rFonts w:asciiTheme="minorHAnsi" w:hAnsiTheme="minorHAnsi" w:cs="Open Sans"/>
          <w:color w:val="404040"/>
        </w:rPr>
        <w:br/>
      </w:r>
      <w:r>
        <w:rPr>
          <w:rFonts w:asciiTheme="minorHAnsi" w:hAnsiTheme="minorHAnsi" w:cs="Open Sans"/>
          <w:color w:val="404040"/>
        </w:rPr>
        <w:t>Magnus Petersson, överläkare, Medicinkliniken</w:t>
      </w:r>
      <w:r w:rsidRPr="00BD5A6E">
        <w:rPr>
          <w:rFonts w:asciiTheme="minorHAnsi" w:hAnsiTheme="minorHAnsi" w:cs="Open Sans"/>
          <w:color w:val="404040"/>
        </w:rPr>
        <w:br/>
        <w:t xml:space="preserve">Elisabeth Witte, sektionsledare, </w:t>
      </w:r>
      <w:r>
        <w:rPr>
          <w:rFonts w:asciiTheme="minorHAnsi" w:hAnsiTheme="minorHAnsi" w:cs="Open Sans"/>
          <w:color w:val="404040"/>
        </w:rPr>
        <w:t>Lungmottagningen</w:t>
      </w:r>
      <w:r w:rsidRPr="00BD5A6E">
        <w:rPr>
          <w:rFonts w:asciiTheme="minorHAnsi" w:hAnsiTheme="minorHAnsi" w:cs="Open Sans"/>
          <w:color w:val="404040"/>
        </w:rPr>
        <w:br/>
      </w:r>
      <w:r>
        <w:rPr>
          <w:rFonts w:asciiTheme="minorHAnsi" w:hAnsiTheme="minorHAnsi" w:cs="Open Sans"/>
          <w:color w:val="404040"/>
        </w:rPr>
        <w:t xml:space="preserve">Therese Nilsson, astma-/KOL-sköterska, Samaritens vårdcentral </w:t>
      </w:r>
      <w:r>
        <w:rPr>
          <w:rFonts w:asciiTheme="minorHAnsi" w:hAnsiTheme="minorHAnsi" w:cs="Open Sans"/>
          <w:color w:val="404040"/>
        </w:rPr>
        <w:br/>
        <w:t>Ola Trobbe, överläkare, ÖNH-kliniken</w:t>
      </w:r>
      <w:r w:rsidRPr="00BD5A6E">
        <w:rPr>
          <w:rFonts w:asciiTheme="minorHAnsi" w:hAnsiTheme="minorHAnsi" w:cs="Open Sans"/>
          <w:color w:val="404040"/>
        </w:rPr>
        <w:br/>
      </w:r>
      <w:r>
        <w:rPr>
          <w:rFonts w:asciiTheme="minorHAnsi" w:hAnsiTheme="minorHAnsi" w:cs="Open Sans"/>
          <w:color w:val="404040"/>
        </w:rPr>
        <w:t xml:space="preserve">Martin Johansson, ST-läkare, </w:t>
      </w:r>
      <w:r w:rsidRPr="00BD5A6E">
        <w:rPr>
          <w:rFonts w:asciiTheme="minorHAnsi" w:hAnsiTheme="minorHAnsi" w:cs="Open Sans"/>
          <w:color w:val="404040"/>
        </w:rPr>
        <w:t>Nättraby vårdcentral</w:t>
      </w:r>
      <w:r>
        <w:rPr>
          <w:rFonts w:asciiTheme="minorHAnsi" w:hAnsiTheme="minorHAnsi" w:cs="Open Sans"/>
          <w:color w:val="404040"/>
        </w:rPr>
        <w:br/>
        <w:t>Linn Svensson, klinisk farmaceut, Läkemedelsenheten</w:t>
      </w:r>
    </w:p>
    <w:p w14:paraId="3B8FEBF2" w14:textId="77777777" w:rsidR="00EC79BD" w:rsidRDefault="00EC79BD" w:rsidP="00EC79BD">
      <w:pPr>
        <w:pStyle w:val="Normal4"/>
        <w:spacing w:before="0" w:beforeAutospacing="0" w:after="0" w:afterAutospacing="0"/>
        <w:rPr>
          <w:rFonts w:asciiTheme="minorHAnsi" w:hAnsiTheme="minorHAnsi" w:cs="Open Sans"/>
          <w:color w:val="404040"/>
        </w:rPr>
      </w:pPr>
    </w:p>
    <w:p w14:paraId="1B5B739D" w14:textId="77777777" w:rsidR="00EC79BD" w:rsidRDefault="00EC79BD" w:rsidP="00EC79BD">
      <w:pPr>
        <w:pStyle w:val="Normal4"/>
        <w:spacing w:before="0" w:beforeAutospacing="0" w:after="0" w:afterAutospacing="0"/>
        <w:rPr>
          <w:rFonts w:asciiTheme="minorHAnsi" w:hAnsiTheme="minorHAnsi" w:cs="Calibri"/>
          <w:color w:val="404040"/>
        </w:rPr>
      </w:pPr>
      <w:r w:rsidRPr="000C17EB">
        <w:rPr>
          <w:rFonts w:asciiTheme="minorHAnsi" w:hAnsiTheme="minorHAnsi" w:cs="Calibri"/>
          <w:color w:val="404040"/>
        </w:rPr>
        <w:t xml:space="preserve">Andningsorganens terapigrupps alternativ baseras på vetenskaplig dokumentation, användarvänlighet, pris och klimataspekter. </w:t>
      </w:r>
    </w:p>
    <w:p w14:paraId="1E6F1991" w14:textId="77777777" w:rsidR="00EC79BD" w:rsidRDefault="00EC79BD" w:rsidP="00EC79BD">
      <w:pPr>
        <w:pStyle w:val="Normal4"/>
        <w:spacing w:before="0" w:beforeAutospacing="0" w:after="0" w:afterAutospacing="0"/>
        <w:rPr>
          <w:rFonts w:asciiTheme="minorHAnsi" w:hAnsiTheme="minorHAnsi" w:cs="Calibri"/>
          <w:color w:val="404040"/>
        </w:rPr>
      </w:pPr>
    </w:p>
    <w:p w14:paraId="273486C0" w14:textId="77777777" w:rsidR="00EC79BD" w:rsidRPr="0084029B" w:rsidRDefault="00EC79BD" w:rsidP="00EC79BD">
      <w:pPr>
        <w:pStyle w:val="Normal4"/>
        <w:spacing w:before="0" w:beforeAutospacing="0" w:after="0" w:afterAutospacing="0"/>
        <w:rPr>
          <w:rFonts w:asciiTheme="minorHAnsi" w:hAnsiTheme="minorHAnsi" w:cs="Calibri"/>
          <w:b/>
          <w:bCs/>
          <w:color w:val="404040"/>
        </w:rPr>
      </w:pPr>
      <w:r w:rsidRPr="0084029B">
        <w:rPr>
          <w:rFonts w:asciiTheme="minorHAnsi" w:hAnsiTheme="minorHAnsi" w:cs="Calibri"/>
          <w:b/>
          <w:bCs/>
          <w:color w:val="404040"/>
        </w:rPr>
        <w:t>Ordlista</w:t>
      </w:r>
    </w:p>
    <w:p w14:paraId="25223AA2" w14:textId="77777777" w:rsidR="00EC79BD" w:rsidRDefault="00EC79BD" w:rsidP="00EC79BD">
      <w:pPr>
        <w:pStyle w:val="Normal4"/>
        <w:spacing w:before="0" w:beforeAutospacing="0" w:after="0" w:afterAutospacing="0"/>
        <w:rPr>
          <w:rFonts w:asciiTheme="minorHAnsi" w:hAnsiTheme="minorHAnsi" w:cs="Calibri"/>
          <w:color w:val="404040"/>
        </w:rPr>
      </w:pPr>
    </w:p>
    <w:tbl>
      <w:tblPr>
        <w:tblStyle w:val="Rutntstabell4dekorfrg2"/>
        <w:tblW w:w="8359" w:type="dxa"/>
        <w:tblLayout w:type="fixed"/>
        <w:tblLook w:val="04A0" w:firstRow="1" w:lastRow="0" w:firstColumn="1" w:lastColumn="0" w:noHBand="0" w:noVBand="1"/>
      </w:tblPr>
      <w:tblGrid>
        <w:gridCol w:w="1413"/>
        <w:gridCol w:w="2977"/>
        <w:gridCol w:w="3969"/>
      </w:tblGrid>
      <w:tr w:rsidR="00EC79BD" w:rsidRPr="000C17EB" w14:paraId="57F88F9E" w14:textId="77777777" w:rsidTr="0063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D302C40" w14:textId="77777777" w:rsidR="00EC79BD" w:rsidRPr="000C17EB" w:rsidRDefault="00EC79BD" w:rsidP="00632FCC">
            <w:pPr>
              <w:pStyle w:val="Normal4"/>
              <w:spacing w:before="0" w:beforeAutospacing="0" w:after="0" w:afterAutospacing="0"/>
              <w:rPr>
                <w:rFonts w:asciiTheme="minorHAnsi" w:hAnsiTheme="minorHAnsi" w:cs="Calibri"/>
              </w:rPr>
            </w:pPr>
            <w:r w:rsidRPr="000C17EB">
              <w:rPr>
                <w:rFonts w:asciiTheme="minorHAnsi" w:hAnsiTheme="minorHAnsi" w:cs="Calibri"/>
              </w:rPr>
              <w:t>Förkortning</w:t>
            </w:r>
          </w:p>
        </w:tc>
        <w:tc>
          <w:tcPr>
            <w:tcW w:w="2977" w:type="dxa"/>
          </w:tcPr>
          <w:p w14:paraId="2C1E4D19"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Calibri"/>
              </w:rPr>
            </w:pPr>
            <w:r w:rsidRPr="000C17EB">
              <w:rPr>
                <w:rFonts w:asciiTheme="minorHAnsi" w:hAnsiTheme="minorHAnsi" w:cs="Calibri"/>
              </w:rPr>
              <w:t>Engelska</w:t>
            </w:r>
          </w:p>
        </w:tc>
        <w:tc>
          <w:tcPr>
            <w:tcW w:w="3969" w:type="dxa"/>
          </w:tcPr>
          <w:p w14:paraId="21807440"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Calibri"/>
              </w:rPr>
            </w:pPr>
            <w:r w:rsidRPr="000C17EB">
              <w:rPr>
                <w:rFonts w:asciiTheme="minorHAnsi" w:hAnsiTheme="minorHAnsi" w:cs="Calibri"/>
              </w:rPr>
              <w:t xml:space="preserve">Svenska </w:t>
            </w:r>
          </w:p>
        </w:tc>
      </w:tr>
      <w:tr w:rsidR="00EC79BD" w:rsidRPr="000C17EB" w14:paraId="68C4DD89" w14:textId="77777777" w:rsidTr="00632FC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413" w:type="dxa"/>
          </w:tcPr>
          <w:p w14:paraId="75AA8E77"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ADL</w:t>
            </w:r>
          </w:p>
        </w:tc>
        <w:tc>
          <w:tcPr>
            <w:tcW w:w="2977" w:type="dxa"/>
          </w:tcPr>
          <w:p w14:paraId="2B2864EA"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Activities of daily living</w:t>
            </w:r>
          </w:p>
        </w:tc>
        <w:tc>
          <w:tcPr>
            <w:tcW w:w="3969" w:type="dxa"/>
          </w:tcPr>
          <w:p w14:paraId="47B43E3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Aktiviteter i dagligt liv</w:t>
            </w:r>
          </w:p>
        </w:tc>
      </w:tr>
      <w:tr w:rsidR="00EC79BD" w:rsidRPr="000C17EB" w14:paraId="2AAD68B9" w14:textId="77777777" w:rsidTr="00632FCC">
        <w:trPr>
          <w:trHeight w:val="278"/>
        </w:trPr>
        <w:tc>
          <w:tcPr>
            <w:cnfStyle w:val="001000000000" w:firstRow="0" w:lastRow="0" w:firstColumn="1" w:lastColumn="0" w:oddVBand="0" w:evenVBand="0" w:oddHBand="0" w:evenHBand="0" w:firstRowFirstColumn="0" w:firstRowLastColumn="0" w:lastRowFirstColumn="0" w:lastRowLastColumn="0"/>
            <w:tcW w:w="1413" w:type="dxa"/>
          </w:tcPr>
          <w:p w14:paraId="6373CB20"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rPr>
              <w:t>ACT/AKT</w:t>
            </w:r>
          </w:p>
        </w:tc>
        <w:tc>
          <w:tcPr>
            <w:tcW w:w="2977" w:type="dxa"/>
          </w:tcPr>
          <w:p w14:paraId="6C447C37"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Asthma control test</w:t>
            </w:r>
          </w:p>
        </w:tc>
        <w:tc>
          <w:tcPr>
            <w:tcW w:w="3969" w:type="dxa"/>
          </w:tcPr>
          <w:p w14:paraId="1A5E31E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Astmakontrolltest</w:t>
            </w:r>
          </w:p>
        </w:tc>
      </w:tr>
      <w:tr w:rsidR="00EC79BD" w:rsidRPr="000C17EB" w14:paraId="45475033" w14:textId="77777777" w:rsidTr="00632FC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413" w:type="dxa"/>
          </w:tcPr>
          <w:p w14:paraId="59975A12" w14:textId="77777777" w:rsidR="00EC79BD" w:rsidRPr="000C17EB" w:rsidRDefault="00EC79BD" w:rsidP="00632FCC">
            <w:pPr>
              <w:pStyle w:val="Normal4"/>
              <w:spacing w:before="0" w:beforeAutospacing="0" w:after="0" w:afterAutospacing="0"/>
              <w:rPr>
                <w:rFonts w:asciiTheme="minorHAnsi" w:hAnsiTheme="minorHAnsi" w:cs="Calibri"/>
              </w:rPr>
            </w:pPr>
            <w:r w:rsidRPr="000C17EB">
              <w:rPr>
                <w:rFonts w:asciiTheme="minorHAnsi" w:hAnsiTheme="minorHAnsi" w:cs="Calibri"/>
                <w:color w:val="002D5C" w:themeColor="text2" w:themeShade="BF"/>
              </w:rPr>
              <w:t>BPD</w:t>
            </w:r>
          </w:p>
        </w:tc>
        <w:tc>
          <w:tcPr>
            <w:tcW w:w="2977" w:type="dxa"/>
          </w:tcPr>
          <w:p w14:paraId="1E674EB7"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Pr>
                <w:rFonts w:asciiTheme="minorHAnsi" w:hAnsiTheme="minorHAnsi" w:cs="Calibri"/>
                <w:color w:val="002D5C" w:themeColor="text2" w:themeShade="BF"/>
              </w:rPr>
              <w:t>Bronchopulmonary dysplasia</w:t>
            </w:r>
          </w:p>
        </w:tc>
        <w:tc>
          <w:tcPr>
            <w:tcW w:w="3969" w:type="dxa"/>
          </w:tcPr>
          <w:p w14:paraId="7C4384B7"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Bronkopulmonell dysplasi</w:t>
            </w:r>
          </w:p>
        </w:tc>
      </w:tr>
      <w:tr w:rsidR="00EC79BD" w:rsidRPr="000C17EB" w14:paraId="0DF3E199"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5BDC87C5"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BMI</w:t>
            </w:r>
          </w:p>
        </w:tc>
        <w:tc>
          <w:tcPr>
            <w:tcW w:w="2977" w:type="dxa"/>
          </w:tcPr>
          <w:p w14:paraId="3651893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Body mass index</w:t>
            </w:r>
          </w:p>
        </w:tc>
        <w:tc>
          <w:tcPr>
            <w:tcW w:w="3969" w:type="dxa"/>
          </w:tcPr>
          <w:p w14:paraId="7109544C"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Kroppsmasseindex</w:t>
            </w:r>
          </w:p>
        </w:tc>
      </w:tr>
      <w:tr w:rsidR="00EC79BD" w:rsidRPr="000C17EB" w14:paraId="62936BE2"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2252F7"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CAT</w:t>
            </w:r>
          </w:p>
        </w:tc>
        <w:tc>
          <w:tcPr>
            <w:tcW w:w="2977" w:type="dxa"/>
          </w:tcPr>
          <w:p w14:paraId="1FD5CA43"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lang w:val="en-US"/>
              </w:rPr>
            </w:pPr>
            <w:r w:rsidRPr="00BA13AD">
              <w:rPr>
                <w:rFonts w:asciiTheme="minorHAnsi" w:hAnsiTheme="minorHAnsi" w:cs="Calibri"/>
                <w:color w:val="002D5C" w:themeColor="text2" w:themeShade="BF"/>
                <w:lang w:val="en-US"/>
              </w:rPr>
              <w:t>Chronic obstructive pulmonary disease assessment test</w:t>
            </w:r>
          </w:p>
        </w:tc>
        <w:tc>
          <w:tcPr>
            <w:tcW w:w="3969" w:type="dxa"/>
          </w:tcPr>
          <w:p w14:paraId="67BD41D5"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Sjukdomsrelaterad hälsostatus för KOL</w:t>
            </w:r>
          </w:p>
        </w:tc>
      </w:tr>
      <w:tr w:rsidR="00EC79BD" w:rsidRPr="000C17EB" w14:paraId="518999A6"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4C9E9F55"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EILO</w:t>
            </w:r>
          </w:p>
          <w:p w14:paraId="7C535EBC" w14:textId="77777777" w:rsidR="00EC79BD" w:rsidRPr="000C17EB" w:rsidRDefault="00EC79BD" w:rsidP="00632FCC">
            <w:pPr>
              <w:pStyle w:val="Normal4"/>
              <w:spacing w:before="0" w:beforeAutospacing="0" w:after="0" w:afterAutospacing="0"/>
              <w:rPr>
                <w:rFonts w:asciiTheme="minorHAnsi" w:hAnsiTheme="minorHAnsi" w:cs="Calibri"/>
                <w:color w:val="404040"/>
              </w:rPr>
            </w:pPr>
          </w:p>
        </w:tc>
        <w:tc>
          <w:tcPr>
            <w:tcW w:w="2977" w:type="dxa"/>
          </w:tcPr>
          <w:p w14:paraId="256650DA"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Excercise induced laryngeal obstruction</w:t>
            </w:r>
          </w:p>
        </w:tc>
        <w:tc>
          <w:tcPr>
            <w:tcW w:w="3969" w:type="dxa"/>
          </w:tcPr>
          <w:p w14:paraId="61388D17"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Ansträngningsutlöst förträngning i struphuvudet</w:t>
            </w:r>
          </w:p>
        </w:tc>
      </w:tr>
      <w:tr w:rsidR="00EC79BD" w:rsidRPr="000C17EB" w14:paraId="06F6D642"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6D85D88"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FABA</w:t>
            </w:r>
          </w:p>
        </w:tc>
        <w:tc>
          <w:tcPr>
            <w:tcW w:w="2977" w:type="dxa"/>
          </w:tcPr>
          <w:p w14:paraId="5588F748"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lang w:val="en-US"/>
              </w:rPr>
            </w:pPr>
            <w:r w:rsidRPr="00BA13AD">
              <w:rPr>
                <w:rFonts w:asciiTheme="minorHAnsi" w:hAnsiTheme="minorHAnsi" w:cs="Calibri"/>
                <w:color w:val="002D5C" w:themeColor="text2" w:themeShade="BF"/>
                <w:lang w:val="en-US"/>
              </w:rPr>
              <w:t>Fast acting beta-2-receptor agonist</w:t>
            </w:r>
          </w:p>
        </w:tc>
        <w:tc>
          <w:tcPr>
            <w:tcW w:w="3969" w:type="dxa"/>
          </w:tcPr>
          <w:p w14:paraId="02836CF0"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 xml:space="preserve">Beta-2-receptoragonist med snabbt insättande effekt, med kort eller lång verkningstid </w:t>
            </w:r>
          </w:p>
        </w:tc>
      </w:tr>
      <w:tr w:rsidR="00EC79BD" w:rsidRPr="000C17EB" w14:paraId="4603E2EC"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468655C1"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FEV1</w:t>
            </w:r>
          </w:p>
        </w:tc>
        <w:tc>
          <w:tcPr>
            <w:tcW w:w="2977" w:type="dxa"/>
          </w:tcPr>
          <w:p w14:paraId="2A94AB4A" w14:textId="77777777" w:rsidR="00EC79BD" w:rsidRPr="00BA13A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lang w:val="en-US"/>
              </w:rPr>
            </w:pPr>
            <w:r w:rsidRPr="00BA13AD">
              <w:rPr>
                <w:rFonts w:asciiTheme="minorHAnsi" w:hAnsiTheme="minorHAnsi" w:cs="Calibri"/>
                <w:color w:val="002D5C" w:themeColor="text2" w:themeShade="BF"/>
                <w:lang w:val="en-US"/>
              </w:rPr>
              <w:t>Forced expiratory volume in one second</w:t>
            </w:r>
          </w:p>
        </w:tc>
        <w:tc>
          <w:tcPr>
            <w:tcW w:w="3969" w:type="dxa"/>
          </w:tcPr>
          <w:p w14:paraId="247C0CCD"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Forcerad expiratorisk volym under en sekund</w:t>
            </w:r>
          </w:p>
        </w:tc>
      </w:tr>
      <w:tr w:rsidR="00EC79BD" w:rsidRPr="000C17EB" w14:paraId="60EC2DEC"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E255865"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FEV6</w:t>
            </w:r>
          </w:p>
        </w:tc>
        <w:tc>
          <w:tcPr>
            <w:tcW w:w="2977" w:type="dxa"/>
          </w:tcPr>
          <w:p w14:paraId="19BCDA4F"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lang w:val="en-US"/>
              </w:rPr>
            </w:pPr>
            <w:r w:rsidRPr="00BA13AD">
              <w:rPr>
                <w:rFonts w:asciiTheme="minorHAnsi" w:hAnsiTheme="minorHAnsi" w:cs="Calibri"/>
                <w:color w:val="002D5C" w:themeColor="text2" w:themeShade="BF"/>
                <w:lang w:val="en-US"/>
              </w:rPr>
              <w:t>Forced expiratory volume in six seconds</w:t>
            </w:r>
          </w:p>
        </w:tc>
        <w:tc>
          <w:tcPr>
            <w:tcW w:w="3969" w:type="dxa"/>
          </w:tcPr>
          <w:p w14:paraId="7D0FC457"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Forcerad expiratorisk volym under sex sekunder</w:t>
            </w:r>
          </w:p>
        </w:tc>
      </w:tr>
      <w:tr w:rsidR="00EC79BD" w:rsidRPr="000C17EB" w14:paraId="5D8B03AB"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5FAA9B5D"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FeNO</w:t>
            </w:r>
          </w:p>
        </w:tc>
        <w:tc>
          <w:tcPr>
            <w:tcW w:w="2977" w:type="dxa"/>
          </w:tcPr>
          <w:p w14:paraId="2F17167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Fractional exhaled nitric oxide</w:t>
            </w:r>
          </w:p>
        </w:tc>
        <w:tc>
          <w:tcPr>
            <w:tcW w:w="3969" w:type="dxa"/>
          </w:tcPr>
          <w:p w14:paraId="23C5278D"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Kväveoxidhalt i utandningsluft</w:t>
            </w:r>
          </w:p>
        </w:tc>
      </w:tr>
      <w:tr w:rsidR="00EC79BD" w:rsidRPr="000C17EB" w14:paraId="62DCAB64"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918A0D8"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FVC</w:t>
            </w:r>
          </w:p>
        </w:tc>
        <w:tc>
          <w:tcPr>
            <w:tcW w:w="2977" w:type="dxa"/>
          </w:tcPr>
          <w:p w14:paraId="00DF63A0"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Forced vital capacity</w:t>
            </w:r>
          </w:p>
        </w:tc>
        <w:tc>
          <w:tcPr>
            <w:tcW w:w="3969" w:type="dxa"/>
          </w:tcPr>
          <w:p w14:paraId="14FDACD9"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Fo</w:t>
            </w:r>
            <w:r>
              <w:rPr>
                <w:rFonts w:asciiTheme="minorHAnsi" w:hAnsiTheme="minorHAnsi" w:cs="Calibri"/>
                <w:color w:val="002D5C" w:themeColor="text2" w:themeShade="BF"/>
              </w:rPr>
              <w:t>r</w:t>
            </w:r>
            <w:r w:rsidRPr="000C17EB">
              <w:rPr>
                <w:rFonts w:asciiTheme="minorHAnsi" w:hAnsiTheme="minorHAnsi" w:cs="Calibri"/>
                <w:color w:val="002D5C" w:themeColor="text2" w:themeShade="BF"/>
              </w:rPr>
              <w:t>cerad vitalkapacitet</w:t>
            </w:r>
          </w:p>
        </w:tc>
      </w:tr>
      <w:tr w:rsidR="00EC79BD" w:rsidRPr="000C17EB" w14:paraId="19107B5B"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46A80743"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rPr>
              <w:t>FYSS</w:t>
            </w:r>
          </w:p>
        </w:tc>
        <w:tc>
          <w:tcPr>
            <w:tcW w:w="2977" w:type="dxa"/>
          </w:tcPr>
          <w:p w14:paraId="372B751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w:t>
            </w:r>
          </w:p>
        </w:tc>
        <w:tc>
          <w:tcPr>
            <w:tcW w:w="3969" w:type="dxa"/>
          </w:tcPr>
          <w:p w14:paraId="19381F2B"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Fysisk aktivitet i sjukdomsprevention och sjukdomsbehandling</w:t>
            </w:r>
          </w:p>
        </w:tc>
      </w:tr>
      <w:tr w:rsidR="00EC79BD" w:rsidRPr="000C17EB" w14:paraId="3FB39004"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8591785" w14:textId="77777777" w:rsidR="00EC79BD" w:rsidRPr="000C17EB" w:rsidRDefault="00EC79BD" w:rsidP="00632FCC">
            <w:pPr>
              <w:pStyle w:val="Normal4"/>
              <w:spacing w:before="0" w:beforeAutospacing="0" w:after="0" w:afterAutospacing="0"/>
              <w:rPr>
                <w:rFonts w:asciiTheme="minorHAnsi" w:hAnsiTheme="minorHAnsi" w:cs="Calibri"/>
              </w:rPr>
            </w:pPr>
            <w:r w:rsidRPr="000C17EB">
              <w:rPr>
                <w:rFonts w:asciiTheme="minorHAnsi" w:hAnsiTheme="minorHAnsi" w:cs="Calibri"/>
              </w:rPr>
              <w:t>GINA</w:t>
            </w:r>
          </w:p>
        </w:tc>
        <w:tc>
          <w:tcPr>
            <w:tcW w:w="2977" w:type="dxa"/>
          </w:tcPr>
          <w:p w14:paraId="7CE80B66"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lang w:val="en-US"/>
              </w:rPr>
            </w:pPr>
            <w:r w:rsidRPr="00BA13AD">
              <w:rPr>
                <w:rFonts w:asciiTheme="minorHAnsi" w:hAnsiTheme="minorHAnsi" w:cs="Calibri"/>
                <w:color w:val="002D5C" w:themeColor="text2" w:themeShade="BF"/>
                <w:lang w:val="en-US"/>
              </w:rPr>
              <w:t xml:space="preserve">The Global initiative for Asthma  </w:t>
            </w:r>
          </w:p>
        </w:tc>
        <w:tc>
          <w:tcPr>
            <w:tcW w:w="3969" w:type="dxa"/>
          </w:tcPr>
          <w:p w14:paraId="6D0A5032"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Pr>
                <w:rFonts w:asciiTheme="minorHAnsi" w:hAnsiTheme="minorHAnsi" w:cs="Calibri"/>
                <w:color w:val="002D5C" w:themeColor="text2" w:themeShade="BF"/>
              </w:rPr>
              <w:t>-</w:t>
            </w:r>
          </w:p>
        </w:tc>
      </w:tr>
      <w:tr w:rsidR="00EC79BD" w:rsidRPr="000C17EB" w14:paraId="40122DD6"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66A8BB0C"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rPr>
              <w:t>GOLD</w:t>
            </w:r>
            <w:r w:rsidRPr="000C17EB">
              <w:rPr>
                <w:rFonts w:asciiTheme="minorHAnsi" w:hAnsiTheme="minorHAnsi" w:cs="Calibri"/>
                <w:color w:val="00A6E2" w:themeColor="accent1"/>
              </w:rPr>
              <w:t xml:space="preserve"> </w:t>
            </w:r>
          </w:p>
        </w:tc>
        <w:tc>
          <w:tcPr>
            <w:tcW w:w="2977" w:type="dxa"/>
          </w:tcPr>
          <w:p w14:paraId="721CB424" w14:textId="77777777" w:rsidR="00EC79BD" w:rsidRPr="00BA13A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lang w:val="en-US"/>
              </w:rPr>
            </w:pPr>
            <w:r w:rsidRPr="00BA13AD">
              <w:rPr>
                <w:rFonts w:asciiTheme="minorHAnsi" w:hAnsiTheme="minorHAnsi" w:cs="Calibri"/>
                <w:color w:val="002D5C" w:themeColor="text2" w:themeShade="BF"/>
                <w:lang w:val="en-US"/>
              </w:rPr>
              <w:t>Global intitiative for chronic obstructive lung disease</w:t>
            </w:r>
          </w:p>
        </w:tc>
        <w:tc>
          <w:tcPr>
            <w:tcW w:w="3969" w:type="dxa"/>
          </w:tcPr>
          <w:p w14:paraId="5237C1C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Internationellt strategidokument gällande kol</w:t>
            </w:r>
          </w:p>
        </w:tc>
      </w:tr>
      <w:tr w:rsidR="00EC79BD" w:rsidRPr="000C17EB" w14:paraId="4870E163"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4754136" w14:textId="77777777" w:rsidR="00EC79BD" w:rsidRPr="000C17EB" w:rsidRDefault="00EC79BD" w:rsidP="00632FCC">
            <w:pPr>
              <w:pStyle w:val="Normal4"/>
              <w:spacing w:before="0" w:beforeAutospacing="0" w:after="0" w:afterAutospacing="0"/>
              <w:rPr>
                <w:rFonts w:asciiTheme="minorHAnsi" w:hAnsiTheme="minorHAnsi" w:cs="Calibri"/>
                <w:b w:val="0"/>
                <w:bCs w:val="0"/>
                <w:color w:val="002D5C" w:themeColor="text2" w:themeShade="BF"/>
              </w:rPr>
            </w:pPr>
            <w:r w:rsidRPr="000C17EB">
              <w:rPr>
                <w:rFonts w:asciiTheme="minorHAnsi" w:hAnsiTheme="minorHAnsi" w:cs="Calibri"/>
                <w:color w:val="002D5C" w:themeColor="text2" w:themeShade="BF"/>
              </w:rPr>
              <w:t>HFC</w:t>
            </w:r>
          </w:p>
        </w:tc>
        <w:tc>
          <w:tcPr>
            <w:tcW w:w="2977" w:type="dxa"/>
          </w:tcPr>
          <w:p w14:paraId="71537F9E"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Hydrofluorocarbons</w:t>
            </w:r>
          </w:p>
        </w:tc>
        <w:tc>
          <w:tcPr>
            <w:tcW w:w="3969" w:type="dxa"/>
          </w:tcPr>
          <w:p w14:paraId="2B53C9C9"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Hydrofluorokarboner</w:t>
            </w:r>
          </w:p>
        </w:tc>
      </w:tr>
      <w:tr w:rsidR="00EC79BD" w:rsidRPr="000C17EB" w14:paraId="2D776317"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2D8363BD" w14:textId="77777777" w:rsidR="00EC79BD" w:rsidRPr="000C17EB" w:rsidRDefault="00EC79BD" w:rsidP="00632FCC">
            <w:pPr>
              <w:pStyle w:val="Normal4"/>
              <w:spacing w:before="0" w:beforeAutospacing="0" w:after="0" w:afterAutospacing="0"/>
              <w:rPr>
                <w:rFonts w:asciiTheme="minorHAnsi" w:hAnsiTheme="minorHAnsi" w:cs="Calibri"/>
                <w:color w:val="002D5C" w:themeColor="text2" w:themeShade="BF"/>
              </w:rPr>
            </w:pPr>
            <w:r w:rsidRPr="000C17EB">
              <w:rPr>
                <w:rFonts w:asciiTheme="minorHAnsi" w:hAnsiTheme="minorHAnsi" w:cs="Calibri"/>
                <w:color w:val="002D5C" w:themeColor="text2" w:themeShade="BF"/>
              </w:rPr>
              <w:lastRenderedPageBreak/>
              <w:t>HRCT</w:t>
            </w:r>
          </w:p>
        </w:tc>
        <w:tc>
          <w:tcPr>
            <w:tcW w:w="2977" w:type="dxa"/>
          </w:tcPr>
          <w:p w14:paraId="24961C2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High resolution chest tomography</w:t>
            </w:r>
          </w:p>
        </w:tc>
        <w:tc>
          <w:tcPr>
            <w:tcW w:w="3969" w:type="dxa"/>
          </w:tcPr>
          <w:p w14:paraId="2DC303D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Högupplöst skiktröntgen av lungorna</w:t>
            </w:r>
          </w:p>
        </w:tc>
      </w:tr>
      <w:tr w:rsidR="00EC79BD" w:rsidRPr="000C17EB" w14:paraId="0EE2F09D"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821393A"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ICS</w:t>
            </w:r>
          </w:p>
        </w:tc>
        <w:tc>
          <w:tcPr>
            <w:tcW w:w="2977" w:type="dxa"/>
          </w:tcPr>
          <w:p w14:paraId="0D9D580A"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Inhaled corticosteroids</w:t>
            </w:r>
          </w:p>
        </w:tc>
        <w:tc>
          <w:tcPr>
            <w:tcW w:w="3969" w:type="dxa"/>
          </w:tcPr>
          <w:p w14:paraId="684735AC"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Inhalerade kortikosteroider</w:t>
            </w:r>
          </w:p>
        </w:tc>
      </w:tr>
      <w:tr w:rsidR="00EC79BD" w:rsidRPr="000C17EB" w14:paraId="744247BB"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33356471" w14:textId="77777777" w:rsidR="00EC79BD" w:rsidRPr="000C17EB" w:rsidRDefault="00EC79BD" w:rsidP="00632FCC">
            <w:pPr>
              <w:pStyle w:val="Normal4"/>
              <w:spacing w:before="0" w:beforeAutospacing="0" w:after="0" w:afterAutospacing="0"/>
              <w:rPr>
                <w:rFonts w:asciiTheme="minorHAnsi" w:hAnsiTheme="minorHAnsi" w:cs="Calibri"/>
                <w:color w:val="002D5C" w:themeColor="text2" w:themeShade="BF"/>
              </w:rPr>
            </w:pPr>
            <w:r w:rsidRPr="000C17EB">
              <w:rPr>
                <w:rFonts w:asciiTheme="minorHAnsi" w:hAnsiTheme="minorHAnsi" w:cs="Calibri"/>
                <w:color w:val="002D5C" w:themeColor="text2" w:themeShade="BF"/>
              </w:rPr>
              <w:t>IOS</w:t>
            </w:r>
          </w:p>
        </w:tc>
        <w:tc>
          <w:tcPr>
            <w:tcW w:w="2977" w:type="dxa"/>
          </w:tcPr>
          <w:p w14:paraId="225B1FBD"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w:t>
            </w:r>
          </w:p>
        </w:tc>
        <w:tc>
          <w:tcPr>
            <w:tcW w:w="3969" w:type="dxa"/>
          </w:tcPr>
          <w:p w14:paraId="1CDD6397"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Impulsoscillometri</w:t>
            </w:r>
          </w:p>
        </w:tc>
      </w:tr>
      <w:tr w:rsidR="00EC79BD" w:rsidRPr="000C17EB" w14:paraId="62477429"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DC6D3C3"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KOL</w:t>
            </w:r>
          </w:p>
        </w:tc>
        <w:tc>
          <w:tcPr>
            <w:tcW w:w="2977" w:type="dxa"/>
          </w:tcPr>
          <w:p w14:paraId="3FB6990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w:t>
            </w:r>
          </w:p>
        </w:tc>
        <w:tc>
          <w:tcPr>
            <w:tcW w:w="3969" w:type="dxa"/>
          </w:tcPr>
          <w:p w14:paraId="5B18D24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Kroniskt obstruktiv lungsjukdom</w:t>
            </w:r>
          </w:p>
        </w:tc>
      </w:tr>
      <w:tr w:rsidR="00EC79BD" w:rsidRPr="000C17EB" w14:paraId="5B9746E5"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6A403397"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LABA</w:t>
            </w:r>
          </w:p>
        </w:tc>
        <w:tc>
          <w:tcPr>
            <w:tcW w:w="2977" w:type="dxa"/>
          </w:tcPr>
          <w:p w14:paraId="3C081ADF" w14:textId="77777777" w:rsidR="00EC79BD" w:rsidRPr="00BA13A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lang w:val="en-US"/>
              </w:rPr>
            </w:pPr>
            <w:r w:rsidRPr="00BA13AD">
              <w:rPr>
                <w:rFonts w:asciiTheme="minorHAnsi" w:hAnsiTheme="minorHAnsi" w:cs="Calibri"/>
                <w:color w:val="002D5C" w:themeColor="text2" w:themeShade="BF"/>
                <w:lang w:val="en-US"/>
              </w:rPr>
              <w:t>Long acting beta-2-receptor agonist</w:t>
            </w:r>
          </w:p>
        </w:tc>
        <w:tc>
          <w:tcPr>
            <w:tcW w:w="3969" w:type="dxa"/>
          </w:tcPr>
          <w:p w14:paraId="1DFBAFE3"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 xml:space="preserve">Långverkande beta-2-receptoragonist </w:t>
            </w:r>
          </w:p>
        </w:tc>
      </w:tr>
      <w:tr w:rsidR="00EC79BD" w:rsidRPr="000C17EB" w14:paraId="1EB1352C"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879835"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LAMA</w:t>
            </w:r>
          </w:p>
        </w:tc>
        <w:tc>
          <w:tcPr>
            <w:tcW w:w="2977" w:type="dxa"/>
          </w:tcPr>
          <w:p w14:paraId="4DE6FB00"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lang w:val="en-US"/>
              </w:rPr>
            </w:pPr>
            <w:r w:rsidRPr="00BA13AD">
              <w:rPr>
                <w:rFonts w:asciiTheme="minorHAnsi" w:hAnsiTheme="minorHAnsi" w:cs="Calibri"/>
                <w:color w:val="002D5C" w:themeColor="text2" w:themeShade="BF"/>
                <w:lang w:val="en-US"/>
              </w:rPr>
              <w:t>Long-acting muscarinic receptor antagonist</w:t>
            </w:r>
          </w:p>
        </w:tc>
        <w:tc>
          <w:tcPr>
            <w:tcW w:w="3969" w:type="dxa"/>
          </w:tcPr>
          <w:p w14:paraId="31380F5C" w14:textId="77777777" w:rsidR="00EC79B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Långverkande muskarinreceptorantagonist/</w:t>
            </w:r>
          </w:p>
          <w:p w14:paraId="4EB20686"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antikolinergikum</w:t>
            </w:r>
          </w:p>
        </w:tc>
      </w:tr>
      <w:tr w:rsidR="00EC79BD" w:rsidRPr="000C17EB" w14:paraId="413AE2AE"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0F51A171"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LTRA</w:t>
            </w:r>
          </w:p>
        </w:tc>
        <w:tc>
          <w:tcPr>
            <w:tcW w:w="2977" w:type="dxa"/>
          </w:tcPr>
          <w:p w14:paraId="49AB385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Leukotrien antagonist</w:t>
            </w:r>
          </w:p>
        </w:tc>
        <w:tc>
          <w:tcPr>
            <w:tcW w:w="3969" w:type="dxa"/>
          </w:tcPr>
          <w:p w14:paraId="489CC4E8"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Antileuktotrien</w:t>
            </w:r>
          </w:p>
        </w:tc>
      </w:tr>
      <w:tr w:rsidR="00EC79BD" w:rsidRPr="000C17EB" w14:paraId="001E3F8F"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B17045B"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rPr>
              <w:t>mMRC</w:t>
            </w:r>
          </w:p>
        </w:tc>
        <w:tc>
          <w:tcPr>
            <w:tcW w:w="2977" w:type="dxa"/>
          </w:tcPr>
          <w:p w14:paraId="0D0ED40E"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lang w:val="en-US"/>
              </w:rPr>
            </w:pPr>
            <w:r w:rsidRPr="00BA13AD">
              <w:rPr>
                <w:rFonts w:asciiTheme="minorHAnsi" w:hAnsiTheme="minorHAnsi" w:cs="Calibri"/>
                <w:color w:val="002D5C" w:themeColor="text2" w:themeShade="BF"/>
                <w:lang w:val="en-US"/>
              </w:rPr>
              <w:t xml:space="preserve">Modified medical research council dyspnoea scale </w:t>
            </w:r>
          </w:p>
        </w:tc>
        <w:tc>
          <w:tcPr>
            <w:tcW w:w="3969" w:type="dxa"/>
          </w:tcPr>
          <w:p w14:paraId="0CE9CB05"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Skattningsskala för dyspné</w:t>
            </w:r>
          </w:p>
        </w:tc>
      </w:tr>
      <w:tr w:rsidR="00EC79BD" w:rsidRPr="000C17EB" w14:paraId="6D745A7C"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23790208"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NIV</w:t>
            </w:r>
          </w:p>
        </w:tc>
        <w:tc>
          <w:tcPr>
            <w:tcW w:w="2977" w:type="dxa"/>
          </w:tcPr>
          <w:p w14:paraId="744F9F68"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Non-invasive ventilation</w:t>
            </w:r>
          </w:p>
        </w:tc>
        <w:tc>
          <w:tcPr>
            <w:tcW w:w="3969" w:type="dxa"/>
          </w:tcPr>
          <w:p w14:paraId="2DA35158"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 xml:space="preserve">Non-invasiv ventilation </w:t>
            </w:r>
          </w:p>
        </w:tc>
      </w:tr>
      <w:tr w:rsidR="00EC79BD" w:rsidRPr="000C17EB" w14:paraId="38189537"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3C025C2"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PDE-4</w:t>
            </w:r>
          </w:p>
        </w:tc>
        <w:tc>
          <w:tcPr>
            <w:tcW w:w="2977" w:type="dxa"/>
          </w:tcPr>
          <w:p w14:paraId="1D754DBC"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Phosphodiesterase-4</w:t>
            </w:r>
          </w:p>
        </w:tc>
        <w:tc>
          <w:tcPr>
            <w:tcW w:w="3969" w:type="dxa"/>
          </w:tcPr>
          <w:p w14:paraId="3833D900"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Fosfodiesteras-4</w:t>
            </w:r>
          </w:p>
        </w:tc>
      </w:tr>
      <w:tr w:rsidR="00EC79BD" w:rsidRPr="000C17EB" w14:paraId="6E53D52D"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22212C02" w14:textId="77777777" w:rsidR="00EC79BD" w:rsidRPr="000C17EB" w:rsidRDefault="00EC79BD" w:rsidP="00632FCC">
            <w:pPr>
              <w:pStyle w:val="Normal4"/>
              <w:spacing w:before="0" w:beforeAutospacing="0" w:after="0" w:afterAutospacing="0"/>
              <w:rPr>
                <w:rFonts w:asciiTheme="minorHAnsi" w:hAnsiTheme="minorHAnsi" w:cs="Calibri"/>
                <w:color w:val="404040"/>
              </w:rPr>
            </w:pPr>
            <w:r w:rsidRPr="000C17EB">
              <w:rPr>
                <w:rFonts w:asciiTheme="minorHAnsi" w:hAnsiTheme="minorHAnsi" w:cs="Calibri"/>
                <w:color w:val="002D5C" w:themeColor="text2" w:themeShade="BF"/>
              </w:rPr>
              <w:t>PEF</w:t>
            </w:r>
          </w:p>
        </w:tc>
        <w:tc>
          <w:tcPr>
            <w:tcW w:w="2977" w:type="dxa"/>
          </w:tcPr>
          <w:p w14:paraId="6DA21813"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404040"/>
              </w:rPr>
            </w:pPr>
            <w:r w:rsidRPr="000C17EB">
              <w:rPr>
                <w:rFonts w:asciiTheme="minorHAnsi" w:hAnsiTheme="minorHAnsi" w:cs="Calibri"/>
                <w:color w:val="002D5C" w:themeColor="text2" w:themeShade="BF"/>
              </w:rPr>
              <w:t>Peak expiratory flow</w:t>
            </w:r>
            <w:r w:rsidRPr="000C17EB">
              <w:rPr>
                <w:rFonts w:asciiTheme="minorHAnsi" w:hAnsiTheme="minorHAnsi" w:cs="Calibri"/>
                <w:color w:val="404040"/>
              </w:rPr>
              <w:t xml:space="preserve"> </w:t>
            </w:r>
          </w:p>
        </w:tc>
        <w:tc>
          <w:tcPr>
            <w:tcW w:w="3969" w:type="dxa"/>
          </w:tcPr>
          <w:p w14:paraId="7E827873"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404040"/>
              </w:rPr>
            </w:pPr>
            <w:r w:rsidRPr="000C17EB">
              <w:rPr>
                <w:rFonts w:asciiTheme="minorHAnsi" w:hAnsiTheme="minorHAnsi" w:cs="Calibri"/>
                <w:color w:val="002D5C" w:themeColor="text2" w:themeShade="BF"/>
              </w:rPr>
              <w:t>Maximala utandningsflödet</w:t>
            </w:r>
            <w:r w:rsidRPr="000C17EB">
              <w:rPr>
                <w:rFonts w:asciiTheme="minorHAnsi" w:hAnsiTheme="minorHAnsi" w:cs="Calibri"/>
                <w:color w:val="404040"/>
              </w:rPr>
              <w:t xml:space="preserve">  </w:t>
            </w:r>
          </w:p>
        </w:tc>
      </w:tr>
      <w:tr w:rsidR="00EC79BD" w:rsidRPr="000C17EB" w14:paraId="4D8E8B9D"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12613DD"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PEP</w:t>
            </w:r>
          </w:p>
        </w:tc>
        <w:tc>
          <w:tcPr>
            <w:tcW w:w="2977" w:type="dxa"/>
          </w:tcPr>
          <w:p w14:paraId="4CD4CA25"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Positivt expiratory pressure</w:t>
            </w:r>
          </w:p>
        </w:tc>
        <w:tc>
          <w:tcPr>
            <w:tcW w:w="3969" w:type="dxa"/>
          </w:tcPr>
          <w:p w14:paraId="1A5BC48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Motståndsandning</w:t>
            </w:r>
          </w:p>
        </w:tc>
      </w:tr>
      <w:tr w:rsidR="00EC79BD" w:rsidRPr="000C17EB" w14:paraId="6ED786FE"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708EDE73"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PPB</w:t>
            </w:r>
          </w:p>
        </w:tc>
        <w:tc>
          <w:tcPr>
            <w:tcW w:w="2977" w:type="dxa"/>
          </w:tcPr>
          <w:p w14:paraId="33F8C881"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Parts per billion</w:t>
            </w:r>
          </w:p>
        </w:tc>
        <w:tc>
          <w:tcPr>
            <w:tcW w:w="3969" w:type="dxa"/>
          </w:tcPr>
          <w:p w14:paraId="6A30D7E6"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 xml:space="preserve">En miljarddel </w:t>
            </w:r>
          </w:p>
        </w:tc>
      </w:tr>
      <w:tr w:rsidR="00EC79BD" w:rsidRPr="000C17EB" w14:paraId="2141820B"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D62A273"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SABA</w:t>
            </w:r>
          </w:p>
        </w:tc>
        <w:tc>
          <w:tcPr>
            <w:tcW w:w="2977" w:type="dxa"/>
          </w:tcPr>
          <w:p w14:paraId="2BFF1070"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lang w:val="en-US"/>
              </w:rPr>
            </w:pPr>
            <w:r w:rsidRPr="00BA13AD">
              <w:rPr>
                <w:rFonts w:asciiTheme="minorHAnsi" w:hAnsiTheme="minorHAnsi" w:cs="Calibri"/>
                <w:color w:val="002D5C" w:themeColor="text2" w:themeShade="BF"/>
                <w:lang w:val="en-US"/>
              </w:rPr>
              <w:t>Short acting beta-2-receptor agonist</w:t>
            </w:r>
          </w:p>
        </w:tc>
        <w:tc>
          <w:tcPr>
            <w:tcW w:w="3969" w:type="dxa"/>
          </w:tcPr>
          <w:p w14:paraId="7326596C"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Kortverkande beta-2-receptoragonist</w:t>
            </w:r>
          </w:p>
        </w:tc>
      </w:tr>
      <w:tr w:rsidR="00EC79BD" w:rsidRPr="000C17EB" w14:paraId="323E4B0E"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69269292" w14:textId="77777777" w:rsidR="00EC79BD" w:rsidRPr="000C17EB" w:rsidRDefault="00EC79BD" w:rsidP="00632FCC">
            <w:pPr>
              <w:pStyle w:val="Normal4"/>
              <w:spacing w:before="0" w:beforeAutospacing="0" w:after="0" w:afterAutospacing="0"/>
              <w:rPr>
                <w:rFonts w:asciiTheme="minorHAnsi" w:hAnsiTheme="minorHAnsi" w:cs="Calibri"/>
                <w:b w:val="0"/>
                <w:color w:val="002D5C" w:themeColor="text2" w:themeShade="BF"/>
              </w:rPr>
            </w:pPr>
            <w:r w:rsidRPr="000C17EB">
              <w:rPr>
                <w:rFonts w:asciiTheme="minorHAnsi" w:hAnsiTheme="minorHAnsi" w:cs="Calibri"/>
                <w:color w:val="002D5C" w:themeColor="text2" w:themeShade="BF"/>
              </w:rPr>
              <w:t>SAMA</w:t>
            </w:r>
          </w:p>
        </w:tc>
        <w:tc>
          <w:tcPr>
            <w:tcW w:w="2977" w:type="dxa"/>
          </w:tcPr>
          <w:p w14:paraId="07D1DC2F" w14:textId="77777777" w:rsidR="00EC79BD" w:rsidRPr="00BA13A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lang w:val="en-US"/>
              </w:rPr>
            </w:pPr>
            <w:r w:rsidRPr="00BA13AD">
              <w:rPr>
                <w:rFonts w:asciiTheme="minorHAnsi" w:hAnsiTheme="minorHAnsi" w:cs="Calibri"/>
                <w:color w:val="002D5C" w:themeColor="text2" w:themeShade="BF"/>
                <w:lang w:val="en-US"/>
              </w:rPr>
              <w:t>Short-acting muscarinic receptor antagonist</w:t>
            </w:r>
          </w:p>
        </w:tc>
        <w:tc>
          <w:tcPr>
            <w:tcW w:w="3969" w:type="dxa"/>
          </w:tcPr>
          <w:p w14:paraId="18F8B531"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Kortverkande muskarinreceptorantagonist/</w:t>
            </w:r>
          </w:p>
          <w:p w14:paraId="184BE288"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2D5C" w:themeColor="text2" w:themeShade="BF"/>
              </w:rPr>
            </w:pPr>
            <w:r w:rsidRPr="000C17EB">
              <w:rPr>
                <w:rFonts w:asciiTheme="minorHAnsi" w:hAnsiTheme="minorHAnsi" w:cs="Calibri"/>
                <w:color w:val="002D5C" w:themeColor="text2" w:themeShade="BF"/>
              </w:rPr>
              <w:t>antikolinergikum</w:t>
            </w:r>
          </w:p>
        </w:tc>
      </w:tr>
      <w:tr w:rsidR="00EC79BD" w:rsidRPr="000C17EB" w14:paraId="6371D5F2"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AD23526" w14:textId="77777777" w:rsidR="00EC79BD" w:rsidRPr="000C17EB" w:rsidRDefault="00EC79BD" w:rsidP="00632FCC">
            <w:pPr>
              <w:pStyle w:val="Normal4"/>
              <w:spacing w:before="0" w:beforeAutospacing="0" w:after="0" w:afterAutospacing="0"/>
              <w:rPr>
                <w:rFonts w:asciiTheme="minorHAnsi" w:hAnsiTheme="minorHAnsi" w:cs="Calibri"/>
                <w:color w:val="002D5C" w:themeColor="text2" w:themeShade="BF"/>
              </w:rPr>
            </w:pPr>
            <w:r w:rsidRPr="000C17EB">
              <w:rPr>
                <w:rFonts w:asciiTheme="minorHAnsi" w:hAnsiTheme="minorHAnsi" w:cs="Calibri"/>
                <w:color w:val="002D5C" w:themeColor="text2" w:themeShade="BF"/>
              </w:rPr>
              <w:t>SKR</w:t>
            </w:r>
          </w:p>
        </w:tc>
        <w:tc>
          <w:tcPr>
            <w:tcW w:w="2977" w:type="dxa"/>
          </w:tcPr>
          <w:p w14:paraId="0D4DBD36" w14:textId="77777777" w:rsidR="00EC79BD" w:rsidRPr="000C17EB" w:rsidRDefault="00EC79BD" w:rsidP="00632FCC">
            <w:pPr>
              <w:pStyle w:val="Normal4"/>
              <w:numPr>
                <w:ilvl w:val="0"/>
                <w:numId w:val="67"/>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accent2"/>
              </w:rPr>
            </w:pPr>
          </w:p>
        </w:tc>
        <w:tc>
          <w:tcPr>
            <w:tcW w:w="3969" w:type="dxa"/>
          </w:tcPr>
          <w:p w14:paraId="7A608240"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accent2"/>
              </w:rPr>
            </w:pPr>
            <w:r w:rsidRPr="000C17EB">
              <w:rPr>
                <w:rFonts w:asciiTheme="minorHAnsi" w:hAnsiTheme="minorHAnsi" w:cs="Calibri"/>
                <w:color w:val="003D7C" w:themeColor="accent2"/>
              </w:rPr>
              <w:t>Sveriges Kommuner och Regioner</w:t>
            </w:r>
          </w:p>
        </w:tc>
      </w:tr>
      <w:tr w:rsidR="00EC79BD" w:rsidRPr="000C17EB" w14:paraId="7504C4BE" w14:textId="77777777" w:rsidTr="00632FCC">
        <w:tc>
          <w:tcPr>
            <w:cnfStyle w:val="001000000000" w:firstRow="0" w:lastRow="0" w:firstColumn="1" w:lastColumn="0" w:oddVBand="0" w:evenVBand="0" w:oddHBand="0" w:evenHBand="0" w:firstRowFirstColumn="0" w:firstRowLastColumn="0" w:lastRowFirstColumn="0" w:lastRowLastColumn="0"/>
            <w:tcW w:w="1413" w:type="dxa"/>
          </w:tcPr>
          <w:p w14:paraId="21299921" w14:textId="77777777" w:rsidR="00EC79BD" w:rsidRPr="000C17EB" w:rsidRDefault="00EC79BD" w:rsidP="00632FCC">
            <w:pPr>
              <w:pStyle w:val="Normal4"/>
              <w:spacing w:before="0" w:beforeAutospacing="0" w:after="0" w:afterAutospacing="0"/>
              <w:rPr>
                <w:rFonts w:asciiTheme="minorHAnsi" w:hAnsiTheme="minorHAnsi" w:cs="Calibri"/>
                <w:color w:val="404040"/>
              </w:rPr>
            </w:pPr>
            <w:r w:rsidRPr="000C17EB">
              <w:rPr>
                <w:rFonts w:asciiTheme="minorHAnsi" w:hAnsiTheme="minorHAnsi" w:cs="Calibri"/>
                <w:color w:val="002D5C" w:themeColor="text2" w:themeShade="BF"/>
              </w:rPr>
              <w:t>TLA</w:t>
            </w:r>
          </w:p>
        </w:tc>
        <w:tc>
          <w:tcPr>
            <w:tcW w:w="2977" w:type="dxa"/>
          </w:tcPr>
          <w:p w14:paraId="53E45643"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Temperature controlled laminar airflow</w:t>
            </w:r>
          </w:p>
        </w:tc>
        <w:tc>
          <w:tcPr>
            <w:tcW w:w="3969" w:type="dxa"/>
          </w:tcPr>
          <w:p w14:paraId="79CE28EB"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Temperaturreglerat laminärt luftflöde</w:t>
            </w:r>
          </w:p>
        </w:tc>
      </w:tr>
    </w:tbl>
    <w:p w14:paraId="52FC9326" w14:textId="77777777" w:rsidR="00EC79BD" w:rsidRDefault="00EC79BD" w:rsidP="00EC79BD">
      <w:pPr>
        <w:pStyle w:val="Rubrik2"/>
        <w:rPr>
          <w:rStyle w:val="Stark"/>
          <w:b/>
        </w:rPr>
      </w:pPr>
      <w:r w:rsidRPr="00BD5A6E">
        <w:rPr>
          <w:rStyle w:val="Stark"/>
          <w:b/>
        </w:rPr>
        <w:t>Allergi</w:t>
      </w:r>
    </w:p>
    <w:p w14:paraId="3EA608D3" w14:textId="77777777" w:rsidR="00EC79BD" w:rsidRDefault="00EC79BD" w:rsidP="00EC79BD"/>
    <w:p w14:paraId="02AD4F56" w14:textId="77777777" w:rsidR="00EC79BD" w:rsidRPr="008D0907" w:rsidRDefault="00EC79BD" w:rsidP="00EC79BD">
      <w:pPr>
        <w:rPr>
          <w:rStyle w:val="Stark"/>
          <w:rFonts w:asciiTheme="minorHAnsi" w:hAnsiTheme="minorHAnsi"/>
          <w:b w:val="0"/>
          <w:bCs/>
        </w:rPr>
      </w:pPr>
      <w:r w:rsidRPr="008D0907">
        <w:rPr>
          <w:rStyle w:val="Stark"/>
          <w:rFonts w:asciiTheme="minorHAnsi" w:hAnsiTheme="minorHAnsi"/>
          <w:b w:val="0"/>
        </w:rPr>
        <w:t xml:space="preserve">Vid lindriga besvär rekommenderas egenvård och receptfria läkemedel i första hand. </w:t>
      </w:r>
      <w:r>
        <w:rPr>
          <w:rStyle w:val="Stark"/>
          <w:rFonts w:asciiTheme="minorHAnsi" w:hAnsiTheme="minorHAnsi"/>
          <w:b w:val="0"/>
        </w:rPr>
        <w:br/>
      </w:r>
    </w:p>
    <w:p w14:paraId="4DC9510F" w14:textId="77777777" w:rsidR="00EC79BD" w:rsidRDefault="00EC79BD" w:rsidP="00EC79BD">
      <w:pPr>
        <w:pStyle w:val="Normal4"/>
        <w:spacing w:before="0" w:beforeAutospacing="0" w:after="240" w:afterAutospacing="0"/>
        <w:rPr>
          <w:rFonts w:asciiTheme="minorHAnsi" w:hAnsiTheme="minorHAnsi" w:cs="Calibri"/>
        </w:rPr>
      </w:pPr>
      <w:r w:rsidRPr="0074231F">
        <w:rPr>
          <w:rFonts w:asciiTheme="minorHAnsi" w:hAnsiTheme="minorHAnsi" w:cs="Calibri"/>
          <w:color w:val="404040"/>
        </w:rPr>
        <w:t>Vid allergi där gängse behandling ej ger tillräckligt resultat samt efter allvarlig systemreaktion exempelvis efter bi- eller getingstick kan specifik immunterapi (hyposensibilisering) övervägas</w:t>
      </w:r>
      <w:r w:rsidRPr="0074231F">
        <w:rPr>
          <w:rFonts w:asciiTheme="minorHAnsi" w:hAnsiTheme="minorHAnsi" w:cs="Calibri"/>
          <w:color w:val="404040"/>
        </w:rPr>
        <w:br/>
        <w:t xml:space="preserve">För behov av ytterligare medicinering utöver basbehandling med antihistamintablett vid allergiska ögonbesvär, se </w:t>
      </w:r>
      <w:r w:rsidRPr="0074231F">
        <w:rPr>
          <w:rFonts w:asciiTheme="minorHAnsi" w:hAnsiTheme="minorHAnsi" w:cs="Calibri"/>
        </w:rPr>
        <w:t>kapitel Ögon</w:t>
      </w:r>
    </w:p>
    <w:p w14:paraId="3F379CD8" w14:textId="77777777" w:rsidR="00EC79BD" w:rsidRDefault="00EC79BD" w:rsidP="00EC79BD">
      <w:pPr>
        <w:tabs>
          <w:tab w:val="clear" w:pos="284"/>
        </w:tabs>
        <w:spacing w:after="120" w:line="260" w:lineRule="atLeast"/>
        <w:rPr>
          <w:rFonts w:asciiTheme="minorHAnsi" w:eastAsia="Times New Roman" w:hAnsiTheme="minorHAnsi" w:cs="Calibri"/>
          <w:sz w:val="24"/>
          <w:szCs w:val="24"/>
          <w:lang w:eastAsia="sv-SE"/>
        </w:rPr>
      </w:pPr>
    </w:p>
    <w:p w14:paraId="5388E6A1" w14:textId="77777777" w:rsidR="00EC79BD" w:rsidRDefault="00EC79BD" w:rsidP="00EC79BD">
      <w:pPr>
        <w:pStyle w:val="Normal4"/>
        <w:spacing w:before="0" w:beforeAutospacing="0" w:after="240" w:afterAutospacing="0"/>
        <w:rPr>
          <w:rFonts w:asciiTheme="minorHAnsi" w:hAnsiTheme="minorHAnsi" w:cs="Calibri"/>
        </w:rPr>
      </w:pPr>
      <w:r w:rsidRPr="0074231F">
        <w:rPr>
          <w:rFonts w:asciiTheme="minorHAnsi" w:hAnsiTheme="minorHAnsi" w:cs="Calibri"/>
          <w:b/>
          <w:bCs/>
        </w:rPr>
        <w:t>Allergibehandling</w:t>
      </w:r>
    </w:p>
    <w:tbl>
      <w:tblPr>
        <w:tblStyle w:val="Rutntstabell3dekorfrg2"/>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2963"/>
        <w:gridCol w:w="5099"/>
      </w:tblGrid>
      <w:tr w:rsidR="00EC79BD" w:rsidRPr="000C17EB" w14:paraId="4DCC90A2" w14:textId="77777777" w:rsidTr="00632FCC">
        <w:trPr>
          <w:cnfStyle w:val="100000000000" w:firstRow="1" w:lastRow="0" w:firstColumn="0" w:lastColumn="0" w:oddVBand="0" w:evenVBand="0" w:oddHBand="0" w:evenHBand="0" w:firstRowFirstColumn="0" w:firstRowLastColumn="0" w:lastRowFirstColumn="0" w:lastRowLastColumn="0"/>
          <w:trHeight w:val="560"/>
        </w:trPr>
        <w:tc>
          <w:tcPr>
            <w:cnfStyle w:val="001000000100" w:firstRow="0" w:lastRow="0" w:firstColumn="1" w:lastColumn="0" w:oddVBand="0" w:evenVBand="0" w:oddHBand="0" w:evenHBand="0" w:firstRowFirstColumn="1" w:firstRowLastColumn="0" w:lastRowFirstColumn="0" w:lastRowLastColumn="0"/>
            <w:tcW w:w="1998" w:type="dxa"/>
            <w:tcBorders>
              <w:top w:val="none" w:sz="0" w:space="0" w:color="auto"/>
              <w:left w:val="none" w:sz="0" w:space="0" w:color="auto"/>
              <w:bottom w:val="none" w:sz="0" w:space="0" w:color="auto"/>
              <w:right w:val="none" w:sz="0" w:space="0" w:color="auto"/>
            </w:tcBorders>
          </w:tcPr>
          <w:p w14:paraId="4604985D" w14:textId="77777777" w:rsidR="00EC79BD" w:rsidRPr="00CB5DA8" w:rsidRDefault="00EC79BD" w:rsidP="00632FCC">
            <w:pPr>
              <w:pStyle w:val="Normal4"/>
              <w:spacing w:before="0" w:beforeAutospacing="0" w:after="0" w:afterAutospacing="0"/>
              <w:rPr>
                <w:rStyle w:val="Stark"/>
                <w:rFonts w:asciiTheme="minorHAnsi" w:eastAsiaTheme="minorEastAsia" w:hAnsiTheme="minorHAnsi" w:cs="Calibri"/>
                <w:b/>
                <w:bCs w:val="0"/>
                <w:i w:val="0"/>
                <w:iCs w:val="0"/>
                <w:color w:val="003D7C" w:themeColor="text2"/>
              </w:rPr>
            </w:pPr>
            <w:r w:rsidRPr="00CB5DA8">
              <w:rPr>
                <w:rStyle w:val="Stark"/>
                <w:rFonts w:asciiTheme="minorHAnsi" w:eastAsiaTheme="minorEastAsia" w:hAnsiTheme="minorHAnsi" w:cs="Calibri"/>
                <w:i w:val="0"/>
                <w:color w:val="003D7C" w:themeColor="text2"/>
              </w:rPr>
              <w:t>Läkemedelsgrupp</w:t>
            </w:r>
          </w:p>
        </w:tc>
        <w:tc>
          <w:tcPr>
            <w:tcW w:w="2963" w:type="dxa"/>
            <w:tcBorders>
              <w:top w:val="none" w:sz="0" w:space="0" w:color="auto"/>
              <w:left w:val="none" w:sz="0" w:space="0" w:color="auto"/>
              <w:right w:val="none" w:sz="0" w:space="0" w:color="auto"/>
            </w:tcBorders>
          </w:tcPr>
          <w:p w14:paraId="3955F483" w14:textId="77777777" w:rsidR="00EC79BD" w:rsidRPr="00CB5DA8"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CB5DA8">
              <w:rPr>
                <w:rStyle w:val="Stark"/>
                <w:rFonts w:asciiTheme="minorHAnsi" w:eastAsiaTheme="minorEastAsia" w:hAnsiTheme="minorHAnsi" w:cs="Calibri"/>
                <w:color w:val="003D7C" w:themeColor="text2"/>
              </w:rPr>
              <w:t>Läkemedel</w:t>
            </w:r>
          </w:p>
        </w:tc>
        <w:tc>
          <w:tcPr>
            <w:tcW w:w="5099" w:type="dxa"/>
            <w:tcBorders>
              <w:top w:val="none" w:sz="0" w:space="0" w:color="auto"/>
              <w:left w:val="none" w:sz="0" w:space="0" w:color="auto"/>
              <w:right w:val="none" w:sz="0" w:space="0" w:color="auto"/>
            </w:tcBorders>
          </w:tcPr>
          <w:p w14:paraId="31921F6E" w14:textId="77777777" w:rsidR="00EC79BD" w:rsidRPr="00CB5DA8"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CB5DA8">
              <w:rPr>
                <w:rStyle w:val="Stark"/>
                <w:rFonts w:asciiTheme="minorHAnsi" w:eastAsiaTheme="minorEastAsia" w:hAnsiTheme="minorHAnsi" w:cs="Calibri"/>
                <w:color w:val="003D7C" w:themeColor="text2"/>
              </w:rPr>
              <w:t>Dosering</w:t>
            </w:r>
          </w:p>
        </w:tc>
      </w:tr>
      <w:tr w:rsidR="00EC79BD" w:rsidRPr="000C17EB" w14:paraId="579FB36E" w14:textId="77777777" w:rsidTr="00632FC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998" w:type="dxa"/>
            <w:tcBorders>
              <w:top w:val="none" w:sz="0" w:space="0" w:color="auto"/>
              <w:left w:val="none" w:sz="0" w:space="0" w:color="auto"/>
              <w:bottom w:val="none" w:sz="0" w:space="0" w:color="auto"/>
            </w:tcBorders>
          </w:tcPr>
          <w:p w14:paraId="3BD5703E"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Pr>
                <w:rStyle w:val="Stark"/>
                <w:rFonts w:asciiTheme="minorHAnsi" w:eastAsiaTheme="minorEastAsia" w:hAnsiTheme="minorHAnsi" w:cs="Calibri"/>
                <w:b w:val="0"/>
                <w:color w:val="003D7C" w:themeColor="text2"/>
              </w:rPr>
              <w:t>Antihistamin</w:t>
            </w:r>
          </w:p>
        </w:tc>
        <w:tc>
          <w:tcPr>
            <w:tcW w:w="2963" w:type="dxa"/>
          </w:tcPr>
          <w:p w14:paraId="063FC8C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iCs/>
                <w:color w:val="003D7C" w:themeColor="text2"/>
              </w:rPr>
            </w:pPr>
            <w:r w:rsidRPr="000C17EB">
              <w:rPr>
                <w:rStyle w:val="Stark"/>
                <w:rFonts w:asciiTheme="minorHAnsi" w:eastAsiaTheme="minorEastAsia" w:hAnsiTheme="minorHAnsi" w:cs="Calibri"/>
                <w:b w:val="0"/>
                <w:color w:val="003D7C" w:themeColor="text2"/>
              </w:rPr>
              <w:t xml:space="preserve">Loratadin (tablett) </w:t>
            </w:r>
          </w:p>
        </w:tc>
        <w:tc>
          <w:tcPr>
            <w:tcW w:w="5099" w:type="dxa"/>
          </w:tcPr>
          <w:p w14:paraId="58053980"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 xml:space="preserve">Vuxna: </w:t>
            </w:r>
            <w:r w:rsidRPr="000C17EB">
              <w:rPr>
                <w:rFonts w:asciiTheme="minorHAnsi" w:hAnsiTheme="minorHAnsi" w:cs="Calibri"/>
                <w:color w:val="003D7C" w:themeColor="text2"/>
              </w:rPr>
              <w:t>10 mg 1 gång dagligen</w:t>
            </w:r>
          </w:p>
          <w:p w14:paraId="5B7BD5D7"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p>
          <w:p w14:paraId="38C779FD"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Barn (från 6 år, över 30 kilo kroppsvikt):</w:t>
            </w:r>
            <w:r w:rsidRPr="000C17EB">
              <w:rPr>
                <w:rFonts w:asciiTheme="minorHAnsi" w:hAnsiTheme="minorHAnsi" w:cs="Calibri"/>
                <w:b/>
                <w:bCs/>
                <w:color w:val="003D7C" w:themeColor="text2"/>
              </w:rPr>
              <w:br/>
            </w:r>
            <w:r w:rsidRPr="000C17EB">
              <w:rPr>
                <w:rFonts w:asciiTheme="minorHAnsi" w:hAnsiTheme="minorHAnsi" w:cs="Calibri"/>
                <w:color w:val="003D7C" w:themeColor="text2"/>
              </w:rPr>
              <w:t>10 mg dagligen</w:t>
            </w:r>
            <w:r w:rsidRPr="000C17EB">
              <w:rPr>
                <w:rFonts w:asciiTheme="minorHAnsi" w:hAnsiTheme="minorHAnsi" w:cs="Calibri"/>
                <w:b/>
                <w:bCs/>
                <w:color w:val="003D7C" w:themeColor="text2"/>
              </w:rPr>
              <w:t xml:space="preserve"> </w:t>
            </w:r>
          </w:p>
        </w:tc>
      </w:tr>
      <w:tr w:rsidR="00EC79BD" w:rsidRPr="000C17EB" w14:paraId="2EA3CA99" w14:textId="77777777" w:rsidTr="00632FCC">
        <w:trPr>
          <w:trHeight w:val="615"/>
        </w:trPr>
        <w:tc>
          <w:tcPr>
            <w:cnfStyle w:val="001000000000" w:firstRow="0" w:lastRow="0" w:firstColumn="1" w:lastColumn="0" w:oddVBand="0" w:evenVBand="0" w:oddHBand="0" w:evenHBand="0" w:firstRowFirstColumn="0" w:firstRowLastColumn="0" w:lastRowFirstColumn="0" w:lastRowLastColumn="0"/>
            <w:tcW w:w="1998" w:type="dxa"/>
            <w:tcBorders>
              <w:top w:val="none" w:sz="0" w:space="0" w:color="auto"/>
              <w:left w:val="none" w:sz="0" w:space="0" w:color="auto"/>
              <w:bottom w:val="none" w:sz="0" w:space="0" w:color="auto"/>
            </w:tcBorders>
          </w:tcPr>
          <w:p w14:paraId="24B3589B"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p>
        </w:tc>
        <w:tc>
          <w:tcPr>
            <w:tcW w:w="2963" w:type="dxa"/>
          </w:tcPr>
          <w:p w14:paraId="0F5AFD6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iCs/>
                <w:color w:val="003D7C" w:themeColor="text2"/>
              </w:rPr>
            </w:pPr>
            <w:r w:rsidRPr="000C17EB">
              <w:rPr>
                <w:rStyle w:val="Stark"/>
                <w:rFonts w:asciiTheme="minorHAnsi" w:eastAsiaTheme="minorEastAsia" w:hAnsiTheme="minorHAnsi" w:cs="Calibri"/>
                <w:b w:val="0"/>
                <w:color w:val="003D7C" w:themeColor="text2"/>
              </w:rPr>
              <w:t>Desloratadin (tablett)</w:t>
            </w:r>
            <w:r w:rsidRPr="000C17EB">
              <w:rPr>
                <w:rStyle w:val="Stark"/>
                <w:rFonts w:asciiTheme="minorHAnsi" w:eastAsiaTheme="minorEastAsia" w:hAnsiTheme="minorHAnsi" w:cs="Calibri"/>
                <w:b w:val="0"/>
                <w:color w:val="003D7C" w:themeColor="text2"/>
              </w:rPr>
              <w:br/>
            </w:r>
          </w:p>
          <w:p w14:paraId="30B798F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iCs/>
                <w:color w:val="003D7C" w:themeColor="text2"/>
              </w:rPr>
            </w:pPr>
          </w:p>
          <w:p w14:paraId="0E73A841"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iCs/>
                <w:color w:val="003D7C" w:themeColor="text2"/>
              </w:rPr>
            </w:pPr>
            <w:r w:rsidRPr="000C17EB">
              <w:rPr>
                <w:rStyle w:val="Stark"/>
                <w:rFonts w:asciiTheme="minorHAnsi" w:eastAsiaTheme="minorEastAsia" w:hAnsiTheme="minorHAnsi" w:cs="Calibri"/>
                <w:b w:val="0"/>
                <w:color w:val="003D7C" w:themeColor="text2"/>
              </w:rPr>
              <w:t>Aerius (oral lösning)</w:t>
            </w:r>
          </w:p>
          <w:p w14:paraId="060A7067"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iCs/>
                <w:color w:val="003D7C" w:themeColor="text2"/>
              </w:rPr>
            </w:pPr>
          </w:p>
          <w:p w14:paraId="5986C807"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color w:val="003D7C" w:themeColor="text2"/>
              </w:rPr>
            </w:pPr>
          </w:p>
          <w:p w14:paraId="22B49F9E" w14:textId="77777777" w:rsidR="00EC79BD" w:rsidRPr="000C17EB" w:rsidRDefault="00EC79BD" w:rsidP="00632FCC">
            <w:pPr>
              <w:pStyle w:val="Normal4"/>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color w:val="003D7C" w:themeColor="text2"/>
              </w:rPr>
            </w:pPr>
          </w:p>
          <w:p w14:paraId="065C3988" w14:textId="77777777" w:rsidR="00EC79BD" w:rsidRPr="000C17EB" w:rsidRDefault="00EC79BD" w:rsidP="00632FCC">
            <w:pPr>
              <w:pStyle w:val="Normal4"/>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iCs/>
                <w:color w:val="003D7C" w:themeColor="text2"/>
              </w:rPr>
            </w:pPr>
            <w:r w:rsidRPr="000C17EB">
              <w:rPr>
                <w:rStyle w:val="Stark"/>
                <w:rFonts w:asciiTheme="minorHAnsi" w:eastAsiaTheme="minorEastAsia" w:hAnsiTheme="minorHAnsi" w:cs="Calibri"/>
                <w:b w:val="0"/>
                <w:color w:val="003D7C" w:themeColor="text2"/>
              </w:rPr>
              <w:t>Caredin (munsönderfallande tablett)</w:t>
            </w:r>
          </w:p>
          <w:p w14:paraId="1B17D4AD" w14:textId="77777777" w:rsidR="00EC79BD" w:rsidRPr="00D848B3" w:rsidRDefault="00EC79BD" w:rsidP="00632FCC">
            <w:pPr>
              <w:pStyle w:val="Normal4"/>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Cs/>
                <w:i/>
                <w:color w:val="003D7C" w:themeColor="text2"/>
              </w:rPr>
            </w:pPr>
            <w:r w:rsidRPr="00D848B3">
              <w:rPr>
                <w:rStyle w:val="Stark"/>
                <w:rFonts w:asciiTheme="minorHAnsi" w:eastAsiaTheme="minorEastAsia" w:hAnsiTheme="minorHAnsi" w:cs="Calibri"/>
                <w:i/>
                <w:color w:val="003D7C" w:themeColor="text2"/>
              </w:rPr>
              <w:t>Betydligt dyrare än vanlig tablett, i undantagsfall till vuxna</w:t>
            </w:r>
          </w:p>
        </w:tc>
        <w:tc>
          <w:tcPr>
            <w:tcW w:w="5099" w:type="dxa"/>
          </w:tcPr>
          <w:p w14:paraId="7C46A226"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lastRenderedPageBreak/>
              <w:t xml:space="preserve">Vuxna och barn över 12 år: </w:t>
            </w:r>
          </w:p>
          <w:p w14:paraId="3CC77993"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 xml:space="preserve">5 mg 1 gång dagligen </w:t>
            </w:r>
          </w:p>
          <w:p w14:paraId="4B8FDA4A"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p>
          <w:p w14:paraId="68B61336"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Barn 1-5 år:</w:t>
            </w:r>
          </w:p>
          <w:p w14:paraId="2C0BDFA7"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2,5 ml (1,25 mg) 1 gång dagligen</w:t>
            </w:r>
          </w:p>
          <w:p w14:paraId="5E8FC5C2"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Barn 6-11 år:</w:t>
            </w:r>
          </w:p>
          <w:p w14:paraId="4CA2973E"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5 ml (2,5 mg) 1 gång dagligen</w:t>
            </w:r>
          </w:p>
          <w:p w14:paraId="1490F15B"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br/>
              <w:t>Barn 6-11 år:</w:t>
            </w:r>
          </w:p>
          <w:p w14:paraId="1787DCA5"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2,5 mg 1 gång dagligen</w:t>
            </w:r>
          </w:p>
          <w:p w14:paraId="52285C57"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 xml:space="preserve">Vuxna och barn över 12 år: </w:t>
            </w:r>
          </w:p>
          <w:p w14:paraId="716B4A7F"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 xml:space="preserve">5 mg 1 gång dagligen </w:t>
            </w:r>
          </w:p>
          <w:p w14:paraId="3C15E29F"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rPr>
            </w:pPr>
          </w:p>
        </w:tc>
      </w:tr>
      <w:tr w:rsidR="00EC79BD" w:rsidRPr="000C17EB" w14:paraId="427372E9" w14:textId="77777777" w:rsidTr="00632FCC">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998" w:type="dxa"/>
            <w:tcBorders>
              <w:top w:val="none" w:sz="0" w:space="0" w:color="auto"/>
              <w:left w:val="none" w:sz="0" w:space="0" w:color="auto"/>
              <w:bottom w:val="none" w:sz="0" w:space="0" w:color="auto"/>
            </w:tcBorders>
          </w:tcPr>
          <w:p w14:paraId="5CA02B71" w14:textId="77777777" w:rsidR="00EC79BD" w:rsidRPr="003D6BB9" w:rsidRDefault="00EC79BD" w:rsidP="00632FCC">
            <w:pPr>
              <w:pStyle w:val="Normal4"/>
              <w:spacing w:before="0" w:beforeAutospacing="0" w:after="0" w:afterAutospacing="0"/>
              <w:rPr>
                <w:rStyle w:val="Stark"/>
                <w:rFonts w:asciiTheme="minorHAnsi" w:eastAsiaTheme="minorEastAsia" w:hAnsiTheme="minorHAnsi" w:cs="Calibri"/>
                <w:i w:val="0"/>
                <w:iCs w:val="0"/>
                <w:color w:val="003D7C" w:themeColor="text2"/>
              </w:rPr>
            </w:pPr>
            <w:r w:rsidRPr="000C17EB">
              <w:rPr>
                <w:rStyle w:val="Stark"/>
                <w:rFonts w:asciiTheme="minorHAnsi" w:eastAsiaTheme="minorEastAsia" w:hAnsiTheme="minorHAnsi" w:cs="Calibri"/>
                <w:b w:val="0"/>
                <w:color w:val="003D7C" w:themeColor="text2"/>
              </w:rPr>
              <w:lastRenderedPageBreak/>
              <w:t>Kortisontabletter</w:t>
            </w:r>
            <w:r w:rsidRPr="000C17EB">
              <w:rPr>
                <w:rStyle w:val="Stark"/>
                <w:rFonts w:asciiTheme="minorHAnsi" w:eastAsiaTheme="minorEastAsia" w:hAnsiTheme="minorHAnsi" w:cs="Calibri"/>
                <w:b w:val="0"/>
                <w:color w:val="003D7C" w:themeColor="text2"/>
              </w:rPr>
              <w:br/>
            </w:r>
            <w:r w:rsidRPr="003D6BB9">
              <w:rPr>
                <w:rStyle w:val="Stark"/>
                <w:rFonts w:asciiTheme="minorHAnsi" w:eastAsiaTheme="minorEastAsia" w:hAnsiTheme="minorHAnsi" w:cs="Calibri"/>
                <w:i w:val="0"/>
                <w:color w:val="003D7C" w:themeColor="text2"/>
              </w:rPr>
              <w:t>VID</w:t>
            </w:r>
          </w:p>
          <w:p w14:paraId="07AF826B"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3D6BB9">
              <w:rPr>
                <w:rStyle w:val="Stark"/>
                <w:rFonts w:asciiTheme="minorHAnsi" w:eastAsiaTheme="minorEastAsia" w:hAnsiTheme="minorHAnsi" w:cs="Calibri"/>
                <w:i w:val="0"/>
                <w:color w:val="003D7C" w:themeColor="text2"/>
              </w:rPr>
              <w:t>UTTALADE BESVÄR!</w:t>
            </w:r>
            <w:r w:rsidRPr="000C17EB">
              <w:rPr>
                <w:rStyle w:val="Stark"/>
                <w:rFonts w:asciiTheme="minorHAnsi" w:eastAsiaTheme="minorEastAsia" w:hAnsiTheme="minorHAnsi" w:cs="Calibri"/>
                <w:b w:val="0"/>
                <w:color w:val="003D7C" w:themeColor="text2"/>
              </w:rPr>
              <w:t xml:space="preserve"> </w:t>
            </w:r>
          </w:p>
        </w:tc>
        <w:tc>
          <w:tcPr>
            <w:tcW w:w="2963" w:type="dxa"/>
          </w:tcPr>
          <w:p w14:paraId="732AF9B7"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iCs/>
                <w:color w:val="003D7C" w:themeColor="text2"/>
              </w:rPr>
            </w:pPr>
            <w:r w:rsidRPr="000C17EB">
              <w:rPr>
                <w:rStyle w:val="Stark"/>
                <w:rFonts w:asciiTheme="minorHAnsi" w:eastAsiaTheme="minorEastAsia" w:hAnsiTheme="minorHAnsi" w:cs="Calibri"/>
                <w:b w:val="0"/>
                <w:color w:val="003D7C" w:themeColor="text2"/>
              </w:rPr>
              <w:t>Betametason (tablett)</w:t>
            </w:r>
          </w:p>
          <w:p w14:paraId="52BAE02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iCs/>
                <w:color w:val="003D7C" w:themeColor="text2"/>
              </w:rPr>
            </w:pPr>
          </w:p>
          <w:p w14:paraId="66374AE8"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iCs/>
                <w:color w:val="003D7C" w:themeColor="text2"/>
              </w:rPr>
            </w:pPr>
          </w:p>
          <w:p w14:paraId="72418C55"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iCs/>
                <w:color w:val="003D7C" w:themeColor="text2"/>
              </w:rPr>
            </w:pPr>
          </w:p>
          <w:p w14:paraId="57B181DA"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iCs/>
                <w:color w:val="003D7C" w:themeColor="text2"/>
              </w:rPr>
            </w:pPr>
          </w:p>
          <w:p w14:paraId="4FCF7477" w14:textId="77777777" w:rsidR="00EC79B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iCs/>
                <w:color w:val="003D7C" w:themeColor="text2"/>
              </w:rPr>
            </w:pPr>
          </w:p>
          <w:p w14:paraId="64B3E520" w14:textId="77777777" w:rsidR="00EC79B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iCs/>
                <w:color w:val="003D7C" w:themeColor="text2"/>
              </w:rPr>
            </w:pPr>
          </w:p>
          <w:p w14:paraId="6469EC0B"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Cs/>
                <w:iCs/>
                <w:color w:val="003D7C" w:themeColor="text2"/>
              </w:rPr>
            </w:pPr>
            <w:r w:rsidRPr="000C17EB">
              <w:rPr>
                <w:rStyle w:val="Stark"/>
                <w:rFonts w:asciiTheme="minorHAnsi" w:eastAsiaTheme="minorEastAsia" w:hAnsiTheme="minorHAnsi" w:cs="Calibri"/>
                <w:b w:val="0"/>
                <w:color w:val="003D7C" w:themeColor="text2"/>
              </w:rPr>
              <w:t>Prednisolon (tablett)</w:t>
            </w:r>
            <w:r w:rsidRPr="000C17EB">
              <w:rPr>
                <w:rStyle w:val="Stark"/>
                <w:rFonts w:asciiTheme="minorHAnsi" w:eastAsiaTheme="minorEastAsia" w:hAnsiTheme="minorHAnsi" w:cs="Calibri"/>
              </w:rPr>
              <w:t xml:space="preserve"> </w:t>
            </w:r>
          </w:p>
        </w:tc>
        <w:tc>
          <w:tcPr>
            <w:tcW w:w="5099" w:type="dxa"/>
            <w:shd w:val="clear" w:color="auto" w:fill="FFFFFF" w:themeFill="background1"/>
          </w:tcPr>
          <w:p w14:paraId="4E913FA8"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color w:val="003D7C" w:themeColor="text2"/>
              </w:rPr>
            </w:pPr>
            <w:r w:rsidRPr="000C17EB">
              <w:rPr>
                <w:rStyle w:val="Stark"/>
                <w:rFonts w:asciiTheme="minorHAnsi" w:eastAsiaTheme="minorEastAsia" w:hAnsiTheme="minorHAnsi" w:cs="Calibri"/>
                <w:b w:val="0"/>
                <w:color w:val="003D7C" w:themeColor="text2"/>
              </w:rPr>
              <w:t xml:space="preserve">Vuxna och barn över 12 år: </w:t>
            </w:r>
          </w:p>
          <w:p w14:paraId="3543EBD2"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Cs/>
                <w:color w:val="003D7C" w:themeColor="text2"/>
              </w:rPr>
            </w:pPr>
            <w:r w:rsidRPr="000C17EB">
              <w:rPr>
                <w:rStyle w:val="Stark"/>
                <w:rFonts w:asciiTheme="minorHAnsi" w:eastAsiaTheme="minorEastAsia" w:hAnsiTheme="minorHAnsi" w:cs="Calibri"/>
                <w:color w:val="003D7C" w:themeColor="text2"/>
              </w:rPr>
              <w:t xml:space="preserve">Kur: 2,5 mg </w:t>
            </w:r>
            <w:r w:rsidRPr="000C17EB">
              <w:rPr>
                <w:rFonts w:asciiTheme="minorHAnsi" w:hAnsiTheme="minorHAnsi" w:cs="Calibri"/>
                <w:color w:val="003D7C" w:themeColor="text2"/>
              </w:rPr>
              <w:t>1 gång</w:t>
            </w:r>
            <w:r w:rsidRPr="000C17EB">
              <w:rPr>
                <w:rStyle w:val="Stark"/>
                <w:rFonts w:asciiTheme="minorHAnsi" w:eastAsiaTheme="minorEastAsia" w:hAnsiTheme="minorHAnsi" w:cs="Calibri"/>
                <w:color w:val="003D7C" w:themeColor="text2"/>
              </w:rPr>
              <w:t xml:space="preserve"> dagligen i 3-5 dagar  </w:t>
            </w:r>
          </w:p>
          <w:p w14:paraId="09BA9E5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Cs/>
                <w:color w:val="003D7C" w:themeColor="text2"/>
              </w:rPr>
            </w:pPr>
            <w:r w:rsidRPr="000C17EB">
              <w:rPr>
                <w:rStyle w:val="Stark"/>
                <w:rFonts w:asciiTheme="minorHAnsi" w:eastAsiaTheme="minorEastAsia" w:hAnsiTheme="minorHAnsi" w:cs="Calibri"/>
                <w:color w:val="003D7C" w:themeColor="text2"/>
              </w:rPr>
              <w:t xml:space="preserve">Vid behov: 0,5-1,5 mg </w:t>
            </w:r>
            <w:r w:rsidRPr="000C17EB">
              <w:rPr>
                <w:rFonts w:asciiTheme="minorHAnsi" w:hAnsiTheme="minorHAnsi" w:cs="Calibri"/>
                <w:color w:val="003D7C" w:themeColor="text2"/>
              </w:rPr>
              <w:t>1 gång dagligen d</w:t>
            </w:r>
            <w:r w:rsidRPr="000C17EB">
              <w:rPr>
                <w:rStyle w:val="Stark"/>
                <w:rFonts w:asciiTheme="minorHAnsi" w:eastAsiaTheme="minorEastAsia" w:hAnsiTheme="minorHAnsi" w:cs="Calibri"/>
                <w:color w:val="003D7C" w:themeColor="text2"/>
              </w:rPr>
              <w:t xml:space="preserve">e dagar besvären är extra svåra </w:t>
            </w:r>
          </w:p>
          <w:p w14:paraId="5758911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Cs/>
                <w:color w:val="003D7C" w:themeColor="text2"/>
              </w:rPr>
            </w:pPr>
          </w:p>
          <w:p w14:paraId="7BC42A39"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color w:val="003D7C" w:themeColor="text2"/>
              </w:rPr>
            </w:pPr>
            <w:r w:rsidRPr="000C17EB">
              <w:rPr>
                <w:rStyle w:val="Stark"/>
                <w:rFonts w:asciiTheme="minorHAnsi" w:eastAsiaTheme="minorEastAsia" w:hAnsiTheme="minorHAnsi" w:cs="Calibri"/>
                <w:b w:val="0"/>
                <w:color w:val="003D7C" w:themeColor="text2"/>
              </w:rPr>
              <w:t xml:space="preserve">Vuxna och barn över 12 år: </w:t>
            </w:r>
          </w:p>
          <w:p w14:paraId="2F94D65A"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Cs/>
                <w:color w:val="003D7C" w:themeColor="text2"/>
              </w:rPr>
            </w:pPr>
            <w:r w:rsidRPr="000C17EB">
              <w:rPr>
                <w:rStyle w:val="Stark"/>
                <w:rFonts w:asciiTheme="minorHAnsi" w:eastAsiaTheme="minorEastAsia" w:hAnsiTheme="minorHAnsi" w:cs="Calibri"/>
                <w:color w:val="003D7C" w:themeColor="text2"/>
              </w:rPr>
              <w:t>Kur: 25 mg 1 gång dagligen i 3-5 dagar</w:t>
            </w:r>
          </w:p>
          <w:p w14:paraId="7BF00818"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Cs/>
                <w:color w:val="003D7C" w:themeColor="text2"/>
              </w:rPr>
            </w:pPr>
            <w:r w:rsidRPr="000C17EB">
              <w:rPr>
                <w:rStyle w:val="Stark"/>
                <w:rFonts w:asciiTheme="minorHAnsi" w:eastAsiaTheme="minorEastAsia" w:hAnsiTheme="minorHAnsi" w:cs="Calibri"/>
                <w:color w:val="003D7C" w:themeColor="text2"/>
              </w:rPr>
              <w:t xml:space="preserve">Vid behov: 5-15 mg 1 gång dagligen de dagar besvären är extra svåra  </w:t>
            </w:r>
          </w:p>
        </w:tc>
      </w:tr>
      <w:tr w:rsidR="00EC79BD" w:rsidRPr="000C17EB" w14:paraId="5EACBFFC" w14:textId="77777777" w:rsidTr="00632FCC">
        <w:trPr>
          <w:trHeight w:val="847"/>
        </w:trPr>
        <w:tc>
          <w:tcPr>
            <w:cnfStyle w:val="001000000000" w:firstRow="0" w:lastRow="0" w:firstColumn="1" w:lastColumn="0" w:oddVBand="0" w:evenVBand="0" w:oddHBand="0" w:evenHBand="0" w:firstRowFirstColumn="0" w:firstRowLastColumn="0" w:lastRowFirstColumn="0" w:lastRowLastColumn="0"/>
            <w:tcW w:w="1998" w:type="dxa"/>
            <w:tcBorders>
              <w:top w:val="none" w:sz="0" w:space="0" w:color="auto"/>
              <w:left w:val="none" w:sz="0" w:space="0" w:color="auto"/>
              <w:bottom w:val="none" w:sz="0" w:space="0" w:color="auto"/>
            </w:tcBorders>
          </w:tcPr>
          <w:p w14:paraId="620C2797"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Adrenalin; adrenalinpennor*</w:t>
            </w:r>
          </w:p>
        </w:tc>
        <w:tc>
          <w:tcPr>
            <w:tcW w:w="2963" w:type="dxa"/>
          </w:tcPr>
          <w:p w14:paraId="0757A89F"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rPr>
            </w:pPr>
            <w:r w:rsidRPr="000C17EB">
              <w:rPr>
                <w:rStyle w:val="Stark"/>
                <w:rFonts w:asciiTheme="minorHAnsi" w:eastAsiaTheme="minorEastAsia" w:hAnsiTheme="minorHAnsi" w:cs="Calibri"/>
                <w:b w:val="0"/>
                <w:color w:val="003D7C" w:themeColor="text2"/>
              </w:rPr>
              <w:t>Emerade</w:t>
            </w:r>
          </w:p>
          <w:p w14:paraId="48EC8A4B"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iCs/>
                <w:color w:val="003D7C" w:themeColor="text2"/>
              </w:rPr>
            </w:pPr>
            <w:r w:rsidRPr="000C17EB">
              <w:rPr>
                <w:rStyle w:val="Stark"/>
                <w:rFonts w:asciiTheme="minorHAnsi" w:eastAsiaTheme="minorEastAsia" w:hAnsiTheme="minorHAnsi" w:cs="Calibri"/>
                <w:b w:val="0"/>
                <w:color w:val="003D7C" w:themeColor="text2"/>
              </w:rPr>
              <w:t xml:space="preserve">Jext </w:t>
            </w:r>
            <w:r w:rsidRPr="000C17EB">
              <w:rPr>
                <w:rStyle w:val="Stark"/>
                <w:rFonts w:asciiTheme="minorHAnsi" w:eastAsiaTheme="minorEastAsia" w:hAnsiTheme="minorHAnsi" w:cs="Calibri"/>
                <w:b w:val="0"/>
                <w:color w:val="003D7C" w:themeColor="text2"/>
              </w:rPr>
              <w:br/>
              <w:t xml:space="preserve">Epipen </w:t>
            </w:r>
          </w:p>
        </w:tc>
        <w:tc>
          <w:tcPr>
            <w:tcW w:w="5099" w:type="dxa"/>
          </w:tcPr>
          <w:p w14:paraId="3582315E"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 xml:space="preserve">För dosering, se avsnitt </w:t>
            </w:r>
            <w:r w:rsidRPr="00BA6951">
              <w:rPr>
                <w:rFonts w:asciiTheme="minorHAnsi" w:hAnsiTheme="minorHAnsi" w:cs="Calibri"/>
                <w:b/>
              </w:rPr>
              <w:t>anafylaxi i reklistan</w:t>
            </w:r>
            <w:r w:rsidRPr="000C17EB">
              <w:rPr>
                <w:rStyle w:val="Stark"/>
                <w:rFonts w:asciiTheme="minorHAnsi" w:eastAsiaTheme="minorEastAsia" w:hAnsiTheme="minorHAnsi" w:cs="Calibri"/>
                <w:b w:val="0"/>
                <w:color w:val="003D7C" w:themeColor="text2"/>
              </w:rPr>
              <w:t xml:space="preserve"> </w:t>
            </w:r>
          </w:p>
        </w:tc>
      </w:tr>
    </w:tbl>
    <w:p w14:paraId="244E0269" w14:textId="77777777" w:rsidR="00EC79BD" w:rsidRDefault="00EC79BD" w:rsidP="00EC79BD">
      <w:pPr>
        <w:pStyle w:val="Normal4"/>
        <w:spacing w:before="0" w:beforeAutospacing="0" w:after="0" w:afterAutospacing="0"/>
        <w:ind w:left="420"/>
        <w:rPr>
          <w:rFonts w:asciiTheme="minorHAnsi" w:hAnsiTheme="minorHAnsi" w:cs="Calibri"/>
          <w:color w:val="404040"/>
          <w:sz w:val="20"/>
          <w:szCs w:val="20"/>
        </w:rPr>
      </w:pPr>
      <w:r>
        <w:rPr>
          <w:rFonts w:asciiTheme="minorHAnsi" w:hAnsiTheme="minorHAnsi" w:cs="Calibri"/>
          <w:color w:val="404040"/>
        </w:rPr>
        <w:br/>
      </w:r>
      <w:r w:rsidRPr="00DA1B86">
        <w:rPr>
          <w:rFonts w:asciiTheme="minorHAnsi" w:hAnsiTheme="minorHAnsi" w:cs="Calibri"/>
          <w:color w:val="404040"/>
          <w:sz w:val="20"/>
          <w:szCs w:val="20"/>
        </w:rPr>
        <w:t xml:space="preserve">*Adrenalinpenna förskrivs vid anafylaxi grad 2 – 3 utlöst av exempelvis födoämnen, bi- eller getingstick samt ibland vid anafylaxi grad 1 efter individuell bedömning. Adrenalinpenna skall ej förskrivas vid icke-anafylaktiska reaktioner, exempelvis hudreaktioner, och aldrig ”för säkerhets skull”. Vid ordination av adrenalinpenna förskrivs </w:t>
      </w:r>
      <w:r w:rsidRPr="00DA1B86">
        <w:rPr>
          <w:rStyle w:val="Stark"/>
          <w:rFonts w:asciiTheme="minorHAnsi" w:eastAsiaTheme="minorEastAsia" w:hAnsiTheme="minorHAnsi" w:cs="Calibri"/>
          <w:color w:val="404040"/>
          <w:sz w:val="20"/>
          <w:szCs w:val="20"/>
        </w:rPr>
        <w:t>alltid</w:t>
      </w:r>
      <w:r w:rsidRPr="00DA1B86">
        <w:rPr>
          <w:rFonts w:asciiTheme="minorHAnsi" w:hAnsiTheme="minorHAnsi" w:cs="Calibri"/>
          <w:color w:val="404040"/>
          <w:sz w:val="20"/>
          <w:szCs w:val="20"/>
        </w:rPr>
        <w:t xml:space="preserve"> 2 pennor/patient. </w:t>
      </w:r>
      <w:r w:rsidRPr="00DA1B86">
        <w:rPr>
          <w:rFonts w:asciiTheme="minorHAnsi" w:hAnsiTheme="minorHAnsi" w:cs="Calibri"/>
          <w:color w:val="404040"/>
          <w:sz w:val="20"/>
          <w:szCs w:val="20"/>
          <w:u w:val="single"/>
        </w:rPr>
        <w:t>Kontrollera patientens teknik!</w:t>
      </w:r>
      <w:r w:rsidRPr="00DA1B86">
        <w:rPr>
          <w:rFonts w:asciiTheme="minorHAnsi" w:hAnsiTheme="minorHAnsi" w:cs="Calibri"/>
          <w:color w:val="404040"/>
          <w:sz w:val="20"/>
          <w:szCs w:val="20"/>
        </w:rPr>
        <w:t xml:space="preserve"> </w:t>
      </w:r>
    </w:p>
    <w:p w14:paraId="5FBF4425" w14:textId="77777777" w:rsidR="00EC79BD" w:rsidRDefault="00EC79BD" w:rsidP="00EC79BD">
      <w:pPr>
        <w:tabs>
          <w:tab w:val="clear" w:pos="284"/>
        </w:tabs>
        <w:spacing w:after="120" w:line="260" w:lineRule="atLeast"/>
        <w:rPr>
          <w:rFonts w:asciiTheme="minorHAnsi" w:eastAsia="Times New Roman" w:hAnsiTheme="minorHAnsi" w:cs="Calibri"/>
          <w:color w:val="404040"/>
          <w:sz w:val="20"/>
          <w:szCs w:val="20"/>
          <w:lang w:eastAsia="sv-SE"/>
        </w:rPr>
      </w:pPr>
    </w:p>
    <w:p w14:paraId="47A61CA7" w14:textId="77777777" w:rsidR="00EC79BD" w:rsidRPr="00BB1D3A" w:rsidRDefault="00EC79BD" w:rsidP="00EC79BD">
      <w:pPr>
        <w:pStyle w:val="Rubrik2"/>
        <w:rPr>
          <w:szCs w:val="28"/>
        </w:rPr>
      </w:pPr>
      <w:r w:rsidRPr="00BB1D3A">
        <w:rPr>
          <w:szCs w:val="28"/>
        </w:rPr>
        <w:t>Allergisk rinit</w:t>
      </w:r>
    </w:p>
    <w:p w14:paraId="4AA60B02" w14:textId="77777777" w:rsidR="00EC79BD" w:rsidRDefault="00EC79BD" w:rsidP="00EC79BD"/>
    <w:tbl>
      <w:tblPr>
        <w:tblStyle w:val="Rutntstabell3dekorfrg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2946"/>
        <w:gridCol w:w="4916"/>
      </w:tblGrid>
      <w:tr w:rsidR="00EC79BD" w:rsidRPr="000C17EB" w14:paraId="5D9BFF73" w14:textId="77777777" w:rsidTr="00632FCC">
        <w:trPr>
          <w:cnfStyle w:val="100000000000" w:firstRow="1" w:lastRow="0" w:firstColumn="0" w:lastColumn="0" w:oddVBand="0" w:evenVBand="0" w:oddHBand="0" w:evenHBand="0" w:firstRowFirstColumn="0" w:firstRowLastColumn="0" w:lastRowFirstColumn="0" w:lastRowLastColumn="0"/>
          <w:trHeight w:val="559"/>
        </w:trPr>
        <w:tc>
          <w:tcPr>
            <w:cnfStyle w:val="001000000100" w:firstRow="0" w:lastRow="0" w:firstColumn="1" w:lastColumn="0" w:oddVBand="0" w:evenVBand="0" w:oddHBand="0" w:evenHBand="0" w:firstRowFirstColumn="1" w:firstRowLastColumn="0" w:lastRowFirstColumn="0" w:lastRowLastColumn="0"/>
            <w:tcW w:w="2056" w:type="dxa"/>
            <w:tcBorders>
              <w:top w:val="none" w:sz="0" w:space="0" w:color="auto"/>
              <w:left w:val="none" w:sz="0" w:space="0" w:color="auto"/>
              <w:bottom w:val="none" w:sz="0" w:space="0" w:color="auto"/>
              <w:right w:val="none" w:sz="0" w:space="0" w:color="auto"/>
            </w:tcBorders>
          </w:tcPr>
          <w:p w14:paraId="5F012B7C" w14:textId="77777777" w:rsidR="00EC79BD" w:rsidRPr="00CB5DA8" w:rsidRDefault="00EC79BD" w:rsidP="00632FCC">
            <w:pPr>
              <w:pStyle w:val="Normal4"/>
              <w:spacing w:before="0" w:beforeAutospacing="0" w:after="0" w:afterAutospacing="0"/>
              <w:jc w:val="center"/>
              <w:rPr>
                <w:rStyle w:val="Stark"/>
                <w:rFonts w:asciiTheme="minorHAnsi" w:eastAsiaTheme="minorEastAsia" w:hAnsiTheme="minorHAnsi" w:cs="Calibri"/>
                <w:bCs w:val="0"/>
                <w:i w:val="0"/>
                <w:iCs w:val="0"/>
                <w:color w:val="003D7C" w:themeColor="text2"/>
              </w:rPr>
            </w:pPr>
            <w:r w:rsidRPr="00CB5DA8">
              <w:rPr>
                <w:rStyle w:val="Stark"/>
                <w:rFonts w:asciiTheme="minorHAnsi" w:eastAsiaTheme="minorEastAsia" w:hAnsiTheme="minorHAnsi" w:cs="Calibri"/>
                <w:i w:val="0"/>
                <w:color w:val="003D7C" w:themeColor="text2"/>
              </w:rPr>
              <w:t>Läkemedelsgrupp</w:t>
            </w:r>
          </w:p>
        </w:tc>
        <w:tc>
          <w:tcPr>
            <w:tcW w:w="2946" w:type="dxa"/>
            <w:tcBorders>
              <w:top w:val="none" w:sz="0" w:space="0" w:color="auto"/>
              <w:left w:val="none" w:sz="0" w:space="0" w:color="auto"/>
              <w:right w:val="none" w:sz="0" w:space="0" w:color="auto"/>
            </w:tcBorders>
          </w:tcPr>
          <w:p w14:paraId="4AEE1321" w14:textId="77777777" w:rsidR="00EC79BD" w:rsidRPr="00CB5DA8"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CB5DA8">
              <w:rPr>
                <w:rStyle w:val="Stark"/>
                <w:rFonts w:asciiTheme="minorHAnsi" w:eastAsiaTheme="minorEastAsia" w:hAnsiTheme="minorHAnsi" w:cs="Calibri"/>
                <w:color w:val="003D7C" w:themeColor="text2"/>
              </w:rPr>
              <w:t>Läkemedel</w:t>
            </w:r>
          </w:p>
        </w:tc>
        <w:tc>
          <w:tcPr>
            <w:tcW w:w="4916" w:type="dxa"/>
            <w:tcBorders>
              <w:top w:val="none" w:sz="0" w:space="0" w:color="auto"/>
              <w:left w:val="none" w:sz="0" w:space="0" w:color="auto"/>
              <w:right w:val="none" w:sz="0" w:space="0" w:color="auto"/>
            </w:tcBorders>
          </w:tcPr>
          <w:p w14:paraId="2A60C616" w14:textId="77777777" w:rsidR="00EC79BD" w:rsidRPr="00CB5DA8"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Calibri"/>
                <w:iCs/>
                <w:color w:val="003D7C" w:themeColor="text2"/>
              </w:rPr>
            </w:pPr>
            <w:r w:rsidRPr="00CB5DA8">
              <w:rPr>
                <w:rStyle w:val="Stark"/>
                <w:rFonts w:asciiTheme="minorHAnsi" w:eastAsiaTheme="minorEastAsia" w:hAnsiTheme="minorHAnsi" w:cs="Calibri"/>
                <w:color w:val="003D7C" w:themeColor="text2"/>
              </w:rPr>
              <w:t>Dosering</w:t>
            </w:r>
          </w:p>
        </w:tc>
      </w:tr>
      <w:tr w:rsidR="00EC79BD" w:rsidRPr="000C17EB" w14:paraId="13CA4D70" w14:textId="77777777" w:rsidTr="00632FCC">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056" w:type="dxa"/>
            <w:tcBorders>
              <w:top w:val="none" w:sz="0" w:space="0" w:color="auto"/>
              <w:left w:val="none" w:sz="0" w:space="0" w:color="auto"/>
              <w:bottom w:val="none" w:sz="0" w:space="0" w:color="auto"/>
            </w:tcBorders>
          </w:tcPr>
          <w:p w14:paraId="44A3C73A" w14:textId="77777777" w:rsidR="00EC79BD" w:rsidRPr="000C17EB" w:rsidRDefault="00EC79BD" w:rsidP="00632FCC">
            <w:pPr>
              <w:pStyle w:val="Normal4"/>
              <w:spacing w:before="0" w:beforeAutospacing="0" w:after="0" w:afterAutospacing="0"/>
              <w:jc w:val="left"/>
              <w:rPr>
                <w:rStyle w:val="Stark"/>
                <w:rFonts w:asciiTheme="minorHAnsi" w:eastAsiaTheme="minorEastAsia" w:hAnsiTheme="minorHAnsi" w:cs="Calibri"/>
                <w:b w:val="0"/>
                <w:i w:val="0"/>
                <w:iCs w:val="0"/>
                <w:color w:val="003D7C" w:themeColor="text2"/>
              </w:rPr>
            </w:pPr>
            <w:r w:rsidRPr="000C17EB">
              <w:rPr>
                <w:rStyle w:val="Stark"/>
                <w:rFonts w:asciiTheme="minorHAnsi" w:eastAsiaTheme="minorEastAsia" w:hAnsiTheme="minorHAnsi" w:cs="Calibri"/>
                <w:b w:val="0"/>
                <w:color w:val="003D7C" w:themeColor="text2"/>
              </w:rPr>
              <w:t>Kortisonnässpray</w:t>
            </w:r>
          </w:p>
          <w:p w14:paraId="5A1EDDDA" w14:textId="77777777" w:rsidR="00EC79BD" w:rsidRPr="000C17EB" w:rsidRDefault="00EC79BD" w:rsidP="00632FCC">
            <w:pPr>
              <w:pStyle w:val="Normal4"/>
              <w:spacing w:before="0" w:beforeAutospacing="0" w:after="0" w:afterAutospacing="0"/>
              <w:jc w:val="center"/>
              <w:rPr>
                <w:rStyle w:val="Stark"/>
                <w:rFonts w:asciiTheme="minorHAnsi" w:eastAsiaTheme="minorEastAsia" w:hAnsiTheme="minorHAnsi" w:cs="Calibri"/>
                <w:bCs/>
                <w:color w:val="003D7C" w:themeColor="text2"/>
              </w:rPr>
            </w:pPr>
            <w:r w:rsidRPr="000C17EB">
              <w:rPr>
                <w:rStyle w:val="Stark"/>
                <w:rFonts w:asciiTheme="minorHAnsi" w:eastAsiaTheme="minorEastAsia" w:hAnsiTheme="minorHAnsi" w:cs="Calibri"/>
                <w:b w:val="0"/>
                <w:color w:val="003D7C" w:themeColor="text2"/>
              </w:rPr>
              <w:t>Steg 1</w:t>
            </w:r>
            <w:r w:rsidRPr="000C17EB">
              <w:rPr>
                <w:rStyle w:val="Stark"/>
                <w:rFonts w:asciiTheme="minorHAnsi" w:eastAsiaTheme="minorEastAsia" w:hAnsiTheme="minorHAnsi" w:cs="Calibri"/>
                <w:color w:val="003D7C" w:themeColor="text2"/>
              </w:rPr>
              <w:t xml:space="preserve"> </w:t>
            </w:r>
          </w:p>
        </w:tc>
        <w:tc>
          <w:tcPr>
            <w:tcW w:w="2946" w:type="dxa"/>
          </w:tcPr>
          <w:p w14:paraId="6D31CF9B"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Mometason (spray)</w:t>
            </w:r>
          </w:p>
        </w:tc>
        <w:tc>
          <w:tcPr>
            <w:tcW w:w="4916" w:type="dxa"/>
          </w:tcPr>
          <w:p w14:paraId="2AF65E3A"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Barn 3-11 år:</w:t>
            </w:r>
          </w:p>
          <w:p w14:paraId="4889A6B8"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1 spray i vardera näsborre 1 gång dagligen</w:t>
            </w:r>
          </w:p>
          <w:p w14:paraId="63CDBDE7"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Cs/>
                <w:color w:val="003D7C" w:themeColor="text2"/>
              </w:rPr>
            </w:pPr>
          </w:p>
          <w:p w14:paraId="66FB37A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color w:val="003D7C" w:themeColor="text2"/>
              </w:rPr>
            </w:pPr>
            <w:r w:rsidRPr="000C17EB">
              <w:rPr>
                <w:rStyle w:val="Stark"/>
                <w:rFonts w:asciiTheme="minorHAnsi" w:eastAsiaTheme="minorEastAsia" w:hAnsiTheme="minorHAnsi" w:cs="Calibri"/>
                <w:b w:val="0"/>
                <w:color w:val="003D7C" w:themeColor="text2"/>
              </w:rPr>
              <w:t xml:space="preserve">Vuxna och barn över 12 år: </w:t>
            </w:r>
          </w:p>
          <w:p w14:paraId="4E941C9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Cs/>
                <w:color w:val="003D7C" w:themeColor="text2"/>
              </w:rPr>
            </w:pPr>
            <w:r w:rsidRPr="000C17EB">
              <w:rPr>
                <w:rStyle w:val="Stark"/>
                <w:rFonts w:asciiTheme="minorHAnsi" w:eastAsiaTheme="minorEastAsia" w:hAnsiTheme="minorHAnsi" w:cs="Calibri"/>
                <w:color w:val="003D7C" w:themeColor="text2"/>
              </w:rPr>
              <w:t>2 spray i vardera näsborre 1 gång dagligen</w:t>
            </w:r>
          </w:p>
          <w:p w14:paraId="231911BD"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br/>
              <w:t>Efter bättring kan dosreducering till</w:t>
            </w:r>
            <w:r w:rsidRPr="000C17EB">
              <w:rPr>
                <w:rStyle w:val="Stark"/>
                <w:rFonts w:asciiTheme="minorHAnsi" w:eastAsiaTheme="minorEastAsia" w:hAnsiTheme="minorHAnsi" w:cs="Calibri"/>
                <w:color w:val="003D7C" w:themeColor="text2"/>
              </w:rPr>
              <w:br/>
              <w:t>1 spray i vardera näsborre 1 gång dagligen testas</w:t>
            </w:r>
            <w:r w:rsidRPr="000C17EB">
              <w:rPr>
                <w:rStyle w:val="Stark"/>
                <w:rFonts w:asciiTheme="minorHAnsi" w:eastAsiaTheme="minorEastAsia" w:hAnsiTheme="minorHAnsi" w:cs="Calibri"/>
                <w:b w:val="0"/>
                <w:color w:val="003D7C" w:themeColor="text2"/>
              </w:rPr>
              <w:t xml:space="preserve"> </w:t>
            </w:r>
          </w:p>
        </w:tc>
      </w:tr>
      <w:tr w:rsidR="00EC79BD" w:rsidRPr="000C17EB" w14:paraId="7809D03D" w14:textId="77777777" w:rsidTr="00632FCC">
        <w:trPr>
          <w:trHeight w:val="822"/>
        </w:trPr>
        <w:tc>
          <w:tcPr>
            <w:cnfStyle w:val="001000000000" w:firstRow="0" w:lastRow="0" w:firstColumn="1" w:lastColumn="0" w:oddVBand="0" w:evenVBand="0" w:oddHBand="0" w:evenHBand="0" w:firstRowFirstColumn="0" w:firstRowLastColumn="0" w:lastRowFirstColumn="0" w:lastRowLastColumn="0"/>
            <w:tcW w:w="2056" w:type="dxa"/>
            <w:tcBorders>
              <w:top w:val="none" w:sz="0" w:space="0" w:color="auto"/>
              <w:left w:val="none" w:sz="0" w:space="0" w:color="auto"/>
              <w:bottom w:val="none" w:sz="0" w:space="0" w:color="auto"/>
            </w:tcBorders>
          </w:tcPr>
          <w:p w14:paraId="530989FE" w14:textId="77777777" w:rsidR="00EC79BD" w:rsidRPr="000C17EB" w:rsidRDefault="00EC79BD" w:rsidP="00632FCC">
            <w:pPr>
              <w:pStyle w:val="Normal4"/>
              <w:spacing w:before="0" w:beforeAutospacing="0" w:after="0" w:afterAutospacing="0"/>
              <w:jc w:val="center"/>
              <w:rPr>
                <w:rStyle w:val="Stark"/>
                <w:rFonts w:asciiTheme="minorHAnsi" w:eastAsiaTheme="minorEastAsia" w:hAnsiTheme="minorHAnsi" w:cs="Calibri"/>
                <w:b w:val="0"/>
                <w:i w:val="0"/>
                <w:iCs w:val="0"/>
                <w:color w:val="003D7C" w:themeColor="text2"/>
              </w:rPr>
            </w:pPr>
            <w:r w:rsidRPr="000C17EB">
              <w:rPr>
                <w:rStyle w:val="Stark"/>
                <w:rFonts w:asciiTheme="minorHAnsi" w:eastAsiaTheme="minorEastAsia" w:hAnsiTheme="minorHAnsi" w:cs="Calibri"/>
                <w:b w:val="0"/>
                <w:color w:val="003D7C" w:themeColor="text2"/>
              </w:rPr>
              <w:t>Kombinations-nässpray</w:t>
            </w:r>
          </w:p>
          <w:p w14:paraId="2FFFB9FA" w14:textId="77777777" w:rsidR="00EC79BD" w:rsidRPr="000C17EB" w:rsidRDefault="00EC79BD" w:rsidP="00632FCC">
            <w:pPr>
              <w:pStyle w:val="Normal4"/>
              <w:spacing w:before="0" w:beforeAutospacing="0" w:after="0" w:afterAutospacing="0"/>
              <w:jc w:val="center"/>
              <w:rPr>
                <w:rStyle w:val="Stark"/>
                <w:rFonts w:asciiTheme="minorHAnsi" w:eastAsiaTheme="minorEastAsia" w:hAnsiTheme="minorHAnsi" w:cs="Calibri"/>
                <w:bCs/>
                <w:color w:val="003D7C" w:themeColor="text2"/>
              </w:rPr>
            </w:pPr>
            <w:r w:rsidRPr="000C17EB">
              <w:rPr>
                <w:rStyle w:val="Stark"/>
                <w:rFonts w:asciiTheme="minorHAnsi" w:eastAsiaTheme="minorEastAsia" w:hAnsiTheme="minorHAnsi" w:cs="Calibri"/>
                <w:b w:val="0"/>
                <w:color w:val="003D7C" w:themeColor="text2"/>
              </w:rPr>
              <w:t>Steg 2</w:t>
            </w:r>
          </w:p>
        </w:tc>
        <w:tc>
          <w:tcPr>
            <w:tcW w:w="2946" w:type="dxa"/>
          </w:tcPr>
          <w:p w14:paraId="008E8A75"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Olopatadin+ mometasonfuroat</w:t>
            </w:r>
          </w:p>
          <w:p w14:paraId="77626DC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 xml:space="preserve">(Ryaltris) </w:t>
            </w:r>
            <w:r w:rsidRPr="000C17EB">
              <w:rPr>
                <w:rStyle w:val="Stark"/>
                <w:rFonts w:asciiTheme="minorHAnsi" w:eastAsiaTheme="minorEastAsia" w:hAnsiTheme="minorHAnsi" w:cs="Calibri"/>
                <w:b w:val="0"/>
                <w:color w:val="003D7C" w:themeColor="text2"/>
              </w:rPr>
              <w:br/>
            </w:r>
            <w:r w:rsidRPr="000C17EB">
              <w:rPr>
                <w:rStyle w:val="Stark"/>
                <w:rFonts w:asciiTheme="minorHAnsi" w:eastAsiaTheme="minorEastAsia" w:hAnsiTheme="minorHAnsi" w:cs="Calibri"/>
                <w:i/>
                <w:color w:val="003D7C" w:themeColor="text2"/>
              </w:rPr>
              <w:t>Fördel – ingen illalukt</w:t>
            </w:r>
          </w:p>
        </w:tc>
        <w:tc>
          <w:tcPr>
            <w:tcW w:w="4916" w:type="dxa"/>
          </w:tcPr>
          <w:p w14:paraId="161ABC92"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color w:val="003D7C" w:themeColor="text2"/>
              </w:rPr>
            </w:pPr>
            <w:r w:rsidRPr="000C17EB">
              <w:rPr>
                <w:rStyle w:val="Stark"/>
                <w:rFonts w:asciiTheme="minorHAnsi" w:eastAsiaTheme="minorEastAsia" w:hAnsiTheme="minorHAnsi" w:cs="Calibri"/>
                <w:b w:val="0"/>
                <w:color w:val="003D7C" w:themeColor="text2"/>
              </w:rPr>
              <w:t xml:space="preserve">Vuxna och barn över 12 år: </w:t>
            </w:r>
          </w:p>
          <w:p w14:paraId="1AC0F87F"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Cs/>
                <w:color w:val="003D7C" w:themeColor="text2"/>
              </w:rPr>
            </w:pPr>
            <w:r w:rsidRPr="000C17EB">
              <w:rPr>
                <w:rStyle w:val="Stark"/>
                <w:rFonts w:asciiTheme="minorHAnsi" w:eastAsiaTheme="minorEastAsia" w:hAnsiTheme="minorHAnsi" w:cs="Calibri"/>
                <w:color w:val="003D7C" w:themeColor="text2"/>
              </w:rPr>
              <w:t>2 spray i vardera näsborre morgon och kväll</w:t>
            </w:r>
          </w:p>
        </w:tc>
      </w:tr>
      <w:tr w:rsidR="00EC79BD" w:rsidRPr="000C17EB" w14:paraId="30E4B6C4" w14:textId="77777777" w:rsidTr="00632FCC">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056" w:type="dxa"/>
            <w:tcBorders>
              <w:top w:val="none" w:sz="0" w:space="0" w:color="auto"/>
              <w:left w:val="none" w:sz="0" w:space="0" w:color="auto"/>
              <w:bottom w:val="none" w:sz="0" w:space="0" w:color="auto"/>
            </w:tcBorders>
          </w:tcPr>
          <w:p w14:paraId="2B86A587" w14:textId="77777777" w:rsidR="00EC79BD" w:rsidRPr="000C17EB" w:rsidRDefault="00EC79BD" w:rsidP="00632FCC">
            <w:pPr>
              <w:pStyle w:val="Normal4"/>
              <w:spacing w:before="0" w:beforeAutospacing="0" w:after="0" w:afterAutospacing="0"/>
              <w:jc w:val="center"/>
              <w:rPr>
                <w:rStyle w:val="Stark"/>
                <w:rFonts w:asciiTheme="minorHAnsi" w:eastAsiaTheme="minorEastAsia" w:hAnsiTheme="minorHAnsi" w:cs="Calibri"/>
                <w:b w:val="0"/>
                <w:color w:val="003D7C" w:themeColor="text2"/>
              </w:rPr>
            </w:pPr>
          </w:p>
        </w:tc>
        <w:tc>
          <w:tcPr>
            <w:tcW w:w="2946" w:type="dxa"/>
          </w:tcPr>
          <w:p w14:paraId="6788FF2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i/>
                <w:iCs/>
                <w:color w:val="003D7C" w:themeColor="text2"/>
              </w:rPr>
            </w:pPr>
            <w:r w:rsidRPr="000C17EB">
              <w:rPr>
                <w:rStyle w:val="Stark"/>
                <w:rFonts w:asciiTheme="minorHAnsi" w:eastAsiaTheme="minorEastAsia" w:hAnsiTheme="minorHAnsi" w:cs="Calibri"/>
                <w:b w:val="0"/>
                <w:i/>
                <w:color w:val="003D7C" w:themeColor="text2"/>
              </w:rPr>
              <w:t xml:space="preserve"> </w:t>
            </w:r>
            <w:r w:rsidRPr="000C17EB">
              <w:rPr>
                <w:rStyle w:val="Stark"/>
                <w:rFonts w:asciiTheme="minorHAnsi" w:eastAsiaTheme="minorEastAsia" w:hAnsiTheme="minorHAnsi" w:cs="Calibri"/>
                <w:b w:val="0"/>
                <w:color w:val="003D7C" w:themeColor="text2"/>
              </w:rPr>
              <w:t>Azelastin + flutikasonpropionat (Dymista)</w:t>
            </w:r>
          </w:p>
        </w:tc>
        <w:tc>
          <w:tcPr>
            <w:tcW w:w="4916" w:type="dxa"/>
          </w:tcPr>
          <w:p w14:paraId="0DB0CC6B"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color w:val="003D7C" w:themeColor="text2"/>
              </w:rPr>
            </w:pPr>
            <w:r w:rsidRPr="000C17EB">
              <w:rPr>
                <w:rStyle w:val="Stark"/>
                <w:rFonts w:asciiTheme="minorHAnsi" w:eastAsiaTheme="minorEastAsia" w:hAnsiTheme="minorHAnsi" w:cs="Calibri"/>
                <w:b w:val="0"/>
                <w:color w:val="003D7C" w:themeColor="text2"/>
              </w:rPr>
              <w:t xml:space="preserve">Vuxna och barn över 12 år: </w:t>
            </w:r>
          </w:p>
          <w:p w14:paraId="529ECB29" w14:textId="77777777" w:rsidR="00EC79BD" w:rsidRPr="00A7180E" w:rsidRDefault="00EC79BD" w:rsidP="00632FCC">
            <w:pPr>
              <w:cnfStyle w:val="000000100000" w:firstRow="0" w:lastRow="0" w:firstColumn="0" w:lastColumn="0" w:oddVBand="0" w:evenVBand="0" w:oddHBand="1" w:evenHBand="0" w:firstRowFirstColumn="0" w:firstRowLastColumn="0" w:lastRowFirstColumn="0" w:lastRowLastColumn="0"/>
              <w:rPr>
                <w:rStyle w:val="Stark"/>
              </w:rPr>
            </w:pPr>
            <w:r w:rsidRPr="000C17EB">
              <w:rPr>
                <w:rStyle w:val="Stark"/>
                <w:rFonts w:asciiTheme="minorHAnsi" w:hAnsiTheme="minorHAnsi" w:cs="Calibri"/>
                <w:color w:val="003D7C" w:themeColor="text2"/>
              </w:rPr>
              <w:t>1 spray i vardera näsborre morgon och kväll</w:t>
            </w:r>
          </w:p>
        </w:tc>
      </w:tr>
    </w:tbl>
    <w:p w14:paraId="514452FF" w14:textId="77777777" w:rsidR="00EC79BD" w:rsidRDefault="00EC79BD" w:rsidP="00EC79BD"/>
    <w:p w14:paraId="4530D9A7" w14:textId="77777777" w:rsidR="00EC79BD" w:rsidRPr="00483B4C" w:rsidRDefault="00EC79BD" w:rsidP="00EC79BD">
      <w:pPr>
        <w:pStyle w:val="Rubrik3"/>
        <w:rPr>
          <w:rStyle w:val="Stark"/>
          <w:b/>
          <w:bCs w:val="0"/>
        </w:rPr>
      </w:pPr>
      <w:r>
        <w:br w:type="page"/>
      </w:r>
      <w:r w:rsidRPr="009E354B">
        <w:lastRenderedPageBreak/>
        <w:t>Andra läkemedel</w:t>
      </w:r>
    </w:p>
    <w:p w14:paraId="7E1AAD69" w14:textId="77777777" w:rsidR="00EC79BD" w:rsidRPr="000C17EB" w:rsidRDefault="00EC79BD" w:rsidP="00EC79BD">
      <w:pPr>
        <w:pStyle w:val="Normal4"/>
        <w:spacing w:before="0" w:beforeAutospacing="0" w:after="240" w:afterAutospacing="0"/>
        <w:rPr>
          <w:rFonts w:asciiTheme="minorHAnsi" w:hAnsiTheme="minorHAnsi" w:cs="Calibri"/>
          <w:color w:val="404040"/>
        </w:rPr>
      </w:pPr>
      <w:r w:rsidRPr="000C17EB">
        <w:rPr>
          <w:rFonts w:asciiTheme="minorHAnsi" w:hAnsiTheme="minorHAnsi" w:cs="Calibri"/>
          <w:color w:val="404040"/>
          <w:u w:val="single"/>
        </w:rPr>
        <w:t>Avsvällande nässprayer</w:t>
      </w:r>
      <w:r w:rsidRPr="000C17EB">
        <w:rPr>
          <w:rFonts w:asciiTheme="minorHAnsi" w:hAnsiTheme="minorHAnsi" w:cs="Calibri"/>
          <w:color w:val="404040"/>
          <w:u w:val="single"/>
        </w:rPr>
        <w:br/>
      </w:r>
      <w:r w:rsidRPr="000C17EB">
        <w:rPr>
          <w:rFonts w:asciiTheme="minorHAnsi" w:hAnsiTheme="minorHAnsi" w:cs="Calibri"/>
          <w:color w:val="404040"/>
        </w:rPr>
        <w:t xml:space="preserve">Effektiva vid </w:t>
      </w:r>
      <w:r w:rsidRPr="000C17EB">
        <w:rPr>
          <w:rFonts w:asciiTheme="minorHAnsi" w:hAnsiTheme="minorHAnsi" w:cs="Calibri"/>
          <w:b/>
          <w:bCs/>
          <w:color w:val="404040"/>
        </w:rPr>
        <w:t>korttidsbehandling</w:t>
      </w:r>
      <w:r w:rsidRPr="000C17EB">
        <w:rPr>
          <w:rFonts w:asciiTheme="minorHAnsi" w:hAnsiTheme="minorHAnsi" w:cs="Calibri"/>
          <w:color w:val="404040"/>
        </w:rPr>
        <w:t xml:space="preserve"> av nästäppa.</w:t>
      </w:r>
      <w:r>
        <w:rPr>
          <w:rFonts w:asciiTheme="minorHAnsi" w:hAnsiTheme="minorHAnsi" w:cs="Calibri"/>
          <w:color w:val="404040"/>
        </w:rPr>
        <w:br/>
      </w:r>
      <w:r w:rsidRPr="000C17EB">
        <w:rPr>
          <w:rFonts w:asciiTheme="minorHAnsi" w:hAnsiTheme="minorHAnsi" w:cs="Calibri"/>
          <w:color w:val="404040"/>
        </w:rPr>
        <w:br/>
      </w:r>
      <w:r w:rsidRPr="000C17EB">
        <w:rPr>
          <w:rFonts w:asciiTheme="minorHAnsi" w:hAnsiTheme="minorHAnsi" w:cs="Calibri"/>
          <w:color w:val="404040"/>
          <w:u w:val="single"/>
        </w:rPr>
        <w:t>Rinexin</w:t>
      </w:r>
      <w:r w:rsidRPr="000C17EB">
        <w:rPr>
          <w:rFonts w:asciiTheme="minorHAnsi" w:hAnsiTheme="minorHAnsi" w:cs="Calibri"/>
          <w:color w:val="404040"/>
        </w:rPr>
        <w:t xml:space="preserve"> </w:t>
      </w:r>
      <w:r w:rsidRPr="000C17EB">
        <w:rPr>
          <w:rFonts w:asciiTheme="minorHAnsi" w:hAnsiTheme="minorHAnsi" w:cs="Calibri"/>
          <w:color w:val="404040"/>
        </w:rPr>
        <w:br/>
        <w:t xml:space="preserve">Används frekvent, men har ingen dokumenterad effekt på sjukdomsförloppet på vare sig nästäppa, </w:t>
      </w:r>
      <w:r>
        <w:rPr>
          <w:rFonts w:asciiTheme="minorHAnsi" w:hAnsiTheme="minorHAnsi" w:cs="Calibri"/>
          <w:color w:val="404040"/>
        </w:rPr>
        <w:br/>
      </w:r>
      <w:r w:rsidRPr="000C17EB">
        <w:rPr>
          <w:rFonts w:asciiTheme="minorHAnsi" w:hAnsiTheme="minorHAnsi" w:cs="Calibri"/>
          <w:color w:val="404040"/>
        </w:rPr>
        <w:t>otit eller sinuit. Däremot orsakar det inte helt sällan adrenerga biverkningar.</w:t>
      </w:r>
      <w:r w:rsidRPr="000C17EB">
        <w:rPr>
          <w:rFonts w:asciiTheme="minorHAnsi" w:hAnsiTheme="minorHAnsi" w:cs="Calibri"/>
          <w:color w:val="404040"/>
        </w:rPr>
        <w:br/>
      </w:r>
      <w:r w:rsidRPr="000C17EB">
        <w:rPr>
          <w:rFonts w:asciiTheme="minorHAnsi" w:hAnsiTheme="minorHAnsi" w:cs="Calibri"/>
          <w:color w:val="404040"/>
        </w:rPr>
        <w:br/>
        <w:t xml:space="preserve">De rekommenderade nasala steroiderna används vid allergisk och vasomotorisk rinit samt polypos. </w:t>
      </w:r>
      <w:r>
        <w:rPr>
          <w:rFonts w:asciiTheme="minorHAnsi" w:hAnsiTheme="minorHAnsi" w:cs="Calibri"/>
          <w:color w:val="404040"/>
        </w:rPr>
        <w:br/>
      </w:r>
      <w:r w:rsidRPr="000C17EB">
        <w:rPr>
          <w:rFonts w:asciiTheme="minorHAnsi" w:hAnsiTheme="minorHAnsi" w:cs="Calibri"/>
          <w:color w:val="404040"/>
        </w:rPr>
        <w:t xml:space="preserve">Vid behandling av polypos krävs dubbel dos. </w:t>
      </w:r>
      <w:r w:rsidRPr="000C17EB">
        <w:rPr>
          <w:rFonts w:asciiTheme="minorHAnsi" w:hAnsiTheme="minorHAnsi" w:cs="Calibri"/>
          <w:color w:val="404040"/>
        </w:rPr>
        <w:br/>
        <w:t xml:space="preserve">Vid återkommande rinosinuiter kan nasala steroider också användas i förebyggande syfte mot utveckling av bakteriell sinuit och i symptomlindrande syfte. </w:t>
      </w:r>
    </w:p>
    <w:p w14:paraId="607B9BDD" w14:textId="77777777" w:rsidR="00EC79BD" w:rsidRPr="0074231F" w:rsidRDefault="00EC79BD" w:rsidP="00EC79BD">
      <w:pPr>
        <w:pStyle w:val="Rubrik2"/>
        <w:rPr>
          <w:sz w:val="24"/>
          <w:szCs w:val="24"/>
        </w:rPr>
      </w:pPr>
      <w:r w:rsidRPr="0074231F">
        <w:rPr>
          <w:sz w:val="24"/>
          <w:szCs w:val="24"/>
        </w:rPr>
        <w:t>Val av inhalator vid astma och kol</w:t>
      </w:r>
    </w:p>
    <w:p w14:paraId="01175DE8" w14:textId="77777777" w:rsidR="00EC79BD" w:rsidRPr="001F551E" w:rsidRDefault="00EC79BD" w:rsidP="00EC79BD">
      <w:pPr>
        <w:rPr>
          <w:rStyle w:val="Stark"/>
        </w:rPr>
      </w:pPr>
      <w:r w:rsidRPr="001F551E">
        <w:rPr>
          <w:rStyle w:val="Stark"/>
          <w:noProof/>
        </w:rPr>
        <mc:AlternateContent>
          <mc:Choice Requires="wps">
            <w:drawing>
              <wp:anchor distT="0" distB="0" distL="114300" distR="114300" simplePos="0" relativeHeight="251741184" behindDoc="1" locked="0" layoutInCell="1" allowOverlap="1" wp14:anchorId="6F883184" wp14:editId="56E085DE">
                <wp:simplePos x="0" y="0"/>
                <wp:positionH relativeFrom="margin">
                  <wp:posOffset>438150</wp:posOffset>
                </wp:positionH>
                <wp:positionV relativeFrom="paragraph">
                  <wp:posOffset>155575</wp:posOffset>
                </wp:positionV>
                <wp:extent cx="4326255" cy="1165860"/>
                <wp:effectExtent l="0" t="0" r="17145" b="15240"/>
                <wp:wrapNone/>
                <wp:docPr id="3" name="Rektangel: rundade hörn 3"/>
                <wp:cNvGraphicFramePr/>
                <a:graphic xmlns:a="http://schemas.openxmlformats.org/drawingml/2006/main">
                  <a:graphicData uri="http://schemas.microsoft.com/office/word/2010/wordprocessingShape">
                    <wps:wsp>
                      <wps:cNvSpPr/>
                      <wps:spPr>
                        <a:xfrm>
                          <a:off x="0" y="0"/>
                          <a:ext cx="4326255" cy="1165860"/>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358F22" id="Rektangel: rundade hörn 3" o:spid="_x0000_s1026" style="position:absolute;margin-left:34.5pt;margin-top:12.25pt;width:340.65pt;height:91.8pt;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" fillcolor="#86cdff" strokecolor="#0079a6" strokeweight="2pt">
                <v:fill color2="#dceeff" rotate="t" angle="45" colors="0 #86cdff;.5 #b7deff;1 #dceeff" focus="100%" type="gradient"/>
                <w10:wrap anchorx="margin"/>
              </v:roundrect>
            </w:pict>
          </mc:Fallback>
        </mc:AlternateContent>
      </w:r>
    </w:p>
    <w:p w14:paraId="787A40FB" w14:textId="77777777" w:rsidR="00EC79BD" w:rsidRPr="000C17EB" w:rsidRDefault="00EC79BD" w:rsidP="00EC79BD">
      <w:pPr>
        <w:pStyle w:val="Normal4"/>
        <w:spacing w:before="0" w:beforeAutospacing="0" w:after="240" w:afterAutospacing="0"/>
        <w:rPr>
          <w:rFonts w:asciiTheme="minorHAnsi" w:hAnsiTheme="minorHAnsi" w:cs="Calibri"/>
          <w:noProof/>
          <w:color w:val="404040"/>
          <w:u w:val="single"/>
        </w:rPr>
      </w:pPr>
      <w:r w:rsidRPr="000C17EB">
        <w:rPr>
          <w:rFonts w:asciiTheme="minorHAnsi" w:hAnsiTheme="minorHAnsi" w:cs="Calibri"/>
          <w:noProof/>
        </w:rPr>
        <mc:AlternateContent>
          <mc:Choice Requires="wps">
            <w:drawing>
              <wp:anchor distT="45720" distB="45720" distL="114300" distR="114300" simplePos="0" relativeHeight="251742208" behindDoc="1" locked="0" layoutInCell="1" allowOverlap="1" wp14:anchorId="7E7C8BA8" wp14:editId="0B06AF76">
                <wp:simplePos x="0" y="0"/>
                <wp:positionH relativeFrom="margin">
                  <wp:posOffset>368300</wp:posOffset>
                </wp:positionH>
                <wp:positionV relativeFrom="paragraph">
                  <wp:posOffset>12700</wp:posOffset>
                </wp:positionV>
                <wp:extent cx="4478655" cy="111379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8655" cy="1113790"/>
                        </a:xfrm>
                        <a:prstGeom prst="rect">
                          <a:avLst/>
                        </a:prstGeom>
                        <a:noFill/>
                        <a:ln w="9525">
                          <a:noFill/>
                          <a:miter lim="800000"/>
                          <a:headEnd/>
                          <a:tailEnd/>
                        </a:ln>
                      </wps:spPr>
                      <wps:txbx>
                        <w:txbxContent>
                          <w:p w14:paraId="4FBD92A6" w14:textId="77777777" w:rsidR="00EC79BD" w:rsidRPr="00294A02" w:rsidRDefault="00EC79BD" w:rsidP="00EC79BD">
                            <w:pPr>
                              <w:jc w:val="center"/>
                              <w:rPr>
                                <w:rFonts w:asciiTheme="minorHAnsi" w:hAnsiTheme="minorHAnsi" w:cs="Calibri"/>
                                <w:b/>
                                <w:bCs/>
                                <w:color w:val="002D5C" w:themeColor="accent2" w:themeShade="BF"/>
                                <w:szCs w:val="24"/>
                              </w:rPr>
                            </w:pPr>
                            <w:r w:rsidRPr="00294A02">
                              <w:rPr>
                                <w:rFonts w:asciiTheme="minorHAnsi" w:hAnsiTheme="minorHAnsi" w:cs="Calibri"/>
                                <w:b/>
                                <w:bCs/>
                                <w:color w:val="002D5C" w:themeColor="accent2" w:themeShade="BF"/>
                                <w:szCs w:val="24"/>
                              </w:rPr>
                              <w:t>Nuvarande rekommendationer kan komplicera valet av inhalator, särskilt vid kombinationsbehandling. Inhalatorer från olika märken kan behöva förskrivas till samma patient. En någorlunda enkel regel är att i så fall hålla det till antingen pulver, spray eller softmistinhalatorer.</w:t>
                            </w:r>
                          </w:p>
                          <w:p w14:paraId="36AFD886" w14:textId="77777777" w:rsidR="00EC79BD" w:rsidRDefault="00EC79BD" w:rsidP="00EC79BD">
                            <w:pPr>
                              <w:jc w:val="center"/>
                              <w:rPr>
                                <w:rFonts w:ascii="Calibri" w:hAnsi="Calibri" w:cs="Calibri"/>
                                <w:b/>
                                <w:bCs/>
                                <w:color w:val="002D5C" w:themeColor="accent2" w:themeShade="BF"/>
                                <w:szCs w:val="24"/>
                              </w:rPr>
                            </w:pPr>
                          </w:p>
                          <w:p w14:paraId="13126DF1" w14:textId="77777777" w:rsidR="00EC79BD" w:rsidRDefault="00EC79BD" w:rsidP="00EC79BD">
                            <w:pPr>
                              <w:jc w:val="center"/>
                              <w:rPr>
                                <w:rFonts w:ascii="Calibri" w:hAnsi="Calibri" w:cs="Calibri"/>
                                <w:b/>
                                <w:bCs/>
                                <w:color w:val="002D5C" w:themeColor="accent2" w:themeShade="BF"/>
                                <w:szCs w:val="24"/>
                              </w:rPr>
                            </w:pPr>
                          </w:p>
                          <w:p w14:paraId="4510612F" w14:textId="77777777" w:rsidR="00EC79BD" w:rsidRDefault="00EC79BD" w:rsidP="00EC79BD">
                            <w:pPr>
                              <w:jc w:val="center"/>
                              <w:rPr>
                                <w:rFonts w:ascii="Calibri" w:hAnsi="Calibri" w:cs="Calibri"/>
                                <w:b/>
                                <w:bCs/>
                                <w:color w:val="002D5C" w:themeColor="accent2" w:themeShade="BF"/>
                                <w:szCs w:val="24"/>
                              </w:rPr>
                            </w:pPr>
                          </w:p>
                          <w:p w14:paraId="206D2F7A" w14:textId="77777777" w:rsidR="00EC79BD" w:rsidRPr="00E7795C" w:rsidRDefault="00EC79BD" w:rsidP="00EC79BD">
                            <w:pPr>
                              <w:jc w:val="center"/>
                              <w:rPr>
                                <w:rFonts w:ascii="Calibri" w:hAnsi="Calibri" w:cs="Calibri"/>
                                <w:b/>
                                <w:bCs/>
                                <w:color w:val="002D5C" w:themeColor="accent2" w:themeShade="BF"/>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7C8BA8" id="_x0000_t202" coordsize="21600,21600" o:spt="202" path="m,l,21600r21600,l21600,xe">
                <v:stroke joinstyle="miter"/>
                <v:path gradientshapeok="t" o:connecttype="rect"/>
              </v:shapetype>
              <v:shape id="Textruta 2" o:spid="_x0000_s1027" type="#_x0000_t202" style="position:absolute;margin-left:29pt;margin-top:1pt;width:352.65pt;height:87.7pt;z-index:-251574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" filled="f" stroked="f">
                <v:textbox>
                  <w:txbxContent>
                    <w:p w14:paraId="4FBD92A6" w14:textId="77777777" w:rsidR="00EC79BD" w:rsidRPr="00294A02" w:rsidRDefault="00EC79BD" w:rsidP="00EC79BD">
                      <w:pPr>
                        <w:jc w:val="center"/>
                        <w:rPr>
                          <w:rFonts w:asciiTheme="minorHAnsi" w:hAnsiTheme="minorHAnsi" w:cs="Calibri"/>
                          <w:b/>
                          <w:bCs/>
                          <w:color w:val="002D5C" w:themeColor="accent2" w:themeShade="BF"/>
                          <w:szCs w:val="24"/>
                        </w:rPr>
                      </w:pPr>
                      <w:r w:rsidRPr="00294A02">
                        <w:rPr>
                          <w:rFonts w:asciiTheme="minorHAnsi" w:hAnsiTheme="minorHAnsi" w:cs="Calibri"/>
                          <w:b/>
                          <w:bCs/>
                          <w:color w:val="002D5C" w:themeColor="accent2" w:themeShade="BF"/>
                          <w:szCs w:val="24"/>
                        </w:rPr>
                        <w:t>Nuvarande rekommendationer kan komplicera valet av inhalator, särskilt vid kombinationsbehandling. Inhalatorer från olika märken kan behöva förskrivas till samma patient. En någorlunda enkel regel är att i så fall hålla det till antingen pulver, spray eller softmistinhalatorer.</w:t>
                      </w:r>
                    </w:p>
                    <w:p w14:paraId="36AFD886" w14:textId="77777777" w:rsidR="00EC79BD" w:rsidRDefault="00EC79BD" w:rsidP="00EC79BD">
                      <w:pPr>
                        <w:jc w:val="center"/>
                        <w:rPr>
                          <w:rFonts w:ascii="Calibri" w:hAnsi="Calibri" w:cs="Calibri"/>
                          <w:b/>
                          <w:bCs/>
                          <w:color w:val="002D5C" w:themeColor="accent2" w:themeShade="BF"/>
                          <w:szCs w:val="24"/>
                        </w:rPr>
                      </w:pPr>
                    </w:p>
                    <w:p w14:paraId="13126DF1" w14:textId="77777777" w:rsidR="00EC79BD" w:rsidRDefault="00EC79BD" w:rsidP="00EC79BD">
                      <w:pPr>
                        <w:jc w:val="center"/>
                        <w:rPr>
                          <w:rFonts w:ascii="Calibri" w:hAnsi="Calibri" w:cs="Calibri"/>
                          <w:b/>
                          <w:bCs/>
                          <w:color w:val="002D5C" w:themeColor="accent2" w:themeShade="BF"/>
                          <w:szCs w:val="24"/>
                        </w:rPr>
                      </w:pPr>
                    </w:p>
                    <w:p w14:paraId="4510612F" w14:textId="77777777" w:rsidR="00EC79BD" w:rsidRDefault="00EC79BD" w:rsidP="00EC79BD">
                      <w:pPr>
                        <w:jc w:val="center"/>
                        <w:rPr>
                          <w:rFonts w:ascii="Calibri" w:hAnsi="Calibri" w:cs="Calibri"/>
                          <w:b/>
                          <w:bCs/>
                          <w:color w:val="002D5C" w:themeColor="accent2" w:themeShade="BF"/>
                          <w:szCs w:val="24"/>
                        </w:rPr>
                      </w:pPr>
                    </w:p>
                    <w:p w14:paraId="206D2F7A" w14:textId="77777777" w:rsidR="00EC79BD" w:rsidRPr="00E7795C" w:rsidRDefault="00EC79BD" w:rsidP="00EC79BD">
                      <w:pPr>
                        <w:jc w:val="center"/>
                        <w:rPr>
                          <w:rFonts w:ascii="Calibri" w:hAnsi="Calibri" w:cs="Calibri"/>
                          <w:b/>
                          <w:bCs/>
                          <w:color w:val="002D5C" w:themeColor="accent2" w:themeShade="BF"/>
                          <w:szCs w:val="24"/>
                        </w:rPr>
                      </w:pPr>
                    </w:p>
                  </w:txbxContent>
                </v:textbox>
                <w10:wrap anchorx="margin"/>
              </v:shape>
            </w:pict>
          </mc:Fallback>
        </mc:AlternateContent>
      </w:r>
    </w:p>
    <w:p w14:paraId="051BC3C4" w14:textId="77777777" w:rsidR="00EC79BD" w:rsidRPr="000C17EB" w:rsidRDefault="00EC79BD" w:rsidP="00EC79BD">
      <w:pPr>
        <w:pStyle w:val="Normal4"/>
        <w:spacing w:before="0" w:beforeAutospacing="0" w:after="0" w:afterAutospacing="0"/>
        <w:ind w:left="720"/>
        <w:rPr>
          <w:rFonts w:asciiTheme="minorHAnsi" w:hAnsiTheme="minorHAnsi" w:cs="Calibri"/>
          <w:i/>
          <w:iCs/>
          <w:color w:val="404040"/>
        </w:rPr>
      </w:pPr>
    </w:p>
    <w:p w14:paraId="1531E87C" w14:textId="77777777" w:rsidR="00EC79BD" w:rsidRPr="000C17EB" w:rsidRDefault="00EC79BD" w:rsidP="00EC79BD">
      <w:pPr>
        <w:pStyle w:val="Normal4"/>
        <w:spacing w:before="0" w:beforeAutospacing="0" w:after="0" w:afterAutospacing="0"/>
        <w:ind w:left="720"/>
        <w:rPr>
          <w:rFonts w:asciiTheme="minorHAnsi" w:hAnsiTheme="minorHAnsi" w:cs="Calibri"/>
          <w:i/>
          <w:iCs/>
          <w:color w:val="404040"/>
        </w:rPr>
      </w:pPr>
    </w:p>
    <w:p w14:paraId="36B08BF4" w14:textId="77777777" w:rsidR="00EC79BD" w:rsidRPr="000C17EB" w:rsidRDefault="00EC79BD" w:rsidP="00EC79BD">
      <w:pPr>
        <w:pStyle w:val="Normal4"/>
        <w:spacing w:before="0" w:beforeAutospacing="0" w:after="0" w:afterAutospacing="0"/>
        <w:ind w:left="720"/>
        <w:rPr>
          <w:rFonts w:asciiTheme="minorHAnsi" w:hAnsiTheme="minorHAnsi" w:cs="Calibri"/>
          <w:i/>
          <w:iCs/>
          <w:color w:val="404040"/>
        </w:rPr>
      </w:pPr>
    </w:p>
    <w:p w14:paraId="2DF5DE3E" w14:textId="77777777" w:rsidR="00EC79BD" w:rsidRPr="000C17EB" w:rsidRDefault="00EC79BD" w:rsidP="00EC79BD">
      <w:pPr>
        <w:pStyle w:val="Normal4"/>
        <w:spacing w:before="0" w:beforeAutospacing="0" w:after="0" w:afterAutospacing="0"/>
        <w:rPr>
          <w:rFonts w:asciiTheme="minorHAnsi" w:hAnsiTheme="minorHAnsi" w:cs="Calibri"/>
          <w:i/>
          <w:iCs/>
          <w:color w:val="404040"/>
        </w:rPr>
      </w:pPr>
    </w:p>
    <w:p w14:paraId="4C5BB8C1" w14:textId="77777777" w:rsidR="00EC79BD" w:rsidRDefault="00EC79BD" w:rsidP="00EC79BD">
      <w:bookmarkStart w:id="5" w:name="_Individuell_användarvänlighet"/>
      <w:bookmarkEnd w:id="5"/>
    </w:p>
    <w:p w14:paraId="75CBA1D8" w14:textId="77777777" w:rsidR="00EC79BD" w:rsidRPr="0074231F" w:rsidRDefault="00EC79BD" w:rsidP="00EC79BD">
      <w:pPr>
        <w:pStyle w:val="Rubrik2"/>
        <w:rPr>
          <w:sz w:val="24"/>
          <w:szCs w:val="24"/>
        </w:rPr>
      </w:pPr>
      <w:r w:rsidRPr="0074231F">
        <w:rPr>
          <w:sz w:val="24"/>
          <w:szCs w:val="24"/>
        </w:rPr>
        <w:t>Individuell användarvänlighet</w:t>
      </w:r>
    </w:p>
    <w:p w14:paraId="200CE497" w14:textId="77777777" w:rsidR="00EC79BD" w:rsidRPr="000C17EB" w:rsidRDefault="00EC79BD" w:rsidP="00EC79BD">
      <w:pPr>
        <w:pStyle w:val="Normal4"/>
        <w:numPr>
          <w:ilvl w:val="1"/>
          <w:numId w:val="68"/>
        </w:numPr>
        <w:spacing w:before="0" w:beforeAutospacing="0" w:after="0" w:afterAutospacing="0" w:line="276" w:lineRule="auto"/>
        <w:rPr>
          <w:rStyle w:val="Stark"/>
          <w:rFonts w:asciiTheme="minorHAnsi" w:eastAsiaTheme="minorEastAsia" w:hAnsiTheme="minorHAnsi" w:cs="Calibri"/>
          <w:b w:val="0"/>
          <w:color w:val="404040"/>
        </w:rPr>
      </w:pPr>
      <w:r w:rsidRPr="000C17EB">
        <w:rPr>
          <w:rFonts w:asciiTheme="minorHAnsi" w:hAnsiTheme="minorHAnsi" w:cs="Calibri"/>
          <w:color w:val="404040"/>
        </w:rPr>
        <w:t xml:space="preserve">Mycket viktigt att patienten har en inhalator som vederbörande kan hantera och </w:t>
      </w:r>
      <w:r>
        <w:rPr>
          <w:rFonts w:asciiTheme="minorHAnsi" w:hAnsiTheme="minorHAnsi" w:cs="Calibri"/>
          <w:color w:val="404040"/>
        </w:rPr>
        <w:br/>
      </w:r>
      <w:r w:rsidRPr="000C17EB">
        <w:rPr>
          <w:rFonts w:asciiTheme="minorHAnsi" w:hAnsiTheme="minorHAnsi" w:cs="Calibri"/>
          <w:color w:val="404040"/>
        </w:rPr>
        <w:t xml:space="preserve">att hen vid återbesök får visa upp </w:t>
      </w:r>
      <w:r w:rsidRPr="000C17EB">
        <w:rPr>
          <w:rStyle w:val="Stark"/>
          <w:rFonts w:asciiTheme="minorHAnsi" w:eastAsiaTheme="minorEastAsia" w:hAnsiTheme="minorHAnsi" w:cs="Calibri"/>
          <w:color w:val="404040"/>
        </w:rPr>
        <w:t>inhalationsteknik</w:t>
      </w:r>
    </w:p>
    <w:p w14:paraId="29AA37EB" w14:textId="77777777" w:rsidR="00EC79BD" w:rsidRPr="009E354B" w:rsidRDefault="00EC79BD" w:rsidP="00EC79BD">
      <w:pPr>
        <w:pStyle w:val="Normal4"/>
        <w:numPr>
          <w:ilvl w:val="1"/>
          <w:numId w:val="68"/>
        </w:numPr>
        <w:spacing w:before="0" w:beforeAutospacing="0" w:after="0" w:afterAutospacing="0" w:line="276" w:lineRule="auto"/>
        <w:rPr>
          <w:rStyle w:val="Hyperlnk"/>
          <w:rFonts w:asciiTheme="minorHAnsi" w:eastAsiaTheme="minorEastAsia" w:hAnsiTheme="minorHAnsi" w:cs="Calibri"/>
          <w:color w:val="404040"/>
          <w:u w:val="none"/>
        </w:rPr>
      </w:pPr>
      <w:r w:rsidRPr="000C17EB">
        <w:rPr>
          <w:rStyle w:val="Stark"/>
          <w:rFonts w:asciiTheme="minorHAnsi" w:eastAsiaTheme="minorEastAsia" w:hAnsiTheme="minorHAnsi" w:cs="Calibri"/>
          <w:color w:val="404040"/>
        </w:rPr>
        <w:t>Byt typ av inhalator eller till andningsbehållare vid tveksamhet</w:t>
      </w:r>
    </w:p>
    <w:p w14:paraId="022FFBA8" w14:textId="77777777" w:rsidR="00EC79BD" w:rsidRPr="009E354B" w:rsidRDefault="00EC79BD" w:rsidP="00EC79BD">
      <w:pPr>
        <w:pStyle w:val="Rubrik2"/>
        <w:rPr>
          <w:sz w:val="24"/>
          <w:szCs w:val="24"/>
        </w:rPr>
      </w:pPr>
      <w:r w:rsidRPr="009E354B">
        <w:rPr>
          <w:sz w:val="24"/>
          <w:szCs w:val="24"/>
        </w:rPr>
        <w:t>Inhalationstyper</w:t>
      </w:r>
    </w:p>
    <w:p w14:paraId="05D601E0" w14:textId="77777777" w:rsidR="00EC79BD" w:rsidRPr="003B75B6" w:rsidRDefault="00EC79BD" w:rsidP="00EC79BD">
      <w:pPr>
        <w:pStyle w:val="Normal4"/>
        <w:spacing w:before="0" w:beforeAutospacing="0" w:after="0" w:afterAutospacing="0" w:line="276" w:lineRule="auto"/>
        <w:rPr>
          <w:rStyle w:val="Stark"/>
          <w:rFonts w:asciiTheme="minorHAnsi" w:eastAsiaTheme="minorEastAsia" w:hAnsiTheme="minorHAnsi"/>
          <w:b w:val="0"/>
          <w:bCs/>
        </w:rPr>
      </w:pPr>
      <w:r w:rsidRPr="003B75B6">
        <w:rPr>
          <w:rStyle w:val="Stark"/>
          <w:rFonts w:asciiTheme="minorHAnsi" w:eastAsiaTheme="minorEastAsia" w:hAnsiTheme="minorHAnsi"/>
          <w:b w:val="0"/>
          <w:bCs/>
        </w:rPr>
        <w:t xml:space="preserve">Anledningen till att man bör hålla sig till en inhalatortyp är på grund av att hanteringen skiljer sig markant åt, vilket försvårar möjligheten för patienten att tillgodose sig sin behandling. </w:t>
      </w:r>
      <w:r w:rsidRPr="003B75B6">
        <w:rPr>
          <w:rStyle w:val="Stark"/>
          <w:rFonts w:asciiTheme="minorHAnsi" w:eastAsiaTheme="minorEastAsia" w:hAnsiTheme="minorHAnsi"/>
          <w:b w:val="0"/>
          <w:bCs/>
        </w:rPr>
        <w:br/>
        <w:t xml:space="preserve">Se tabellen nedan för exempel på skillnader i hantering. </w:t>
      </w:r>
    </w:p>
    <w:p w14:paraId="7E12976F" w14:textId="77777777" w:rsidR="00EC79BD" w:rsidRPr="00C254A7" w:rsidRDefault="00EC79BD" w:rsidP="00EC79BD">
      <w:pPr>
        <w:pStyle w:val="Normal4"/>
        <w:spacing w:before="0" w:beforeAutospacing="0" w:after="0" w:afterAutospacing="0" w:line="276" w:lineRule="auto"/>
        <w:ind w:left="1440"/>
        <w:rPr>
          <w:rStyle w:val="Stark"/>
          <w:rFonts w:asciiTheme="minorHAnsi" w:eastAsiaTheme="minorEastAsia" w:hAnsiTheme="minorHAnsi" w:cs="Calibri"/>
          <w:bCs/>
          <w:color w:val="404040"/>
        </w:rPr>
      </w:pPr>
    </w:p>
    <w:tbl>
      <w:tblPr>
        <w:tblStyle w:val="Listtabell7frgstarkdekorfrg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26"/>
        <w:gridCol w:w="1585"/>
        <w:gridCol w:w="3797"/>
      </w:tblGrid>
      <w:tr w:rsidR="00EC79BD" w:rsidRPr="000C17EB" w14:paraId="7787BD84" w14:textId="77777777" w:rsidTr="00632FC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10" w:type="dxa"/>
            <w:tcBorders>
              <w:bottom w:val="none" w:sz="0" w:space="0" w:color="auto"/>
              <w:right w:val="none" w:sz="0" w:space="0" w:color="auto"/>
            </w:tcBorders>
          </w:tcPr>
          <w:p w14:paraId="2A4882D7" w14:textId="77777777" w:rsidR="00EC79BD" w:rsidRPr="000C17EB" w:rsidRDefault="00EC79BD" w:rsidP="00632FCC">
            <w:pPr>
              <w:pStyle w:val="Normal4"/>
              <w:spacing w:before="0" w:beforeAutospacing="0" w:after="0" w:afterAutospacing="0" w:line="276" w:lineRule="auto"/>
              <w:rPr>
                <w:rStyle w:val="Stark"/>
                <w:rFonts w:asciiTheme="minorHAnsi" w:eastAsiaTheme="minorEastAsia" w:hAnsiTheme="minorHAnsi"/>
                <w:bCs/>
                <w:color w:val="auto"/>
              </w:rPr>
            </w:pPr>
          </w:p>
        </w:tc>
        <w:tc>
          <w:tcPr>
            <w:tcW w:w="2126" w:type="dxa"/>
            <w:tcBorders>
              <w:bottom w:val="none" w:sz="0" w:space="0" w:color="auto"/>
            </w:tcBorders>
          </w:tcPr>
          <w:p w14:paraId="3AD030AC" w14:textId="77777777" w:rsidR="00EC79BD" w:rsidRPr="00CB5DA8" w:rsidRDefault="00EC79BD" w:rsidP="00632FCC">
            <w:pPr>
              <w:pStyle w:val="Normal4"/>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b w:val="0"/>
                <w:i w:val="0"/>
                <w:iCs w:val="0"/>
                <w:color w:val="003D7C" w:themeColor="text2"/>
              </w:rPr>
            </w:pPr>
            <w:r w:rsidRPr="00CB5DA8">
              <w:rPr>
                <w:rStyle w:val="Stark"/>
                <w:rFonts w:asciiTheme="minorHAnsi" w:eastAsiaTheme="minorEastAsia" w:hAnsiTheme="minorHAnsi"/>
                <w:b w:val="0"/>
                <w:i w:val="0"/>
                <w:color w:val="003D7C" w:themeColor="text2"/>
              </w:rPr>
              <w:t>Pulver</w:t>
            </w:r>
          </w:p>
        </w:tc>
        <w:tc>
          <w:tcPr>
            <w:tcW w:w="1585" w:type="dxa"/>
            <w:tcBorders>
              <w:bottom w:val="none" w:sz="0" w:space="0" w:color="auto"/>
            </w:tcBorders>
          </w:tcPr>
          <w:p w14:paraId="5FE803A9" w14:textId="77777777" w:rsidR="00EC79BD" w:rsidRPr="00CB5DA8" w:rsidRDefault="00EC79BD" w:rsidP="00632FCC">
            <w:pPr>
              <w:pStyle w:val="Normal4"/>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b w:val="0"/>
                <w:i w:val="0"/>
                <w:iCs w:val="0"/>
                <w:color w:val="003D7C" w:themeColor="text2"/>
              </w:rPr>
            </w:pPr>
            <w:r w:rsidRPr="00CB5DA8">
              <w:rPr>
                <w:rStyle w:val="Stark"/>
                <w:rFonts w:asciiTheme="minorHAnsi" w:eastAsiaTheme="minorEastAsia" w:hAnsiTheme="minorHAnsi"/>
                <w:b w:val="0"/>
                <w:i w:val="0"/>
                <w:color w:val="003D7C" w:themeColor="text2"/>
              </w:rPr>
              <w:t xml:space="preserve">Spray </w:t>
            </w:r>
          </w:p>
        </w:tc>
        <w:tc>
          <w:tcPr>
            <w:tcW w:w="3797" w:type="dxa"/>
            <w:tcBorders>
              <w:bottom w:val="none" w:sz="0" w:space="0" w:color="auto"/>
            </w:tcBorders>
          </w:tcPr>
          <w:p w14:paraId="62E147AE" w14:textId="77777777" w:rsidR="00EC79BD" w:rsidRPr="00CB5DA8" w:rsidRDefault="00EC79BD" w:rsidP="00632FCC">
            <w:pPr>
              <w:pStyle w:val="Normal4"/>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b w:val="0"/>
                <w:i w:val="0"/>
                <w:iCs w:val="0"/>
                <w:color w:val="003D7C" w:themeColor="text2"/>
              </w:rPr>
            </w:pPr>
            <w:r w:rsidRPr="00CB5DA8">
              <w:rPr>
                <w:rStyle w:val="Stark"/>
                <w:rFonts w:asciiTheme="minorHAnsi" w:eastAsiaTheme="minorEastAsia" w:hAnsiTheme="minorHAnsi"/>
                <w:b w:val="0"/>
                <w:i w:val="0"/>
                <w:color w:val="003D7C" w:themeColor="text2"/>
              </w:rPr>
              <w:t xml:space="preserve">Softmist </w:t>
            </w:r>
          </w:p>
        </w:tc>
      </w:tr>
      <w:tr w:rsidR="00EC79BD" w:rsidRPr="000C17EB" w14:paraId="3F76497D"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right w:val="none" w:sz="0" w:space="0" w:color="auto"/>
            </w:tcBorders>
          </w:tcPr>
          <w:p w14:paraId="2D7E72F5" w14:textId="77777777" w:rsidR="00EC79BD" w:rsidRPr="00C254A7" w:rsidRDefault="00EC79BD" w:rsidP="00632FCC">
            <w:pPr>
              <w:pStyle w:val="Normal4"/>
              <w:spacing w:before="0" w:beforeAutospacing="0" w:after="0" w:afterAutospacing="0" w:line="276" w:lineRule="auto"/>
              <w:rPr>
                <w:rStyle w:val="Stark"/>
                <w:rFonts w:asciiTheme="minorHAnsi" w:eastAsiaTheme="minorEastAsia" w:hAnsiTheme="minorHAnsi"/>
                <w:b w:val="0"/>
                <w:color w:val="003D7C" w:themeColor="text2"/>
              </w:rPr>
            </w:pPr>
            <w:r w:rsidRPr="00C254A7">
              <w:rPr>
                <w:rStyle w:val="Stark"/>
                <w:rFonts w:asciiTheme="minorHAnsi" w:eastAsiaTheme="minorEastAsia" w:hAnsiTheme="minorHAnsi"/>
                <w:b w:val="0"/>
                <w:color w:val="003D7C" w:themeColor="text2"/>
              </w:rPr>
              <w:t xml:space="preserve">Dosaktivering </w:t>
            </w:r>
          </w:p>
        </w:tc>
        <w:tc>
          <w:tcPr>
            <w:tcW w:w="2126" w:type="dxa"/>
          </w:tcPr>
          <w:p w14:paraId="670CDA2C" w14:textId="77777777" w:rsidR="00EC79BD" w:rsidRPr="004C47D1" w:rsidRDefault="00EC79BD" w:rsidP="00632FCC">
            <w:pPr>
              <w:pStyle w:val="Normal4"/>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Andningsdriven </w:t>
            </w:r>
          </w:p>
        </w:tc>
        <w:tc>
          <w:tcPr>
            <w:tcW w:w="1585" w:type="dxa"/>
          </w:tcPr>
          <w:p w14:paraId="731ABA86" w14:textId="77777777" w:rsidR="00EC79BD" w:rsidRPr="004C47D1" w:rsidRDefault="00EC79BD" w:rsidP="00632FCC">
            <w:pPr>
              <w:pStyle w:val="Normal4"/>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Tryck på inhalatorn</w:t>
            </w:r>
          </w:p>
        </w:tc>
        <w:tc>
          <w:tcPr>
            <w:tcW w:w="3797" w:type="dxa"/>
          </w:tcPr>
          <w:p w14:paraId="6372A023" w14:textId="77777777" w:rsidR="00EC79BD" w:rsidRPr="004C47D1" w:rsidRDefault="00EC79BD" w:rsidP="00632FCC">
            <w:pPr>
              <w:pStyle w:val="Normal4"/>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Tryck på inhalatorn</w:t>
            </w:r>
          </w:p>
        </w:tc>
      </w:tr>
      <w:tr w:rsidR="00EC79BD" w:rsidRPr="000C17EB" w14:paraId="1E699106" w14:textId="77777777" w:rsidTr="00632FCC">
        <w:tc>
          <w:tcPr>
            <w:cnfStyle w:val="001000000000" w:firstRow="0" w:lastRow="0" w:firstColumn="1" w:lastColumn="0" w:oddVBand="0" w:evenVBand="0" w:oddHBand="0" w:evenHBand="0" w:firstRowFirstColumn="0" w:firstRowLastColumn="0" w:lastRowFirstColumn="0" w:lastRowLastColumn="0"/>
            <w:tcW w:w="2410" w:type="dxa"/>
            <w:tcBorders>
              <w:right w:val="none" w:sz="0" w:space="0" w:color="auto"/>
            </w:tcBorders>
          </w:tcPr>
          <w:p w14:paraId="37EE1408" w14:textId="77777777" w:rsidR="00EC79BD" w:rsidRPr="00C254A7" w:rsidRDefault="00EC79BD" w:rsidP="00632FCC">
            <w:pPr>
              <w:pStyle w:val="Normal4"/>
              <w:spacing w:before="0" w:beforeAutospacing="0" w:after="0" w:afterAutospacing="0" w:line="276" w:lineRule="auto"/>
              <w:rPr>
                <w:rStyle w:val="Stark"/>
                <w:rFonts w:asciiTheme="minorHAnsi" w:eastAsiaTheme="minorEastAsia" w:hAnsiTheme="minorHAnsi"/>
                <w:b w:val="0"/>
                <w:i w:val="0"/>
                <w:iCs w:val="0"/>
                <w:color w:val="003D7C" w:themeColor="text2"/>
              </w:rPr>
            </w:pPr>
            <w:r w:rsidRPr="00C254A7">
              <w:rPr>
                <w:rStyle w:val="Stark"/>
                <w:rFonts w:asciiTheme="minorHAnsi" w:eastAsiaTheme="minorEastAsia" w:hAnsiTheme="minorHAnsi"/>
                <w:b w:val="0"/>
                <w:color w:val="003D7C" w:themeColor="text2"/>
              </w:rPr>
              <w:t>Koordinationsförmåga</w:t>
            </w:r>
          </w:p>
          <w:p w14:paraId="438345A8" w14:textId="77777777" w:rsidR="00EC79BD" w:rsidRPr="004C47D1" w:rsidRDefault="00EC79BD" w:rsidP="00632FCC">
            <w:pPr>
              <w:pStyle w:val="Normal4"/>
              <w:spacing w:before="0" w:beforeAutospacing="0" w:after="0" w:afterAutospacing="0" w:line="276" w:lineRule="auto"/>
              <w:jc w:val="left"/>
              <w:rPr>
                <w:rStyle w:val="Stark"/>
                <w:rFonts w:asciiTheme="minorHAnsi" w:eastAsiaTheme="minorEastAsia" w:hAnsiTheme="minorHAnsi"/>
                <w:bCs/>
                <w:color w:val="003D7C" w:themeColor="text2"/>
              </w:rPr>
            </w:pPr>
          </w:p>
        </w:tc>
        <w:tc>
          <w:tcPr>
            <w:tcW w:w="2126" w:type="dxa"/>
          </w:tcPr>
          <w:p w14:paraId="1E141434" w14:textId="77777777" w:rsidR="00EC79BD" w:rsidRPr="004C47D1" w:rsidRDefault="00EC79BD" w:rsidP="00632FCC">
            <w:pPr>
              <w:pStyle w:val="Normal4"/>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Ej viktigt </w:t>
            </w:r>
          </w:p>
        </w:tc>
        <w:tc>
          <w:tcPr>
            <w:tcW w:w="1585" w:type="dxa"/>
          </w:tcPr>
          <w:p w14:paraId="0357BE06" w14:textId="77777777" w:rsidR="00EC79BD" w:rsidRPr="004C47D1" w:rsidRDefault="00EC79BD" w:rsidP="00632FCC">
            <w:pPr>
              <w:pStyle w:val="Normal4"/>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Viktigt </w:t>
            </w:r>
          </w:p>
        </w:tc>
        <w:tc>
          <w:tcPr>
            <w:tcW w:w="3797" w:type="dxa"/>
          </w:tcPr>
          <w:p w14:paraId="5821A952" w14:textId="77777777" w:rsidR="00EC79BD" w:rsidRPr="004C47D1" w:rsidRDefault="00EC79BD" w:rsidP="00632FCC">
            <w:pPr>
              <w:pStyle w:val="Normal4"/>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Mindre viktigt </w:t>
            </w:r>
          </w:p>
        </w:tc>
      </w:tr>
      <w:tr w:rsidR="00EC79BD" w:rsidRPr="000C17EB" w14:paraId="4864230A"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right w:val="none" w:sz="0" w:space="0" w:color="auto"/>
            </w:tcBorders>
          </w:tcPr>
          <w:p w14:paraId="52ED4BAD" w14:textId="77777777" w:rsidR="00EC79BD" w:rsidRPr="00C254A7" w:rsidRDefault="00EC79BD" w:rsidP="00632FCC">
            <w:pPr>
              <w:pStyle w:val="Normal4"/>
              <w:spacing w:before="0" w:beforeAutospacing="0" w:after="0" w:afterAutospacing="0" w:line="276" w:lineRule="auto"/>
              <w:rPr>
                <w:rStyle w:val="Stark"/>
                <w:rFonts w:asciiTheme="minorHAnsi" w:eastAsiaTheme="minorEastAsia" w:hAnsiTheme="minorHAnsi"/>
                <w:b w:val="0"/>
                <w:i w:val="0"/>
                <w:iCs w:val="0"/>
                <w:color w:val="003D7C" w:themeColor="text2"/>
              </w:rPr>
            </w:pPr>
            <w:r w:rsidRPr="00C254A7">
              <w:rPr>
                <w:rStyle w:val="Stark"/>
                <w:rFonts w:asciiTheme="minorHAnsi" w:eastAsiaTheme="minorEastAsia" w:hAnsiTheme="minorHAnsi"/>
                <w:b w:val="0"/>
                <w:color w:val="003D7C" w:themeColor="text2"/>
              </w:rPr>
              <w:t>Optimal</w:t>
            </w:r>
          </w:p>
          <w:p w14:paraId="747D0409" w14:textId="77777777" w:rsidR="00EC79BD" w:rsidRPr="00C254A7" w:rsidRDefault="00EC79BD" w:rsidP="00632FCC">
            <w:pPr>
              <w:pStyle w:val="Normal4"/>
              <w:spacing w:before="0" w:beforeAutospacing="0" w:after="0" w:afterAutospacing="0" w:line="276" w:lineRule="auto"/>
              <w:rPr>
                <w:rStyle w:val="Stark"/>
                <w:rFonts w:asciiTheme="minorHAnsi" w:eastAsiaTheme="minorEastAsia" w:hAnsiTheme="minorHAnsi"/>
                <w:b w:val="0"/>
                <w:i w:val="0"/>
                <w:iCs w:val="0"/>
                <w:color w:val="003D7C" w:themeColor="text2"/>
              </w:rPr>
            </w:pPr>
            <w:r w:rsidRPr="00C254A7">
              <w:rPr>
                <w:rStyle w:val="Stark"/>
                <w:rFonts w:asciiTheme="minorHAnsi" w:eastAsiaTheme="minorEastAsia" w:hAnsiTheme="minorHAnsi"/>
                <w:b w:val="0"/>
                <w:color w:val="003D7C" w:themeColor="text2"/>
              </w:rPr>
              <w:t xml:space="preserve"> Inhalationsteknik</w:t>
            </w:r>
          </w:p>
          <w:p w14:paraId="7B10C574" w14:textId="77777777" w:rsidR="00EC79BD" w:rsidRPr="004C47D1" w:rsidRDefault="00EC79BD" w:rsidP="00632FCC">
            <w:pPr>
              <w:pStyle w:val="Normal4"/>
              <w:spacing w:before="0" w:beforeAutospacing="0" w:after="0" w:afterAutospacing="0" w:line="276" w:lineRule="auto"/>
              <w:rPr>
                <w:rStyle w:val="Stark"/>
                <w:rFonts w:asciiTheme="minorHAnsi" w:eastAsiaTheme="minorEastAsia" w:hAnsiTheme="minorHAnsi"/>
                <w:bCs/>
                <w:i w:val="0"/>
                <w:iCs w:val="0"/>
                <w:color w:val="003D7C" w:themeColor="text2"/>
              </w:rPr>
            </w:pPr>
          </w:p>
        </w:tc>
        <w:tc>
          <w:tcPr>
            <w:tcW w:w="2126" w:type="dxa"/>
          </w:tcPr>
          <w:p w14:paraId="4D73DA77" w14:textId="77777777" w:rsidR="00EC79BD" w:rsidRPr="004C47D1" w:rsidRDefault="00EC79BD" w:rsidP="00632FCC">
            <w:pPr>
              <w:pStyle w:val="Normal4"/>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Kraftfull inhalation</w:t>
            </w:r>
          </w:p>
        </w:tc>
        <w:tc>
          <w:tcPr>
            <w:tcW w:w="1585" w:type="dxa"/>
          </w:tcPr>
          <w:p w14:paraId="7090F3A6" w14:textId="77777777" w:rsidR="00EC79BD" w:rsidRPr="004C47D1" w:rsidRDefault="00EC79BD" w:rsidP="00632FCC">
            <w:pPr>
              <w:pStyle w:val="Normal4"/>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Långsam inhalation </w:t>
            </w:r>
          </w:p>
        </w:tc>
        <w:tc>
          <w:tcPr>
            <w:tcW w:w="3797" w:type="dxa"/>
          </w:tcPr>
          <w:p w14:paraId="03E02124" w14:textId="77777777" w:rsidR="00EC79BD" w:rsidRPr="004C47D1" w:rsidRDefault="00EC79BD" w:rsidP="00632FCC">
            <w:pPr>
              <w:pStyle w:val="Normal4"/>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Inte kritiskt </w:t>
            </w:r>
          </w:p>
        </w:tc>
      </w:tr>
      <w:tr w:rsidR="00EC79BD" w:rsidRPr="000C17EB" w14:paraId="7E433C9F" w14:textId="77777777" w:rsidTr="00632FCC">
        <w:tc>
          <w:tcPr>
            <w:cnfStyle w:val="001000000000" w:firstRow="0" w:lastRow="0" w:firstColumn="1" w:lastColumn="0" w:oddVBand="0" w:evenVBand="0" w:oddHBand="0" w:evenHBand="0" w:firstRowFirstColumn="0" w:firstRowLastColumn="0" w:lastRowFirstColumn="0" w:lastRowLastColumn="0"/>
            <w:tcW w:w="2410" w:type="dxa"/>
            <w:tcBorders>
              <w:right w:val="none" w:sz="0" w:space="0" w:color="auto"/>
            </w:tcBorders>
          </w:tcPr>
          <w:p w14:paraId="44A122FB" w14:textId="77777777" w:rsidR="00EC79BD" w:rsidRPr="00C254A7" w:rsidRDefault="00EC79BD" w:rsidP="00632FCC">
            <w:pPr>
              <w:pStyle w:val="Normal4"/>
              <w:spacing w:before="0" w:beforeAutospacing="0" w:after="0" w:afterAutospacing="0" w:line="276" w:lineRule="auto"/>
              <w:rPr>
                <w:rStyle w:val="Stark"/>
                <w:rFonts w:asciiTheme="minorHAnsi" w:eastAsiaTheme="minorEastAsia" w:hAnsiTheme="minorHAnsi"/>
                <w:b w:val="0"/>
                <w:color w:val="003D7C" w:themeColor="text2"/>
              </w:rPr>
            </w:pPr>
            <w:r w:rsidRPr="00C254A7">
              <w:rPr>
                <w:rStyle w:val="Stark"/>
                <w:rFonts w:asciiTheme="minorHAnsi" w:eastAsiaTheme="minorEastAsia" w:hAnsiTheme="minorHAnsi"/>
                <w:b w:val="0"/>
                <w:color w:val="003D7C" w:themeColor="text2"/>
              </w:rPr>
              <w:t xml:space="preserve">Inhalationsflöde </w:t>
            </w:r>
          </w:p>
        </w:tc>
        <w:tc>
          <w:tcPr>
            <w:tcW w:w="2126" w:type="dxa"/>
          </w:tcPr>
          <w:p w14:paraId="74C7C3AF" w14:textId="77777777" w:rsidR="00EC79BD" w:rsidRPr="004C47D1" w:rsidRDefault="00EC79BD" w:rsidP="00632FCC">
            <w:pPr>
              <w:pStyle w:val="Normal4"/>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Måste vara &gt; 30 L/minut</w:t>
            </w:r>
          </w:p>
        </w:tc>
        <w:tc>
          <w:tcPr>
            <w:tcW w:w="1585" w:type="dxa"/>
          </w:tcPr>
          <w:p w14:paraId="2EAAFBDF" w14:textId="77777777" w:rsidR="00EC79BD" w:rsidRPr="004C47D1" w:rsidRDefault="00EC79BD" w:rsidP="00632FCC">
            <w:pPr>
              <w:pStyle w:val="Normal4"/>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Inte kritiskt </w:t>
            </w:r>
          </w:p>
        </w:tc>
        <w:tc>
          <w:tcPr>
            <w:tcW w:w="3797" w:type="dxa"/>
          </w:tcPr>
          <w:p w14:paraId="708D780B" w14:textId="77777777" w:rsidR="00EC79BD" w:rsidRPr="004C47D1" w:rsidRDefault="00EC79BD" w:rsidP="00632FCC">
            <w:pPr>
              <w:pStyle w:val="Normal4"/>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Inte kritiskt </w:t>
            </w:r>
          </w:p>
        </w:tc>
      </w:tr>
      <w:tr w:rsidR="00EC79BD" w:rsidRPr="000C17EB" w14:paraId="07B8DF43"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right w:val="none" w:sz="0" w:space="0" w:color="auto"/>
            </w:tcBorders>
          </w:tcPr>
          <w:p w14:paraId="74799F10" w14:textId="77777777" w:rsidR="00EC79BD" w:rsidRPr="00C254A7" w:rsidRDefault="00EC79BD" w:rsidP="00632FCC">
            <w:pPr>
              <w:pStyle w:val="Normal4"/>
              <w:spacing w:before="0" w:beforeAutospacing="0" w:after="0" w:afterAutospacing="0" w:line="276" w:lineRule="auto"/>
              <w:rPr>
                <w:rStyle w:val="Stark"/>
                <w:rFonts w:asciiTheme="minorHAnsi" w:eastAsiaTheme="minorEastAsia" w:hAnsiTheme="minorHAnsi"/>
                <w:b w:val="0"/>
                <w:i w:val="0"/>
                <w:iCs w:val="0"/>
                <w:color w:val="003D7C" w:themeColor="text2"/>
              </w:rPr>
            </w:pPr>
            <w:r w:rsidRPr="00C254A7">
              <w:rPr>
                <w:rStyle w:val="Stark"/>
                <w:rFonts w:asciiTheme="minorHAnsi" w:eastAsiaTheme="minorEastAsia" w:hAnsiTheme="minorHAnsi"/>
                <w:b w:val="0"/>
                <w:color w:val="003D7C" w:themeColor="text2"/>
              </w:rPr>
              <w:lastRenderedPageBreak/>
              <w:t>Skakas före användning</w:t>
            </w:r>
          </w:p>
          <w:p w14:paraId="78D81A07" w14:textId="77777777" w:rsidR="00EC79BD" w:rsidRPr="004C47D1" w:rsidRDefault="00EC79BD" w:rsidP="00632FCC">
            <w:pPr>
              <w:pStyle w:val="Normal4"/>
              <w:spacing w:before="0" w:beforeAutospacing="0" w:after="0" w:afterAutospacing="0" w:line="276" w:lineRule="auto"/>
              <w:rPr>
                <w:rStyle w:val="Stark"/>
                <w:rFonts w:asciiTheme="minorHAnsi" w:eastAsiaTheme="minorEastAsia" w:hAnsiTheme="minorHAnsi"/>
                <w:bCs/>
                <w:color w:val="003D7C" w:themeColor="text2"/>
              </w:rPr>
            </w:pPr>
          </w:p>
        </w:tc>
        <w:tc>
          <w:tcPr>
            <w:tcW w:w="2126" w:type="dxa"/>
          </w:tcPr>
          <w:p w14:paraId="156B6A11" w14:textId="77777777" w:rsidR="00EC79BD" w:rsidRPr="004C47D1" w:rsidRDefault="00EC79BD" w:rsidP="00632FCC">
            <w:pPr>
              <w:pStyle w:val="Normal4"/>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Inte nödvändigt för de flesta </w:t>
            </w:r>
          </w:p>
        </w:tc>
        <w:tc>
          <w:tcPr>
            <w:tcW w:w="1585" w:type="dxa"/>
          </w:tcPr>
          <w:p w14:paraId="54D0DAD4" w14:textId="77777777" w:rsidR="00EC79BD" w:rsidRPr="004C47D1" w:rsidRDefault="00EC79BD" w:rsidP="00632FCC">
            <w:pPr>
              <w:pStyle w:val="Normal4"/>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Ja för de flesta </w:t>
            </w:r>
          </w:p>
        </w:tc>
        <w:tc>
          <w:tcPr>
            <w:tcW w:w="3797" w:type="dxa"/>
          </w:tcPr>
          <w:p w14:paraId="6B67C9E2" w14:textId="77777777" w:rsidR="00EC79BD" w:rsidRPr="004C47D1" w:rsidRDefault="00EC79BD" w:rsidP="00632FCC">
            <w:pPr>
              <w:pStyle w:val="Normal4"/>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Inte nödvändigt </w:t>
            </w:r>
          </w:p>
        </w:tc>
      </w:tr>
      <w:tr w:rsidR="00EC79BD" w:rsidRPr="000C17EB" w14:paraId="588666A3" w14:textId="77777777" w:rsidTr="00632FCC">
        <w:tc>
          <w:tcPr>
            <w:cnfStyle w:val="001000000000" w:firstRow="0" w:lastRow="0" w:firstColumn="1" w:lastColumn="0" w:oddVBand="0" w:evenVBand="0" w:oddHBand="0" w:evenHBand="0" w:firstRowFirstColumn="0" w:firstRowLastColumn="0" w:lastRowFirstColumn="0" w:lastRowLastColumn="0"/>
            <w:tcW w:w="2410" w:type="dxa"/>
            <w:tcBorders>
              <w:right w:val="none" w:sz="0" w:space="0" w:color="auto"/>
            </w:tcBorders>
          </w:tcPr>
          <w:p w14:paraId="5A59C011" w14:textId="77777777" w:rsidR="00EC79BD" w:rsidRPr="00C254A7" w:rsidRDefault="00EC79BD" w:rsidP="00632FCC">
            <w:pPr>
              <w:pStyle w:val="Normal4"/>
              <w:spacing w:before="0" w:beforeAutospacing="0" w:after="0" w:afterAutospacing="0" w:line="276" w:lineRule="auto"/>
              <w:rPr>
                <w:rStyle w:val="Stark"/>
                <w:rFonts w:asciiTheme="minorHAnsi" w:eastAsiaTheme="minorEastAsia" w:hAnsiTheme="minorHAnsi"/>
                <w:b w:val="0"/>
                <w:color w:val="003D7C" w:themeColor="text2"/>
              </w:rPr>
            </w:pPr>
            <w:r w:rsidRPr="00C254A7">
              <w:rPr>
                <w:rStyle w:val="Stark"/>
                <w:rFonts w:asciiTheme="minorHAnsi" w:eastAsiaTheme="minorEastAsia" w:hAnsiTheme="minorHAnsi"/>
                <w:b w:val="0"/>
                <w:color w:val="003D7C" w:themeColor="text2"/>
              </w:rPr>
              <w:t xml:space="preserve">Förvaring </w:t>
            </w:r>
          </w:p>
        </w:tc>
        <w:tc>
          <w:tcPr>
            <w:tcW w:w="2126" w:type="dxa"/>
          </w:tcPr>
          <w:p w14:paraId="402A24E4" w14:textId="77777777" w:rsidR="00EC79BD" w:rsidRPr="004C47D1" w:rsidRDefault="00EC79BD" w:rsidP="00632FCC">
            <w:pPr>
              <w:pStyle w:val="Normal4"/>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Vissa fuktkänsliga </w:t>
            </w:r>
          </w:p>
        </w:tc>
        <w:tc>
          <w:tcPr>
            <w:tcW w:w="1585" w:type="dxa"/>
          </w:tcPr>
          <w:p w14:paraId="2BD61B11" w14:textId="77777777" w:rsidR="00EC79BD" w:rsidRPr="004C47D1" w:rsidRDefault="00EC79BD" w:rsidP="00632FCC">
            <w:pPr>
              <w:pStyle w:val="Normal4"/>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Ingen speciell förvaring  </w:t>
            </w:r>
          </w:p>
        </w:tc>
        <w:tc>
          <w:tcPr>
            <w:tcW w:w="3797" w:type="dxa"/>
          </w:tcPr>
          <w:p w14:paraId="4FD925A7" w14:textId="77777777" w:rsidR="00EC79BD" w:rsidRPr="004C47D1" w:rsidRDefault="00EC79BD" w:rsidP="00632FCC">
            <w:pPr>
              <w:pStyle w:val="Normal4"/>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bCs/>
                <w:color w:val="003D7C" w:themeColor="text2"/>
              </w:rPr>
            </w:pPr>
            <w:r w:rsidRPr="004C47D1">
              <w:rPr>
                <w:rStyle w:val="Stark"/>
                <w:rFonts w:asciiTheme="minorHAnsi" w:eastAsiaTheme="minorEastAsia" w:hAnsiTheme="minorHAnsi"/>
                <w:color w:val="003D7C" w:themeColor="text2"/>
              </w:rPr>
              <w:t xml:space="preserve">Ingen speciell förvaring </w:t>
            </w:r>
          </w:p>
        </w:tc>
      </w:tr>
    </w:tbl>
    <w:p w14:paraId="371C556E" w14:textId="77777777" w:rsidR="00EC79BD" w:rsidRDefault="00EC79BD" w:rsidP="00EC79BD">
      <w:pPr>
        <w:pStyle w:val="Normal4"/>
        <w:spacing w:before="0" w:beforeAutospacing="0" w:after="0" w:afterAutospacing="0" w:line="276" w:lineRule="auto"/>
        <w:rPr>
          <w:rStyle w:val="Stark"/>
          <w:rFonts w:asciiTheme="minorHAnsi" w:eastAsiaTheme="minorEastAsia" w:hAnsiTheme="minorHAnsi" w:cs="Calibri"/>
          <w:b w:val="0"/>
          <w:color w:val="404040"/>
        </w:rPr>
      </w:pPr>
    </w:p>
    <w:p w14:paraId="55062B1C" w14:textId="77777777" w:rsidR="00EC79BD" w:rsidRPr="009E354B" w:rsidRDefault="00EC79BD" w:rsidP="00EC79BD">
      <w:pPr>
        <w:pStyle w:val="Rubrik2"/>
        <w:rPr>
          <w:sz w:val="24"/>
          <w:szCs w:val="24"/>
        </w:rPr>
      </w:pPr>
      <w:r w:rsidRPr="009E354B">
        <w:rPr>
          <w:sz w:val="24"/>
          <w:szCs w:val="24"/>
        </w:rPr>
        <w:t>Andningsbehållare</w:t>
      </w:r>
    </w:p>
    <w:p w14:paraId="68B0BC51" w14:textId="77777777" w:rsidR="00EC79BD" w:rsidRPr="000C17EB" w:rsidRDefault="00EC79BD" w:rsidP="00EC79BD">
      <w:pPr>
        <w:pStyle w:val="Normal4"/>
        <w:numPr>
          <w:ilvl w:val="0"/>
          <w:numId w:val="69"/>
        </w:numPr>
        <w:spacing w:before="0" w:beforeAutospacing="0" w:after="0" w:afterAutospacing="0" w:line="276" w:lineRule="auto"/>
        <w:rPr>
          <w:rFonts w:asciiTheme="minorHAnsi" w:hAnsiTheme="minorHAnsi" w:cs="Calibri"/>
          <w:color w:val="404040"/>
        </w:rPr>
      </w:pPr>
      <w:r w:rsidRPr="000C17EB">
        <w:rPr>
          <w:rFonts w:asciiTheme="minorHAnsi" w:hAnsiTheme="minorHAnsi" w:cs="Calibri"/>
          <w:color w:val="404040"/>
        </w:rPr>
        <w:t xml:space="preserve">Ett säkert sätt för patienterna att tillgodogöra sig sina </w:t>
      </w:r>
      <w:r w:rsidRPr="000C17EB">
        <w:rPr>
          <w:rFonts w:asciiTheme="minorHAnsi" w:hAnsiTheme="minorHAnsi" w:cs="Calibri"/>
          <w:b/>
          <w:bCs/>
          <w:color w:val="404040"/>
        </w:rPr>
        <w:t>spray- eller softmistinhalationer</w:t>
      </w:r>
    </w:p>
    <w:p w14:paraId="5F3565E3" w14:textId="77777777" w:rsidR="00EC79BD" w:rsidRPr="000C17EB" w:rsidRDefault="00EC79BD" w:rsidP="00EC79BD">
      <w:pPr>
        <w:pStyle w:val="Normal4"/>
        <w:numPr>
          <w:ilvl w:val="0"/>
          <w:numId w:val="69"/>
        </w:numPr>
        <w:spacing w:before="0" w:beforeAutospacing="0" w:after="0" w:afterAutospacing="0" w:line="276" w:lineRule="auto"/>
        <w:rPr>
          <w:rFonts w:asciiTheme="minorHAnsi" w:hAnsiTheme="minorHAnsi" w:cs="Calibri"/>
          <w:color w:val="404040"/>
        </w:rPr>
      </w:pPr>
      <w:r w:rsidRPr="000C17EB">
        <w:rPr>
          <w:rFonts w:asciiTheme="minorHAnsi" w:hAnsiTheme="minorHAnsi" w:cs="Calibri"/>
          <w:color w:val="404040"/>
        </w:rPr>
        <w:t>Doseras i behållaren där patienten sedan i lugn och ro kan inhalera medicinen utan krav på inspirationskraft och teknik</w:t>
      </w:r>
    </w:p>
    <w:p w14:paraId="1E9295FA" w14:textId="77777777" w:rsidR="00EC79BD" w:rsidRPr="000C17EB" w:rsidRDefault="00EC79BD" w:rsidP="00EC79BD">
      <w:pPr>
        <w:pStyle w:val="Normal4"/>
        <w:numPr>
          <w:ilvl w:val="0"/>
          <w:numId w:val="69"/>
        </w:numPr>
        <w:spacing w:before="0" w:beforeAutospacing="0" w:after="0" w:afterAutospacing="0" w:line="276" w:lineRule="auto"/>
        <w:rPr>
          <w:rFonts w:asciiTheme="minorHAnsi" w:hAnsiTheme="minorHAnsi" w:cs="Calibri"/>
          <w:color w:val="404040"/>
        </w:rPr>
      </w:pPr>
      <w:r w:rsidRPr="000C17EB">
        <w:rPr>
          <w:rFonts w:asciiTheme="minorHAnsi" w:hAnsiTheme="minorHAnsi" w:cs="Calibri"/>
          <w:color w:val="404040"/>
        </w:rPr>
        <w:t>Viktigt är att vara noggrann med hygienen och hålla hjälpmedlet rent</w:t>
      </w:r>
    </w:p>
    <w:p w14:paraId="7890497F" w14:textId="77777777" w:rsidR="00EC79BD" w:rsidRPr="000C17EB" w:rsidRDefault="00EC79BD" w:rsidP="00EC79BD">
      <w:pPr>
        <w:pStyle w:val="Normal4"/>
        <w:numPr>
          <w:ilvl w:val="0"/>
          <w:numId w:val="69"/>
        </w:numPr>
        <w:spacing w:before="0" w:beforeAutospacing="0" w:after="0" w:afterAutospacing="0" w:line="276" w:lineRule="auto"/>
        <w:rPr>
          <w:rFonts w:asciiTheme="minorHAnsi" w:hAnsiTheme="minorHAnsi" w:cs="Calibri"/>
          <w:color w:val="404040"/>
        </w:rPr>
      </w:pPr>
      <w:r w:rsidRPr="000C17EB">
        <w:rPr>
          <w:rFonts w:asciiTheme="minorHAnsi" w:hAnsiTheme="minorHAnsi" w:cs="Calibri"/>
          <w:color w:val="404040"/>
        </w:rPr>
        <w:t xml:space="preserve">Andningsbehållare förskrivs på </w:t>
      </w:r>
      <w:r>
        <w:rPr>
          <w:rFonts w:asciiTheme="minorHAnsi" w:hAnsiTheme="minorHAnsi" w:cs="Calibri"/>
          <w:color w:val="404040"/>
        </w:rPr>
        <w:t>h</w:t>
      </w:r>
      <w:r w:rsidRPr="000C17EB">
        <w:rPr>
          <w:rFonts w:asciiTheme="minorHAnsi" w:hAnsiTheme="minorHAnsi" w:cs="Calibri"/>
          <w:color w:val="404040"/>
        </w:rPr>
        <w:t>jälpmedelskort</w:t>
      </w:r>
      <w:r>
        <w:rPr>
          <w:rFonts w:asciiTheme="minorHAnsi" w:hAnsiTheme="minorHAnsi" w:cs="Calibri"/>
          <w:color w:val="404040"/>
        </w:rPr>
        <w:t xml:space="preserve"> i journalen</w:t>
      </w:r>
    </w:p>
    <w:p w14:paraId="52607762" w14:textId="77777777" w:rsidR="00EC79BD" w:rsidRPr="000C17EB" w:rsidRDefault="00EC79BD" w:rsidP="00EC79BD">
      <w:pPr>
        <w:pStyle w:val="Normal4"/>
        <w:numPr>
          <w:ilvl w:val="0"/>
          <w:numId w:val="69"/>
        </w:numPr>
        <w:spacing w:before="0" w:beforeAutospacing="0" w:after="0" w:afterAutospacing="0" w:line="276" w:lineRule="auto"/>
        <w:rPr>
          <w:rStyle w:val="Stark"/>
          <w:rFonts w:asciiTheme="minorHAnsi" w:eastAsiaTheme="minorEastAsia" w:hAnsiTheme="minorHAnsi" w:cs="Calibri"/>
          <w:bCs/>
          <w:iCs/>
          <w:color w:val="404040"/>
        </w:rPr>
      </w:pPr>
      <w:r w:rsidRPr="000C17EB">
        <w:rPr>
          <w:rFonts w:asciiTheme="minorHAnsi" w:hAnsiTheme="minorHAnsi" w:cs="Calibri"/>
          <w:color w:val="404040"/>
        </w:rPr>
        <w:t xml:space="preserve">Som andningsbehållare rekommenderas för närvarande </w:t>
      </w:r>
      <w:r w:rsidRPr="000C17EB">
        <w:rPr>
          <w:rFonts w:asciiTheme="minorHAnsi" w:hAnsiTheme="minorHAnsi" w:cs="Calibri"/>
        </w:rPr>
        <w:t>Optichamber Diamond</w:t>
      </w:r>
      <w:r w:rsidRPr="000C17EB">
        <w:rPr>
          <w:rStyle w:val="Stark"/>
          <w:rFonts w:asciiTheme="minorHAnsi" w:eastAsiaTheme="minorEastAsia" w:hAnsiTheme="minorHAnsi" w:cs="Calibri"/>
          <w:color w:val="00A6E2" w:themeColor="accent1"/>
        </w:rPr>
        <w:t xml:space="preserve"> </w:t>
      </w:r>
      <w:r w:rsidRPr="000C17EB">
        <w:rPr>
          <w:rFonts w:asciiTheme="minorHAnsi" w:hAnsiTheme="minorHAnsi" w:cs="Calibri"/>
          <w:color w:val="404040"/>
        </w:rPr>
        <w:t xml:space="preserve">eller </w:t>
      </w:r>
      <w:r w:rsidRPr="000C17EB">
        <w:rPr>
          <w:rFonts w:asciiTheme="minorHAnsi" w:hAnsiTheme="minorHAnsi" w:cs="Calibri"/>
        </w:rPr>
        <w:t>Vortex</w:t>
      </w:r>
    </w:p>
    <w:p w14:paraId="59D0DA52" w14:textId="77777777" w:rsidR="00EC79BD" w:rsidRPr="0042169D" w:rsidRDefault="00EC79BD" w:rsidP="00EC79BD">
      <w:pPr>
        <w:pStyle w:val="Normal4"/>
        <w:numPr>
          <w:ilvl w:val="0"/>
          <w:numId w:val="69"/>
        </w:numPr>
        <w:spacing w:before="0" w:beforeAutospacing="0" w:after="0" w:afterAutospacing="0" w:line="276" w:lineRule="auto"/>
        <w:rPr>
          <w:rFonts w:asciiTheme="minorHAnsi" w:hAnsiTheme="minorHAnsi" w:cs="Calibri"/>
        </w:rPr>
      </w:pPr>
      <w:hyperlink w:anchor="_Andningsbehållare/spacers" w:history="1">
        <w:r w:rsidRPr="0042169D">
          <w:rPr>
            <w:rStyle w:val="Hyperlnk"/>
            <w:rFonts w:asciiTheme="minorHAnsi" w:hAnsiTheme="minorHAnsi" w:cs="Calibri"/>
          </w:rPr>
          <w:t xml:space="preserve">Mer om andningbehållare </w:t>
        </w:r>
        <w:bookmarkStart w:id="6" w:name="_Softmist-inhalatorer_(Respimat)"/>
        <w:bookmarkEnd w:id="6"/>
      </w:hyperlink>
      <w:r w:rsidRPr="0042169D">
        <w:rPr>
          <w:rFonts w:asciiTheme="minorHAnsi" w:hAnsiTheme="minorHAnsi" w:cs="Calibri"/>
        </w:rPr>
        <w:t xml:space="preserve">   M</w:t>
      </w:r>
      <w:r w:rsidRPr="0042169D">
        <w:t>iljötips</w:t>
      </w:r>
    </w:p>
    <w:p w14:paraId="3C544EF6" w14:textId="77777777" w:rsidR="00EC79BD" w:rsidRDefault="00EC79BD" w:rsidP="00EC79BD"/>
    <w:p w14:paraId="0965FEAC" w14:textId="77777777" w:rsidR="00EC79BD" w:rsidRDefault="00EC79BD" w:rsidP="00EC79BD">
      <w:pPr>
        <w:pStyle w:val="Normal4"/>
        <w:spacing w:before="0" w:beforeAutospacing="0" w:after="240" w:afterAutospacing="0"/>
        <w:rPr>
          <w:rStyle w:val="Stark"/>
          <w:rFonts w:eastAsiaTheme="minorEastAsia"/>
          <w:b w:val="0"/>
        </w:rPr>
      </w:pPr>
      <w:r>
        <w:rPr>
          <w:noProof/>
        </w:rPr>
        <mc:AlternateContent>
          <mc:Choice Requires="wpg">
            <w:drawing>
              <wp:anchor distT="0" distB="0" distL="114300" distR="114300" simplePos="0" relativeHeight="251743232" behindDoc="0" locked="0" layoutInCell="1" allowOverlap="1" wp14:anchorId="1A85E60F" wp14:editId="1DD79D07">
                <wp:simplePos x="0" y="0"/>
                <wp:positionH relativeFrom="column">
                  <wp:posOffset>87358</wp:posOffset>
                </wp:positionH>
                <wp:positionV relativeFrom="paragraph">
                  <wp:posOffset>63409</wp:posOffset>
                </wp:positionV>
                <wp:extent cx="5515610" cy="2665730"/>
                <wp:effectExtent l="0" t="0" r="27940" b="20320"/>
                <wp:wrapThrough wrapText="bothSides">
                  <wp:wrapPolygon edited="0">
                    <wp:start x="1194" y="0"/>
                    <wp:lineTo x="597" y="617"/>
                    <wp:lineTo x="0" y="1852"/>
                    <wp:lineTo x="0" y="20067"/>
                    <wp:lineTo x="970" y="21610"/>
                    <wp:lineTo x="1119" y="21610"/>
                    <wp:lineTo x="20516" y="21610"/>
                    <wp:lineTo x="20665" y="21610"/>
                    <wp:lineTo x="21635" y="20067"/>
                    <wp:lineTo x="21635" y="1852"/>
                    <wp:lineTo x="20814" y="154"/>
                    <wp:lineTo x="20441" y="0"/>
                    <wp:lineTo x="1194" y="0"/>
                  </wp:wrapPolygon>
                </wp:wrapThrough>
                <wp:docPr id="19" name="Grupp 19"/>
                <wp:cNvGraphicFramePr/>
                <a:graphic xmlns:a="http://schemas.openxmlformats.org/drawingml/2006/main">
                  <a:graphicData uri="http://schemas.microsoft.com/office/word/2010/wordprocessingGroup">
                    <wpg:wgp>
                      <wpg:cNvGrpSpPr/>
                      <wpg:grpSpPr>
                        <a:xfrm>
                          <a:off x="0" y="0"/>
                          <a:ext cx="5515610" cy="2665730"/>
                          <a:chOff x="0" y="0"/>
                          <a:chExt cx="5515610" cy="2665730"/>
                        </a:xfrm>
                      </wpg:grpSpPr>
                      <wps:wsp>
                        <wps:cNvPr id="46" name="Rektangel: rundade hörn 46"/>
                        <wps:cNvSpPr/>
                        <wps:spPr>
                          <a:xfrm>
                            <a:off x="0" y="0"/>
                            <a:ext cx="5515610" cy="2665730"/>
                          </a:xfrm>
                          <a:prstGeom prst="roundRect">
                            <a:avLst/>
                          </a:prstGeom>
                          <a:solidFill>
                            <a:srgbClr val="98C21D">
                              <a:lumMod val="40000"/>
                              <a:lumOff val="60000"/>
                            </a:srgbClr>
                          </a:solidFill>
                          <a:ln w="25400" cap="flat" cmpd="sng" algn="ctr">
                            <a:solidFill>
                              <a:srgbClr val="98C21D">
                                <a:shade val="50000"/>
                              </a:srgbClr>
                            </a:solidFill>
                            <a:prstDash val="solid"/>
                          </a:ln>
                          <a:effectLst/>
                        </wps:spPr>
                        <wps:txbx>
                          <w:txbxContent>
                            <w:p w14:paraId="17C32846" w14:textId="77777777" w:rsidR="00EC79BD" w:rsidRPr="00986AEE" w:rsidRDefault="00EC79BD" w:rsidP="00EC79BD">
                              <w:pPr>
                                <w:pStyle w:val="Rubrik3"/>
                                <w:spacing w:before="0"/>
                                <w:jc w:val="center"/>
                                <w:rPr>
                                  <w:color w:val="164927" w:themeColor="accent4" w:themeShade="80"/>
                                </w:rPr>
                              </w:pPr>
                              <w:r w:rsidRPr="00986AEE">
                                <w:rPr>
                                  <w:color w:val="2D934F" w:themeColor="accent4"/>
                                </w:rPr>
                                <w:t>MILJÖTIPS</w:t>
                              </w:r>
                              <w:r w:rsidRPr="00986AEE">
                                <w:rPr>
                                  <w:color w:val="164927" w:themeColor="accent4" w:themeShade="80"/>
                                </w:rPr>
                                <w:br/>
                              </w:r>
                            </w:p>
                            <w:p w14:paraId="34ECCDD0" w14:textId="77777777" w:rsidR="00EC79BD" w:rsidRPr="00986AEE" w:rsidRDefault="00EC79BD" w:rsidP="00EC79BD">
                              <w:pPr>
                                <w:pStyle w:val="Normal4"/>
                                <w:spacing w:before="0" w:beforeAutospacing="0" w:after="0" w:afterAutospacing="0"/>
                                <w:rPr>
                                  <w:rFonts w:ascii="Garamond" w:hAnsi="Garamond" w:cs="Calibri"/>
                                  <w:b/>
                                  <w:bCs/>
                                  <w:color w:val="000000" w:themeColor="text1"/>
                                </w:rPr>
                              </w:pPr>
                              <w:r w:rsidRPr="00986AEE">
                                <w:rPr>
                                  <w:rFonts w:ascii="Garamond" w:hAnsi="Garamond" w:cs="Calibri"/>
                                  <w:i/>
                                  <w:iCs/>
                                  <w:color w:val="404040"/>
                                </w:rPr>
                                <w:t>Spray med drivgas påverkar miljön betydligt mer än pulverinhalatorer på grund av att de innehåller</w:t>
                              </w:r>
                              <w:hyperlink w:anchor="_ORDLISTA" w:history="1">
                                <w:r w:rsidRPr="00986AEE">
                                  <w:rPr>
                                    <w:rStyle w:val="Hyperlnk"/>
                                    <w:rFonts w:ascii="Garamond" w:hAnsi="Garamond" w:cs="Calibri"/>
                                    <w:i/>
                                    <w:iCs/>
                                    <w:color w:val="00A6E2" w:themeColor="accent1"/>
                                    <w:u w:val="none"/>
                                  </w:rPr>
                                  <w:t xml:space="preserve"> </w:t>
                                </w:r>
                                <w:r w:rsidRPr="00986AEE">
                                  <w:rPr>
                                    <w:rStyle w:val="Hyperlnk"/>
                                    <w:rFonts w:ascii="Garamond" w:hAnsi="Garamond" w:cs="Calibri"/>
                                    <w:i/>
                                    <w:iCs/>
                                    <w:color w:val="B46400" w:themeColor="accent6" w:themeShade="BF"/>
                                  </w:rPr>
                                  <w:t>HFC</w:t>
                                </w:r>
                              </w:hyperlink>
                              <w:r w:rsidRPr="00986AEE">
                                <w:rPr>
                                  <w:rFonts w:ascii="Garamond" w:hAnsi="Garamond" w:cs="Calibri"/>
                                  <w:i/>
                                  <w:iCs/>
                                  <w:color w:val="404040"/>
                                </w:rPr>
                                <w:t xml:space="preserve">. </w:t>
                              </w:r>
                              <w:r>
                                <w:rPr>
                                  <w:rFonts w:ascii="Garamond" w:hAnsi="Garamond" w:cs="Calibri"/>
                                  <w:i/>
                                  <w:iCs/>
                                  <w:color w:val="404040"/>
                                </w:rPr>
                                <w:t xml:space="preserve">Pulver- och respimatinhalatorer är ur den aspekten mer miljövänliga.  </w:t>
                              </w:r>
                              <w:r w:rsidRPr="00986AEE">
                                <w:rPr>
                                  <w:rFonts w:ascii="Garamond" w:hAnsi="Garamond" w:cs="Calibri"/>
                                  <w:i/>
                                  <w:iCs/>
                                  <w:color w:val="404040"/>
                                </w:rPr>
                                <w:tab/>
                              </w:r>
                            </w:p>
                            <w:p w14:paraId="7BA069DE" w14:textId="77777777" w:rsidR="00EC79BD" w:rsidRDefault="00EC79BD" w:rsidP="00EC79BD">
                              <w:pPr>
                                <w:pStyle w:val="Normal4"/>
                                <w:spacing w:before="0" w:beforeAutospacing="0" w:after="0" w:afterAutospacing="0"/>
                                <w:jc w:val="center"/>
                                <w:rPr>
                                  <w:rFonts w:ascii="Garamond" w:hAnsi="Garamond" w:cs="Calibri"/>
                                  <w:b/>
                                  <w:bCs/>
                                  <w:color w:val="000000" w:themeColor="text1"/>
                                </w:rPr>
                              </w:pPr>
                              <w:r w:rsidRPr="00695761">
                                <w:rPr>
                                  <w:rFonts w:ascii="Garamond" w:hAnsi="Garamond" w:cs="Calibri"/>
                                  <w:color w:val="000000" w:themeColor="text1"/>
                                </w:rPr>
                                <w:t xml:space="preserve">Vid val mellan likvärdiga produkter bör klimatpåverkan beaktas men i </w:t>
                              </w:r>
                              <w:r>
                                <w:rPr>
                                  <w:rFonts w:ascii="Garamond" w:hAnsi="Garamond" w:cs="Calibri"/>
                                  <w:b/>
                                  <w:bCs/>
                                  <w:color w:val="000000" w:themeColor="text1"/>
                                </w:rPr>
                                <w:t>första hand är det patientens inhalationsförmåga och preferens som ska prioriteras</w:t>
                              </w:r>
                            </w:p>
                            <w:p w14:paraId="540A6A86" w14:textId="77777777" w:rsidR="00EC79BD" w:rsidRPr="00986AEE" w:rsidRDefault="00EC79BD" w:rsidP="00EC79BD">
                              <w:pPr>
                                <w:pStyle w:val="Normal4"/>
                                <w:spacing w:before="0" w:beforeAutospacing="0" w:after="0" w:afterAutospacing="0"/>
                                <w:jc w:val="center"/>
                                <w:rPr>
                                  <w:rFonts w:ascii="Garamond" w:hAnsi="Garamond" w:cs="Calibri"/>
                                  <w:b/>
                                  <w:bCs/>
                                  <w:color w:val="000000" w:themeColor="text1"/>
                                </w:rPr>
                              </w:pPr>
                            </w:p>
                            <w:p w14:paraId="2EA580B4" w14:textId="77777777" w:rsidR="00EC79BD" w:rsidRPr="00695761" w:rsidRDefault="00EC79BD" w:rsidP="00EC79BD">
                              <w:pPr>
                                <w:pStyle w:val="Normal4"/>
                                <w:spacing w:before="0" w:beforeAutospacing="0" w:after="240" w:afterAutospacing="0"/>
                                <w:jc w:val="center"/>
                                <w:rPr>
                                  <w:rFonts w:asciiTheme="minorHAnsi" w:hAnsiTheme="minorHAnsi" w:cs="Calibri"/>
                                  <w:color w:val="000000" w:themeColor="text1"/>
                                </w:rPr>
                              </w:pPr>
                              <w:r w:rsidRPr="00695761">
                                <w:rPr>
                                  <w:rFonts w:asciiTheme="minorHAnsi" w:hAnsiTheme="minorHAnsi" w:cs="Calibri"/>
                                  <w:color w:val="000000" w:themeColor="text1"/>
                                </w:rPr>
                                <w:t>Om refillförpackningar finns är det ett miljömässigt klokare val</w:t>
                              </w:r>
                            </w:p>
                            <w:p w14:paraId="1E47540E" w14:textId="77777777" w:rsidR="00EC79BD" w:rsidRDefault="00EC79BD" w:rsidP="00EC79BD">
                              <w:pPr>
                                <w:pStyle w:val="Normal4"/>
                                <w:spacing w:before="0" w:beforeAutospacing="0" w:after="240" w:afterAutospacing="0"/>
                                <w:jc w:val="center"/>
                                <w:rPr>
                                  <w:rFonts w:asciiTheme="minorHAnsi" w:hAnsiTheme="minorHAnsi" w:cs="Calibri"/>
                                  <w:b/>
                                  <w:bCs/>
                                  <w:color w:val="2D934F" w:themeColor="accent4"/>
                                </w:rPr>
                              </w:pPr>
                              <w:r>
                                <w:rPr>
                                  <w:rFonts w:asciiTheme="minorHAnsi" w:hAnsiTheme="minorHAnsi" w:cs="Calibri"/>
                                  <w:color w:val="000000" w:themeColor="text1"/>
                                </w:rPr>
                                <w:t xml:space="preserve">I tabellöversikten över inhalatorerna </w:t>
                              </w:r>
                              <w:r w:rsidRPr="00695761">
                                <w:rPr>
                                  <w:rFonts w:asciiTheme="minorHAnsi" w:hAnsiTheme="minorHAnsi" w:cs="Calibri"/>
                                  <w:color w:val="000000" w:themeColor="text1"/>
                                </w:rPr>
                                <w:t>markera</w:t>
                              </w:r>
                              <w:r>
                                <w:rPr>
                                  <w:rFonts w:asciiTheme="minorHAnsi" w:hAnsiTheme="minorHAnsi" w:cs="Calibri"/>
                                  <w:color w:val="000000" w:themeColor="text1"/>
                                </w:rPr>
                                <w:t>s</w:t>
                              </w:r>
                              <w:r w:rsidRPr="00695761">
                                <w:rPr>
                                  <w:rFonts w:asciiTheme="minorHAnsi" w:hAnsiTheme="minorHAnsi" w:cs="Calibri"/>
                                  <w:color w:val="000000" w:themeColor="text1"/>
                                </w:rPr>
                                <w:t xml:space="preserve"> </w:t>
                              </w:r>
                              <w:r>
                                <w:rPr>
                                  <w:rFonts w:asciiTheme="minorHAnsi" w:hAnsiTheme="minorHAnsi" w:cs="Calibri"/>
                                  <w:color w:val="000000" w:themeColor="text1"/>
                                </w:rPr>
                                <w:t>de</w:t>
                              </w:r>
                              <w:r w:rsidRPr="00695761">
                                <w:rPr>
                                  <w:rFonts w:asciiTheme="minorHAnsi" w:hAnsiTheme="minorHAnsi" w:cs="Calibri"/>
                                  <w:color w:val="000000" w:themeColor="text1"/>
                                </w:rPr>
                                <w:t xml:space="preserve"> utan </w:t>
                              </w:r>
                              <w:hyperlink w:anchor="_ORDLISTA" w:history="1">
                                <w:r w:rsidRPr="00D95D36">
                                  <w:rPr>
                                    <w:rStyle w:val="Hyperlnk"/>
                                    <w:rFonts w:asciiTheme="minorHAnsi" w:hAnsiTheme="minorHAnsi" w:cs="Calibri"/>
                                    <w:color w:val="B46400" w:themeColor="accent6" w:themeShade="BF"/>
                                  </w:rPr>
                                  <w:t>HFC</w:t>
                                </w:r>
                              </w:hyperlink>
                              <w:r w:rsidRPr="00D95D36">
                                <w:rPr>
                                  <w:rFonts w:asciiTheme="minorHAnsi" w:hAnsiTheme="minorHAnsi" w:cs="Calibri"/>
                                  <w:color w:val="B46400" w:themeColor="accent6" w:themeShade="BF"/>
                                </w:rPr>
                                <w:t xml:space="preserve"> </w:t>
                              </w:r>
                              <w:r w:rsidRPr="00695761">
                                <w:rPr>
                                  <w:rFonts w:asciiTheme="minorHAnsi" w:hAnsiTheme="minorHAnsi" w:cs="Calibri"/>
                                  <w:color w:val="000000" w:themeColor="text1"/>
                                </w:rPr>
                                <w:t>med</w:t>
                              </w:r>
                              <w:r>
                                <w:rPr>
                                  <w:rFonts w:asciiTheme="minorHAnsi" w:hAnsiTheme="minorHAnsi" w:cs="Calibri"/>
                                  <w:b/>
                                  <w:bCs/>
                                  <w:color w:val="000000" w:themeColor="text1"/>
                                </w:rPr>
                                <w:t xml:space="preserve"> </w:t>
                              </w:r>
                              <w:r w:rsidRPr="00D5747D">
                                <w:rPr>
                                  <w:rFonts w:asciiTheme="minorHAnsi" w:hAnsiTheme="minorHAnsi" w:cs="Calibri"/>
                                  <w:b/>
                                  <w:bCs/>
                                  <w:color w:val="2D934F" w:themeColor="accent4"/>
                                </w:rPr>
                                <w:t xml:space="preserve">M </w:t>
                              </w:r>
                              <w:r w:rsidRPr="00695761">
                                <w:rPr>
                                  <w:rFonts w:asciiTheme="minorHAnsi" w:hAnsiTheme="minorHAnsi" w:cs="Calibri"/>
                                  <w:color w:val="000000" w:themeColor="text1"/>
                                </w:rPr>
                                <w:t xml:space="preserve">och de som har refillalternativ med </w:t>
                              </w:r>
                              <w:r w:rsidRPr="00695761">
                                <w:rPr>
                                  <w:rFonts w:asciiTheme="minorHAnsi" w:hAnsiTheme="minorHAnsi" w:cs="Calibri"/>
                                  <w:noProof/>
                                  <w:color w:val="000000" w:themeColor="text1"/>
                                </w:rPr>
                                <w:t>ett</w:t>
                              </w:r>
                              <w:r>
                                <w:rPr>
                                  <w:rFonts w:asciiTheme="minorHAnsi" w:hAnsiTheme="minorHAnsi" w:cs="Calibri"/>
                                  <w:b/>
                                  <w:bCs/>
                                  <w:noProof/>
                                  <w:color w:val="000000" w:themeColor="text1"/>
                                </w:rPr>
                                <w:t xml:space="preserve"> </w:t>
                              </w:r>
                              <w:r w:rsidRPr="00D5747D">
                                <w:rPr>
                                  <w:rFonts w:asciiTheme="minorHAnsi" w:hAnsiTheme="minorHAnsi" w:cs="Calibri"/>
                                  <w:b/>
                                  <w:bCs/>
                                  <w:color w:val="2D934F" w:themeColor="accent4"/>
                                </w:rPr>
                                <w:t>R</w:t>
                              </w:r>
                            </w:p>
                            <w:p w14:paraId="31706EAF" w14:textId="77777777" w:rsidR="00EC79BD" w:rsidRPr="00B51153" w:rsidRDefault="00EC79BD" w:rsidP="00EC79BD">
                              <w:pPr>
                                <w:pStyle w:val="Normal4"/>
                                <w:spacing w:before="0" w:beforeAutospacing="0" w:after="240" w:afterAutospacing="0"/>
                                <w:jc w:val="center"/>
                                <w:rPr>
                                  <w:rFonts w:asciiTheme="minorHAnsi" w:hAnsiTheme="minorHAnsi" w:cs="Calibri"/>
                                  <w:b/>
                                  <w:bCs/>
                                </w:rPr>
                              </w:pPr>
                              <w:r>
                                <w:rPr>
                                  <w:rFonts w:asciiTheme="minorHAnsi" w:hAnsiTheme="minorHAnsi" w:cs="Calibri"/>
                                  <w:b/>
                                  <w:bCs/>
                                  <w:color w:val="216D3B" w:themeColor="accent4" w:themeShade="BF"/>
                                </w:rPr>
                                <w:t xml:space="preserve"> </w:t>
                              </w:r>
                            </w:p>
                            <w:p w14:paraId="415301FF"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288065FC"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60D53FEC"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70023698"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1FF55AB5"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22A5A467"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47A0C44E" w14:textId="77777777" w:rsidR="00EC79BD" w:rsidRPr="006E6D8C" w:rsidRDefault="00EC79BD" w:rsidP="00EC79BD">
                              <w:pPr>
                                <w:pStyle w:val="Normal4"/>
                                <w:spacing w:before="0" w:beforeAutospacing="0" w:after="240" w:afterAutospacing="0"/>
                                <w:rPr>
                                  <w:rFonts w:ascii="Calibri" w:hAnsi="Calibri" w:cs="Calibri"/>
                                  <w:b/>
                                  <w:bCs/>
                                  <w:color w:val="000000" w:themeColor="text1"/>
                                </w:rPr>
                              </w:pPr>
                            </w:p>
                            <w:p w14:paraId="7D97C9B6" w14:textId="77777777" w:rsidR="00EC79BD" w:rsidRDefault="00EC79BD" w:rsidP="00EC79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Bild 6" descr="Lövträd med hel fyllning"/>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flipH="1">
                            <a:off x="1335974" y="148441"/>
                            <a:ext cx="338455" cy="338455"/>
                          </a:xfrm>
                          <a:prstGeom prst="rect">
                            <a:avLst/>
                          </a:prstGeom>
                        </pic:spPr>
                      </pic:pic>
                      <pic:pic xmlns:pic="http://schemas.openxmlformats.org/drawingml/2006/picture">
                        <pic:nvPicPr>
                          <pic:cNvPr id="45" name="Bild 45" descr="Lövträd med hel fyllning"/>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flipH="1">
                            <a:off x="3841668" y="136566"/>
                            <a:ext cx="338455" cy="338455"/>
                          </a:xfrm>
                          <a:prstGeom prst="rect">
                            <a:avLst/>
                          </a:prstGeom>
                        </pic:spPr>
                      </pic:pic>
                    </wpg:wgp>
                  </a:graphicData>
                </a:graphic>
              </wp:anchor>
            </w:drawing>
          </mc:Choice>
          <mc:Fallback>
            <w:pict>
              <v:group w14:anchorId="1A85E60F" id="Grupp 19" o:spid="_x0000_s1028" style="position:absolute;margin-left:6.9pt;margin-top:5pt;width:434.3pt;height:209.9pt;z-index:251743232" coordsize="55156,2665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">
                <v:roundrect id="Rektangel: rundade hörn 46" o:spid="_x0000_s1029" style="position:absolute;width:55156;height:266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" fillcolor="#daf09b" strokecolor="#6e8e12" strokeweight="2pt">
                  <v:textbox>
                    <w:txbxContent>
                      <w:p w14:paraId="17C32846" w14:textId="77777777" w:rsidR="00EC79BD" w:rsidRPr="00986AEE" w:rsidRDefault="00EC79BD" w:rsidP="00EC79BD">
                        <w:pPr>
                          <w:pStyle w:val="Rubrik3"/>
                          <w:spacing w:before="0"/>
                          <w:jc w:val="center"/>
                          <w:rPr>
                            <w:color w:val="164927" w:themeColor="accent4" w:themeShade="80"/>
                          </w:rPr>
                        </w:pPr>
                        <w:r w:rsidRPr="00986AEE">
                          <w:rPr>
                            <w:color w:val="2D934F" w:themeColor="accent4"/>
                          </w:rPr>
                          <w:t>MILJÖTIPS</w:t>
                        </w:r>
                        <w:r w:rsidRPr="00986AEE">
                          <w:rPr>
                            <w:color w:val="164927" w:themeColor="accent4" w:themeShade="80"/>
                          </w:rPr>
                          <w:br/>
                        </w:r>
                      </w:p>
                      <w:p w14:paraId="34ECCDD0" w14:textId="77777777" w:rsidR="00EC79BD" w:rsidRPr="00986AEE" w:rsidRDefault="00EC79BD" w:rsidP="00EC79BD">
                        <w:pPr>
                          <w:pStyle w:val="Normal4"/>
                          <w:spacing w:before="0" w:beforeAutospacing="0" w:after="0" w:afterAutospacing="0"/>
                          <w:rPr>
                            <w:rFonts w:ascii="Garamond" w:hAnsi="Garamond" w:cs="Calibri"/>
                            <w:b/>
                            <w:bCs/>
                            <w:color w:val="000000" w:themeColor="text1"/>
                          </w:rPr>
                        </w:pPr>
                        <w:r w:rsidRPr="00986AEE">
                          <w:rPr>
                            <w:rFonts w:ascii="Garamond" w:hAnsi="Garamond" w:cs="Calibri"/>
                            <w:i/>
                            <w:iCs/>
                            <w:color w:val="404040"/>
                          </w:rPr>
                          <w:t>Spray med drivgas påverkar miljön betydligt mer än pulverinhalatorer på grund av att de innehåller</w:t>
                        </w:r>
                        <w:hyperlink w:anchor="_ORDLISTA" w:history="1">
                          <w:r w:rsidRPr="00986AEE">
                            <w:rPr>
                              <w:rStyle w:val="Hyperlnk"/>
                              <w:rFonts w:ascii="Garamond" w:hAnsi="Garamond" w:cs="Calibri"/>
                              <w:i/>
                              <w:iCs/>
                              <w:color w:val="00A6E2" w:themeColor="accent1"/>
                              <w:u w:val="none"/>
                            </w:rPr>
                            <w:t xml:space="preserve"> </w:t>
                          </w:r>
                          <w:r w:rsidRPr="00986AEE">
                            <w:rPr>
                              <w:rStyle w:val="Hyperlnk"/>
                              <w:rFonts w:ascii="Garamond" w:hAnsi="Garamond" w:cs="Calibri"/>
                              <w:i/>
                              <w:iCs/>
                              <w:color w:val="B46400" w:themeColor="accent6" w:themeShade="BF"/>
                            </w:rPr>
                            <w:t>HFC</w:t>
                          </w:r>
                        </w:hyperlink>
                        <w:r w:rsidRPr="00986AEE">
                          <w:rPr>
                            <w:rFonts w:ascii="Garamond" w:hAnsi="Garamond" w:cs="Calibri"/>
                            <w:i/>
                            <w:iCs/>
                            <w:color w:val="404040"/>
                          </w:rPr>
                          <w:t xml:space="preserve">. </w:t>
                        </w:r>
                        <w:r>
                          <w:rPr>
                            <w:rFonts w:ascii="Garamond" w:hAnsi="Garamond" w:cs="Calibri"/>
                            <w:i/>
                            <w:iCs/>
                            <w:color w:val="404040"/>
                          </w:rPr>
                          <w:t xml:space="preserve">Pulver- och respimatinhalatorer är ur den aspekten mer miljövänliga.  </w:t>
                        </w:r>
                        <w:r w:rsidRPr="00986AEE">
                          <w:rPr>
                            <w:rFonts w:ascii="Garamond" w:hAnsi="Garamond" w:cs="Calibri"/>
                            <w:i/>
                            <w:iCs/>
                            <w:color w:val="404040"/>
                          </w:rPr>
                          <w:tab/>
                        </w:r>
                      </w:p>
                      <w:p w14:paraId="7BA069DE" w14:textId="77777777" w:rsidR="00EC79BD" w:rsidRDefault="00EC79BD" w:rsidP="00EC79BD">
                        <w:pPr>
                          <w:pStyle w:val="Normal4"/>
                          <w:spacing w:before="0" w:beforeAutospacing="0" w:after="0" w:afterAutospacing="0"/>
                          <w:jc w:val="center"/>
                          <w:rPr>
                            <w:rFonts w:ascii="Garamond" w:hAnsi="Garamond" w:cs="Calibri"/>
                            <w:b/>
                            <w:bCs/>
                            <w:color w:val="000000" w:themeColor="text1"/>
                          </w:rPr>
                        </w:pPr>
                        <w:r w:rsidRPr="00695761">
                          <w:rPr>
                            <w:rFonts w:ascii="Garamond" w:hAnsi="Garamond" w:cs="Calibri"/>
                            <w:color w:val="000000" w:themeColor="text1"/>
                          </w:rPr>
                          <w:t xml:space="preserve">Vid val mellan likvärdiga produkter bör klimatpåverkan beaktas men i </w:t>
                        </w:r>
                        <w:r>
                          <w:rPr>
                            <w:rFonts w:ascii="Garamond" w:hAnsi="Garamond" w:cs="Calibri"/>
                            <w:b/>
                            <w:bCs/>
                            <w:color w:val="000000" w:themeColor="text1"/>
                          </w:rPr>
                          <w:t>första hand är det patientens inhalationsförmåga och preferens som ska prioriteras</w:t>
                        </w:r>
                      </w:p>
                      <w:p w14:paraId="540A6A86" w14:textId="77777777" w:rsidR="00EC79BD" w:rsidRPr="00986AEE" w:rsidRDefault="00EC79BD" w:rsidP="00EC79BD">
                        <w:pPr>
                          <w:pStyle w:val="Normal4"/>
                          <w:spacing w:before="0" w:beforeAutospacing="0" w:after="0" w:afterAutospacing="0"/>
                          <w:jc w:val="center"/>
                          <w:rPr>
                            <w:rFonts w:ascii="Garamond" w:hAnsi="Garamond" w:cs="Calibri"/>
                            <w:b/>
                            <w:bCs/>
                            <w:color w:val="000000" w:themeColor="text1"/>
                          </w:rPr>
                        </w:pPr>
                      </w:p>
                      <w:p w14:paraId="2EA580B4" w14:textId="77777777" w:rsidR="00EC79BD" w:rsidRPr="00695761" w:rsidRDefault="00EC79BD" w:rsidP="00EC79BD">
                        <w:pPr>
                          <w:pStyle w:val="Normal4"/>
                          <w:spacing w:before="0" w:beforeAutospacing="0" w:after="240" w:afterAutospacing="0"/>
                          <w:jc w:val="center"/>
                          <w:rPr>
                            <w:rFonts w:asciiTheme="minorHAnsi" w:hAnsiTheme="minorHAnsi" w:cs="Calibri"/>
                            <w:color w:val="000000" w:themeColor="text1"/>
                          </w:rPr>
                        </w:pPr>
                        <w:r w:rsidRPr="00695761">
                          <w:rPr>
                            <w:rFonts w:asciiTheme="minorHAnsi" w:hAnsiTheme="minorHAnsi" w:cs="Calibri"/>
                            <w:color w:val="000000" w:themeColor="text1"/>
                          </w:rPr>
                          <w:t>Om refillförpackningar finns är det ett miljömässigt klokare val</w:t>
                        </w:r>
                      </w:p>
                      <w:p w14:paraId="1E47540E" w14:textId="77777777" w:rsidR="00EC79BD" w:rsidRDefault="00EC79BD" w:rsidP="00EC79BD">
                        <w:pPr>
                          <w:pStyle w:val="Normal4"/>
                          <w:spacing w:before="0" w:beforeAutospacing="0" w:after="240" w:afterAutospacing="0"/>
                          <w:jc w:val="center"/>
                          <w:rPr>
                            <w:rFonts w:asciiTheme="minorHAnsi" w:hAnsiTheme="minorHAnsi" w:cs="Calibri"/>
                            <w:b/>
                            <w:bCs/>
                            <w:color w:val="2D934F" w:themeColor="accent4"/>
                          </w:rPr>
                        </w:pPr>
                        <w:r>
                          <w:rPr>
                            <w:rFonts w:asciiTheme="minorHAnsi" w:hAnsiTheme="minorHAnsi" w:cs="Calibri"/>
                            <w:color w:val="000000" w:themeColor="text1"/>
                          </w:rPr>
                          <w:t xml:space="preserve">I tabellöversikten över inhalatorerna </w:t>
                        </w:r>
                        <w:r w:rsidRPr="00695761">
                          <w:rPr>
                            <w:rFonts w:asciiTheme="minorHAnsi" w:hAnsiTheme="minorHAnsi" w:cs="Calibri"/>
                            <w:color w:val="000000" w:themeColor="text1"/>
                          </w:rPr>
                          <w:t>markera</w:t>
                        </w:r>
                        <w:r>
                          <w:rPr>
                            <w:rFonts w:asciiTheme="minorHAnsi" w:hAnsiTheme="minorHAnsi" w:cs="Calibri"/>
                            <w:color w:val="000000" w:themeColor="text1"/>
                          </w:rPr>
                          <w:t>s</w:t>
                        </w:r>
                        <w:r w:rsidRPr="00695761">
                          <w:rPr>
                            <w:rFonts w:asciiTheme="minorHAnsi" w:hAnsiTheme="minorHAnsi" w:cs="Calibri"/>
                            <w:color w:val="000000" w:themeColor="text1"/>
                          </w:rPr>
                          <w:t xml:space="preserve"> </w:t>
                        </w:r>
                        <w:r>
                          <w:rPr>
                            <w:rFonts w:asciiTheme="minorHAnsi" w:hAnsiTheme="minorHAnsi" w:cs="Calibri"/>
                            <w:color w:val="000000" w:themeColor="text1"/>
                          </w:rPr>
                          <w:t>de</w:t>
                        </w:r>
                        <w:r w:rsidRPr="00695761">
                          <w:rPr>
                            <w:rFonts w:asciiTheme="minorHAnsi" w:hAnsiTheme="minorHAnsi" w:cs="Calibri"/>
                            <w:color w:val="000000" w:themeColor="text1"/>
                          </w:rPr>
                          <w:t xml:space="preserve"> utan </w:t>
                        </w:r>
                        <w:hyperlink w:anchor="_ORDLISTA" w:history="1">
                          <w:r w:rsidRPr="00D95D36">
                            <w:rPr>
                              <w:rStyle w:val="Hyperlnk"/>
                              <w:rFonts w:asciiTheme="minorHAnsi" w:hAnsiTheme="minorHAnsi" w:cs="Calibri"/>
                              <w:color w:val="B46400" w:themeColor="accent6" w:themeShade="BF"/>
                            </w:rPr>
                            <w:t>HFC</w:t>
                          </w:r>
                        </w:hyperlink>
                        <w:r w:rsidRPr="00D95D36">
                          <w:rPr>
                            <w:rFonts w:asciiTheme="minorHAnsi" w:hAnsiTheme="minorHAnsi" w:cs="Calibri"/>
                            <w:color w:val="B46400" w:themeColor="accent6" w:themeShade="BF"/>
                          </w:rPr>
                          <w:t xml:space="preserve"> </w:t>
                        </w:r>
                        <w:r w:rsidRPr="00695761">
                          <w:rPr>
                            <w:rFonts w:asciiTheme="minorHAnsi" w:hAnsiTheme="minorHAnsi" w:cs="Calibri"/>
                            <w:color w:val="000000" w:themeColor="text1"/>
                          </w:rPr>
                          <w:t>med</w:t>
                        </w:r>
                        <w:r>
                          <w:rPr>
                            <w:rFonts w:asciiTheme="minorHAnsi" w:hAnsiTheme="minorHAnsi" w:cs="Calibri"/>
                            <w:b/>
                            <w:bCs/>
                            <w:color w:val="000000" w:themeColor="text1"/>
                          </w:rPr>
                          <w:t xml:space="preserve"> </w:t>
                        </w:r>
                        <w:r w:rsidRPr="00D5747D">
                          <w:rPr>
                            <w:rFonts w:asciiTheme="minorHAnsi" w:hAnsiTheme="minorHAnsi" w:cs="Calibri"/>
                            <w:b/>
                            <w:bCs/>
                            <w:color w:val="2D934F" w:themeColor="accent4"/>
                          </w:rPr>
                          <w:t xml:space="preserve">M </w:t>
                        </w:r>
                        <w:r w:rsidRPr="00695761">
                          <w:rPr>
                            <w:rFonts w:asciiTheme="minorHAnsi" w:hAnsiTheme="minorHAnsi" w:cs="Calibri"/>
                            <w:color w:val="000000" w:themeColor="text1"/>
                          </w:rPr>
                          <w:t xml:space="preserve">och de som har refillalternativ med </w:t>
                        </w:r>
                        <w:r w:rsidRPr="00695761">
                          <w:rPr>
                            <w:rFonts w:asciiTheme="minorHAnsi" w:hAnsiTheme="minorHAnsi" w:cs="Calibri"/>
                            <w:noProof/>
                            <w:color w:val="000000" w:themeColor="text1"/>
                          </w:rPr>
                          <w:t>ett</w:t>
                        </w:r>
                        <w:r>
                          <w:rPr>
                            <w:rFonts w:asciiTheme="minorHAnsi" w:hAnsiTheme="minorHAnsi" w:cs="Calibri"/>
                            <w:b/>
                            <w:bCs/>
                            <w:noProof/>
                            <w:color w:val="000000" w:themeColor="text1"/>
                          </w:rPr>
                          <w:t xml:space="preserve"> </w:t>
                        </w:r>
                        <w:r w:rsidRPr="00D5747D">
                          <w:rPr>
                            <w:rFonts w:asciiTheme="minorHAnsi" w:hAnsiTheme="minorHAnsi" w:cs="Calibri"/>
                            <w:b/>
                            <w:bCs/>
                            <w:color w:val="2D934F" w:themeColor="accent4"/>
                          </w:rPr>
                          <w:t>R</w:t>
                        </w:r>
                      </w:p>
                      <w:p w14:paraId="31706EAF" w14:textId="77777777" w:rsidR="00EC79BD" w:rsidRPr="00B51153" w:rsidRDefault="00EC79BD" w:rsidP="00EC79BD">
                        <w:pPr>
                          <w:pStyle w:val="Normal4"/>
                          <w:spacing w:before="0" w:beforeAutospacing="0" w:after="240" w:afterAutospacing="0"/>
                          <w:jc w:val="center"/>
                          <w:rPr>
                            <w:rFonts w:asciiTheme="minorHAnsi" w:hAnsiTheme="minorHAnsi" w:cs="Calibri"/>
                            <w:b/>
                            <w:bCs/>
                          </w:rPr>
                        </w:pPr>
                        <w:r>
                          <w:rPr>
                            <w:rFonts w:asciiTheme="minorHAnsi" w:hAnsiTheme="minorHAnsi" w:cs="Calibri"/>
                            <w:b/>
                            <w:bCs/>
                            <w:color w:val="216D3B" w:themeColor="accent4" w:themeShade="BF"/>
                          </w:rPr>
                          <w:t xml:space="preserve"> </w:t>
                        </w:r>
                      </w:p>
                      <w:p w14:paraId="415301FF"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288065FC"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60D53FEC"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70023698"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1FF55AB5"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22A5A467"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47A0C44E" w14:textId="77777777" w:rsidR="00EC79BD" w:rsidRPr="006E6D8C" w:rsidRDefault="00EC79BD" w:rsidP="00EC79BD">
                        <w:pPr>
                          <w:pStyle w:val="Normal4"/>
                          <w:spacing w:before="0" w:beforeAutospacing="0" w:after="240" w:afterAutospacing="0"/>
                          <w:rPr>
                            <w:rFonts w:ascii="Calibri" w:hAnsi="Calibri" w:cs="Calibri"/>
                            <w:b/>
                            <w:bCs/>
                            <w:color w:val="000000" w:themeColor="text1"/>
                          </w:rPr>
                        </w:pPr>
                      </w:p>
                      <w:p w14:paraId="7D97C9B6" w14:textId="77777777" w:rsidR="00EC79BD" w:rsidRDefault="00EC79BD" w:rsidP="00EC79BD">
                        <w:pPr>
                          <w:jc w:val="cente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6" o:spid="_x0000_s1030" type="#_x0000_t75" alt="Lövträd med hel fyllning" style="position:absolute;left:13359;top:1484;width:3385;height:338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">
                  <v:imagedata r:id="rId20" o:title="Lövträd med hel fyllning"/>
                </v:shape>
                <v:shape id="Bild 45" o:spid="_x0000_s1031" type="#_x0000_t75" alt="Lövträd med hel fyllning" style="position:absolute;left:38416;top:1365;width:3385;height:338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">
                  <v:imagedata r:id="rId20" o:title="Lövträd med hel fyllning"/>
                </v:shape>
                <w10:wrap type="through"/>
              </v:group>
            </w:pict>
          </mc:Fallback>
        </mc:AlternateContent>
      </w:r>
    </w:p>
    <w:p w14:paraId="28E7D504" w14:textId="77777777" w:rsidR="00EC79BD" w:rsidRPr="0042169D" w:rsidRDefault="00EC79BD" w:rsidP="00EC79BD">
      <w:pPr>
        <w:pStyle w:val="Rubrik2"/>
      </w:pPr>
      <w:r w:rsidRPr="007531BC">
        <w:t>Astma</w:t>
      </w:r>
    </w:p>
    <w:p w14:paraId="60E3CDB2" w14:textId="77777777" w:rsidR="00EC79BD" w:rsidRPr="00F75B02" w:rsidRDefault="00EC79BD" w:rsidP="00EC79BD">
      <w:pPr>
        <w:pStyle w:val="Rubrik2"/>
      </w:pPr>
      <w:r w:rsidRPr="00F75B02">
        <w:t>Astma barn</w:t>
      </w:r>
    </w:p>
    <w:p w14:paraId="1E571E4D" w14:textId="77777777" w:rsidR="00EC79BD" w:rsidRDefault="00EC79BD" w:rsidP="00EC79BD">
      <w:pPr>
        <w:rPr>
          <w:b/>
          <w:bCs/>
          <w:sz w:val="24"/>
          <w:szCs w:val="24"/>
        </w:rPr>
      </w:pPr>
    </w:p>
    <w:p w14:paraId="0F323463" w14:textId="77777777" w:rsidR="00EC79BD" w:rsidRPr="00F75B02" w:rsidRDefault="00EC79BD" w:rsidP="00EC79BD">
      <w:pPr>
        <w:rPr>
          <w:b/>
          <w:bCs/>
          <w:sz w:val="28"/>
          <w:szCs w:val="28"/>
        </w:rPr>
      </w:pPr>
      <w:r w:rsidRPr="00F75B02">
        <w:rPr>
          <w:rFonts w:cs="Calibri"/>
          <w:b/>
          <w:bCs/>
          <w:sz w:val="24"/>
          <w:szCs w:val="28"/>
        </w:rPr>
        <w:t>Nyheter och huvudbudskap</w:t>
      </w:r>
      <w:r w:rsidRPr="00F75B02">
        <w:rPr>
          <w:rFonts w:cs="Calibri"/>
          <w:b/>
          <w:bCs/>
          <w:sz w:val="24"/>
          <w:szCs w:val="28"/>
        </w:rPr>
        <w:br/>
        <w:t>Diagnostik</w:t>
      </w:r>
    </w:p>
    <w:p w14:paraId="14106739" w14:textId="77777777" w:rsidR="00EC79BD" w:rsidRDefault="00EC79BD" w:rsidP="00EC79BD">
      <w:pPr>
        <w:rPr>
          <w:b/>
          <w:bCs/>
          <w:sz w:val="24"/>
          <w:szCs w:val="24"/>
        </w:rPr>
      </w:pPr>
      <w:r w:rsidRPr="001F551E">
        <w:rPr>
          <w:rStyle w:val="Stark"/>
          <w:noProof/>
        </w:rPr>
        <mc:AlternateContent>
          <mc:Choice Requires="wps">
            <w:drawing>
              <wp:anchor distT="0" distB="0" distL="114300" distR="114300" simplePos="0" relativeHeight="251744256" behindDoc="1" locked="0" layoutInCell="1" allowOverlap="1" wp14:anchorId="73AFC545" wp14:editId="392FDCF5">
                <wp:simplePos x="0" y="0"/>
                <wp:positionH relativeFrom="margin">
                  <wp:align>left</wp:align>
                </wp:positionH>
                <wp:positionV relativeFrom="paragraph">
                  <wp:posOffset>164466</wp:posOffset>
                </wp:positionV>
                <wp:extent cx="6531610" cy="1384300"/>
                <wp:effectExtent l="0" t="0" r="21590" b="25400"/>
                <wp:wrapNone/>
                <wp:docPr id="12" name="Rektangel: rundade hörn 12"/>
                <wp:cNvGraphicFramePr/>
                <a:graphic xmlns:a="http://schemas.openxmlformats.org/drawingml/2006/main">
                  <a:graphicData uri="http://schemas.microsoft.com/office/word/2010/wordprocessingShape">
                    <wps:wsp>
                      <wps:cNvSpPr/>
                      <wps:spPr>
                        <a:xfrm>
                          <a:off x="0" y="0"/>
                          <a:ext cx="6531610" cy="1384300"/>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6140C7" id="Rektangel: rundade hörn 12" o:spid="_x0000_s1026" style="position:absolute;margin-left:0;margin-top:12.95pt;width:514.3pt;height:109pt;z-index:-251572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" fillcolor="#86cdff" strokecolor="#0079a6" strokeweight="2pt">
                <v:fill color2="#dceeff" rotate="t" angle="45" colors="0 #86cdff;.5 #b7deff;1 #dceeff" focus="100%" type="gradient"/>
                <w10:wrap anchorx="margin"/>
              </v:roundrect>
            </w:pict>
          </mc:Fallback>
        </mc:AlternateContent>
      </w:r>
    </w:p>
    <w:p w14:paraId="5454C475" w14:textId="77777777" w:rsidR="00EC79BD" w:rsidRPr="000C17EB" w:rsidRDefault="00EC79BD" w:rsidP="00EC79BD">
      <w:pPr>
        <w:pStyle w:val="Normal4"/>
        <w:spacing w:before="0" w:beforeAutospacing="0" w:after="0" w:afterAutospacing="0"/>
        <w:jc w:val="center"/>
        <w:rPr>
          <w:rFonts w:asciiTheme="minorHAnsi" w:hAnsiTheme="minorHAnsi" w:cs="Calibri"/>
          <w:color w:val="003D7C" w:themeColor="text2"/>
        </w:rPr>
      </w:pPr>
      <w:r>
        <w:rPr>
          <w:rFonts w:asciiTheme="minorHAnsi" w:hAnsiTheme="minorHAnsi" w:cs="Calibri"/>
          <w:color w:val="003D7C" w:themeColor="text2"/>
        </w:rPr>
        <w:br/>
      </w:r>
      <w:r w:rsidRPr="000C17EB">
        <w:rPr>
          <w:rFonts w:asciiTheme="minorHAnsi" w:hAnsiTheme="minorHAnsi" w:cs="Calibri"/>
          <w:color w:val="003D7C" w:themeColor="text2"/>
        </w:rPr>
        <w:t>Diagnostik bygger på sjukhistoria, symtom, kliniska fynd och lungfunktionsmätningar</w:t>
      </w:r>
      <w:r>
        <w:rPr>
          <w:rFonts w:asciiTheme="minorHAnsi" w:hAnsiTheme="minorHAnsi" w:cs="Calibri"/>
          <w:color w:val="003D7C" w:themeColor="text2"/>
        </w:rPr>
        <w:t>.</w:t>
      </w:r>
    </w:p>
    <w:p w14:paraId="530192AC" w14:textId="77777777" w:rsidR="00EC79BD" w:rsidRPr="000C17EB" w:rsidRDefault="00EC79BD" w:rsidP="00EC79BD">
      <w:pPr>
        <w:pStyle w:val="Normal4"/>
        <w:spacing w:before="0" w:beforeAutospacing="0" w:after="0" w:afterAutospacing="0"/>
        <w:ind w:left="420"/>
        <w:jc w:val="center"/>
        <w:rPr>
          <w:rFonts w:asciiTheme="minorHAnsi" w:hAnsiTheme="minorHAnsi" w:cs="Calibri"/>
          <w:color w:val="003D7C" w:themeColor="text2"/>
        </w:rPr>
      </w:pPr>
      <w:r w:rsidRPr="000C17EB">
        <w:rPr>
          <w:rFonts w:asciiTheme="minorHAnsi" w:hAnsiTheme="minorHAnsi" w:cs="Calibri"/>
          <w:color w:val="003D7C" w:themeColor="text2"/>
        </w:rPr>
        <w:t>Spirometri ska utföras så snart barnet förmår</w:t>
      </w:r>
      <w:r>
        <w:rPr>
          <w:rFonts w:asciiTheme="minorHAnsi" w:hAnsiTheme="minorHAnsi" w:cs="Calibri"/>
          <w:color w:val="003D7C" w:themeColor="text2"/>
        </w:rPr>
        <w:t>.</w:t>
      </w:r>
    </w:p>
    <w:p w14:paraId="7E64A5F9" w14:textId="77777777" w:rsidR="00EC79BD" w:rsidRPr="000C17EB" w:rsidRDefault="00EC79BD" w:rsidP="00EC79BD">
      <w:pPr>
        <w:pStyle w:val="Normal4"/>
        <w:spacing w:before="0" w:beforeAutospacing="0" w:after="0" w:afterAutospacing="0"/>
        <w:ind w:left="420"/>
        <w:jc w:val="center"/>
        <w:rPr>
          <w:rFonts w:asciiTheme="minorHAnsi" w:hAnsiTheme="minorHAnsi" w:cs="Calibri"/>
          <w:b/>
          <w:bCs/>
          <w:color w:val="003D7C" w:themeColor="text2"/>
        </w:rPr>
      </w:pPr>
      <w:r w:rsidRPr="000C17EB">
        <w:rPr>
          <w:rFonts w:asciiTheme="minorHAnsi" w:hAnsiTheme="minorHAnsi" w:cs="Calibri"/>
          <w:b/>
          <w:bCs/>
          <w:color w:val="003D7C" w:themeColor="text2"/>
        </w:rPr>
        <w:t>Vid misstanke om astma trots normal spirometri ska utredning fortsätta för att om möjligt påvisa luftvägsobstruktion/inflammation</w:t>
      </w:r>
      <w:r>
        <w:rPr>
          <w:rFonts w:asciiTheme="minorHAnsi" w:hAnsiTheme="minorHAnsi" w:cs="Calibri"/>
          <w:b/>
          <w:bCs/>
          <w:color w:val="003D7C" w:themeColor="text2"/>
        </w:rPr>
        <w:t>.</w:t>
      </w:r>
    </w:p>
    <w:p w14:paraId="76404B52" w14:textId="77777777" w:rsidR="00EC79BD" w:rsidRDefault="00EC79BD" w:rsidP="00EC79BD">
      <w:pPr>
        <w:pStyle w:val="Normal4"/>
        <w:spacing w:before="0" w:beforeAutospacing="0" w:after="0" w:afterAutospacing="0"/>
        <w:ind w:left="420"/>
        <w:jc w:val="center"/>
        <w:rPr>
          <w:b/>
          <w:bCs/>
        </w:rPr>
      </w:pPr>
      <w:r w:rsidRPr="000C17EB">
        <w:rPr>
          <w:rFonts w:asciiTheme="minorHAnsi" w:hAnsiTheme="minorHAnsi" w:cs="Calibri"/>
          <w:color w:val="003D7C" w:themeColor="text2"/>
        </w:rPr>
        <w:t xml:space="preserve">Om barnet inte klarar av en lungfunktionsmätning kan ett behandlingsförsök göras för att </w:t>
      </w:r>
      <w:r>
        <w:rPr>
          <w:rFonts w:asciiTheme="minorHAnsi" w:hAnsiTheme="minorHAnsi" w:cs="Calibri"/>
          <w:color w:val="003D7C" w:themeColor="text2"/>
        </w:rPr>
        <w:br/>
      </w:r>
      <w:r w:rsidRPr="000C17EB">
        <w:rPr>
          <w:rFonts w:asciiTheme="minorHAnsi" w:hAnsiTheme="minorHAnsi" w:cs="Calibri"/>
          <w:color w:val="003D7C" w:themeColor="text2"/>
        </w:rPr>
        <w:t>bekräfta diagnosen</w:t>
      </w:r>
      <w:r>
        <w:rPr>
          <w:rFonts w:asciiTheme="minorHAnsi" w:hAnsiTheme="minorHAnsi" w:cs="Calibri"/>
          <w:color w:val="003D7C" w:themeColor="text2"/>
        </w:rPr>
        <w:t>.</w:t>
      </w:r>
    </w:p>
    <w:p w14:paraId="1B969163" w14:textId="77777777" w:rsidR="00EC79BD" w:rsidRDefault="00EC79BD" w:rsidP="00EC79BD">
      <w:pPr>
        <w:rPr>
          <w:b/>
          <w:bCs/>
          <w:sz w:val="24"/>
          <w:szCs w:val="24"/>
        </w:rPr>
      </w:pPr>
    </w:p>
    <w:p w14:paraId="7A543B88" w14:textId="77777777" w:rsidR="00EC79BD" w:rsidRDefault="00EC79BD" w:rsidP="00EC79BD">
      <w:pPr>
        <w:rPr>
          <w:rFonts w:cs="Calibri"/>
          <w:b/>
          <w:bCs/>
          <w:sz w:val="24"/>
          <w:szCs w:val="28"/>
        </w:rPr>
      </w:pPr>
      <w:r>
        <w:rPr>
          <w:rFonts w:cs="Calibri"/>
          <w:b/>
          <w:bCs/>
          <w:sz w:val="24"/>
          <w:szCs w:val="28"/>
        </w:rPr>
        <w:br/>
      </w:r>
    </w:p>
    <w:p w14:paraId="2C27D950" w14:textId="4200D483" w:rsidR="00EC79BD" w:rsidRPr="007E0573" w:rsidRDefault="00EC79BD" w:rsidP="007E0573">
      <w:pPr>
        <w:tabs>
          <w:tab w:val="clear" w:pos="284"/>
        </w:tabs>
        <w:spacing w:after="120" w:line="260" w:lineRule="atLeast"/>
        <w:rPr>
          <w:rStyle w:val="Stark"/>
          <w:rFonts w:cs="Calibri"/>
          <w:bCs/>
          <w:sz w:val="24"/>
          <w:szCs w:val="28"/>
        </w:rPr>
      </w:pPr>
      <w:r>
        <w:rPr>
          <w:rFonts w:cs="Calibri"/>
          <w:b/>
          <w:bCs/>
          <w:sz w:val="24"/>
          <w:szCs w:val="28"/>
        </w:rPr>
        <w:br w:type="page"/>
      </w:r>
      <w:r w:rsidRPr="00F75B02">
        <w:rPr>
          <w:rFonts w:cs="Calibri"/>
          <w:b/>
          <w:bCs/>
          <w:sz w:val="24"/>
          <w:szCs w:val="28"/>
        </w:rPr>
        <w:lastRenderedPageBreak/>
        <w:t>Behandling</w:t>
      </w:r>
    </w:p>
    <w:p w14:paraId="0FC8A157" w14:textId="77777777" w:rsidR="00EC79BD" w:rsidRPr="000C17EB" w:rsidRDefault="00EC79BD" w:rsidP="00EC79BD">
      <w:pPr>
        <w:pStyle w:val="Normal4"/>
        <w:spacing w:before="0" w:beforeAutospacing="0" w:after="0" w:afterAutospacing="0"/>
        <w:ind w:left="420"/>
        <w:rPr>
          <w:rFonts w:asciiTheme="minorHAnsi" w:hAnsiTheme="minorHAnsi" w:cs="Calibri"/>
          <w:color w:val="003D7C" w:themeColor="text2"/>
        </w:rPr>
      </w:pPr>
      <w:r w:rsidRPr="000C17EB">
        <w:rPr>
          <w:rFonts w:asciiTheme="minorHAnsi" w:hAnsiTheme="minorHAnsi" w:cs="Calibri"/>
          <w:noProof/>
          <w:color w:val="00A6E2" w:themeColor="accent1"/>
          <w:u w:val="single"/>
        </w:rPr>
        <mc:AlternateContent>
          <mc:Choice Requires="wps">
            <w:drawing>
              <wp:anchor distT="0" distB="0" distL="114300" distR="114300" simplePos="0" relativeHeight="251749376" behindDoc="1" locked="0" layoutInCell="1" allowOverlap="1" wp14:anchorId="7C3C6443" wp14:editId="33DF6690">
                <wp:simplePos x="0" y="0"/>
                <wp:positionH relativeFrom="margin">
                  <wp:posOffset>27940</wp:posOffset>
                </wp:positionH>
                <wp:positionV relativeFrom="paragraph">
                  <wp:posOffset>74567</wp:posOffset>
                </wp:positionV>
                <wp:extent cx="6501509" cy="398145"/>
                <wp:effectExtent l="0" t="0" r="13970" b="20955"/>
                <wp:wrapNone/>
                <wp:docPr id="14" name="Rektangel: rundade hörn 14"/>
                <wp:cNvGraphicFramePr/>
                <a:graphic xmlns:a="http://schemas.openxmlformats.org/drawingml/2006/main">
                  <a:graphicData uri="http://schemas.microsoft.com/office/word/2010/wordprocessingShape">
                    <wps:wsp>
                      <wps:cNvSpPr/>
                      <wps:spPr>
                        <a:xfrm>
                          <a:off x="0" y="0"/>
                          <a:ext cx="6501509" cy="398145"/>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561390" id="Rektangel: rundade hörn 14" o:spid="_x0000_s1026" style="position:absolute;margin-left:2.2pt;margin-top:5.85pt;width:511.95pt;height:31.35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" fillcolor="#86cdff" strokecolor="#0079a6" strokeweight="2pt">
                <v:fill color2="#dceeff" rotate="t" angle="45" colors="0 #86cdff;.5 #b7deff;1 #dceeff" focus="100%" type="gradient"/>
                <w10:wrap anchorx="margin"/>
              </v:roundrect>
            </w:pict>
          </mc:Fallback>
        </mc:AlternateContent>
      </w:r>
    </w:p>
    <w:p w14:paraId="1EE240D4" w14:textId="77777777" w:rsidR="00EC79BD" w:rsidRPr="000C17EB" w:rsidRDefault="00EC79BD" w:rsidP="00EC79BD">
      <w:pPr>
        <w:pStyle w:val="Normal4"/>
        <w:spacing w:before="0" w:beforeAutospacing="0" w:after="0" w:afterAutospacing="0"/>
        <w:ind w:left="420"/>
        <w:jc w:val="center"/>
        <w:rPr>
          <w:rFonts w:asciiTheme="minorHAnsi" w:hAnsiTheme="minorHAnsi" w:cs="Calibri"/>
          <w:color w:val="003D7C" w:themeColor="text2"/>
        </w:rPr>
      </w:pPr>
      <w:r w:rsidRPr="000C17EB">
        <w:rPr>
          <w:rFonts w:asciiTheme="minorHAnsi" w:hAnsiTheme="minorHAnsi" w:cs="Calibri"/>
          <w:color w:val="003D7C" w:themeColor="text2"/>
        </w:rPr>
        <w:t>Ambitiösa</w:t>
      </w:r>
      <w:r>
        <w:rPr>
          <w:rFonts w:asciiTheme="minorHAnsi" w:hAnsiTheme="minorHAnsi" w:cs="Calibri"/>
          <w:color w:val="003D7C" w:themeColor="text2"/>
        </w:rPr>
        <w:t>, se</w:t>
      </w:r>
      <w:r w:rsidRPr="000C17EB">
        <w:rPr>
          <w:rFonts w:asciiTheme="minorHAnsi" w:hAnsiTheme="minorHAnsi" w:cs="Calibri"/>
          <w:color w:val="003D7C" w:themeColor="text2"/>
        </w:rPr>
        <w:t xml:space="preserve"> </w:t>
      </w:r>
      <w:hyperlink w:anchor="_Övergripande_behandlingsmål" w:history="1">
        <w:r w:rsidRPr="00FC13E1">
          <w:rPr>
            <w:rStyle w:val="Hyperlnk"/>
            <w:rFonts w:asciiTheme="minorHAnsi" w:hAnsiTheme="minorHAnsi" w:cs="Calibri"/>
            <w:color w:val="00A6E2" w:themeColor="accent1"/>
          </w:rPr>
          <w:t>behandlingsmål</w:t>
        </w:r>
      </w:hyperlink>
    </w:p>
    <w:p w14:paraId="68DDBDA9" w14:textId="77777777" w:rsidR="00EC79BD" w:rsidRPr="000C17EB" w:rsidRDefault="00EC79BD" w:rsidP="00EC79BD">
      <w:pPr>
        <w:pStyle w:val="Normal4"/>
        <w:spacing w:before="0" w:beforeAutospacing="0" w:after="0" w:afterAutospacing="0"/>
        <w:ind w:left="420"/>
        <w:rPr>
          <w:rFonts w:asciiTheme="minorHAnsi" w:hAnsiTheme="minorHAnsi" w:cs="Calibri"/>
          <w:color w:val="003D7C" w:themeColor="text2"/>
        </w:rPr>
      </w:pPr>
    </w:p>
    <w:p w14:paraId="1DC1E286" w14:textId="77777777" w:rsidR="00EC79BD" w:rsidRPr="000C17EB" w:rsidRDefault="00EC79BD" w:rsidP="00EC79BD">
      <w:pPr>
        <w:pStyle w:val="Normal4"/>
        <w:spacing w:before="0" w:beforeAutospacing="0" w:after="0" w:afterAutospacing="0"/>
        <w:ind w:left="420"/>
        <w:rPr>
          <w:rFonts w:asciiTheme="minorHAnsi" w:hAnsiTheme="minorHAnsi" w:cs="Calibri"/>
          <w:color w:val="003D7C" w:themeColor="text2"/>
        </w:rPr>
      </w:pPr>
    </w:p>
    <w:p w14:paraId="321BF843" w14:textId="77777777" w:rsidR="00EC79BD" w:rsidRPr="000C17EB" w:rsidRDefault="00EC79BD" w:rsidP="00EC79BD">
      <w:pPr>
        <w:pStyle w:val="Normal4"/>
        <w:spacing w:before="0" w:beforeAutospacing="0" w:after="0" w:afterAutospacing="0"/>
        <w:jc w:val="center"/>
        <w:rPr>
          <w:rFonts w:asciiTheme="minorHAnsi" w:hAnsiTheme="minorHAnsi" w:cs="Calibri"/>
          <w:b/>
          <w:bCs/>
          <w:color w:val="003D7C" w:themeColor="text2"/>
        </w:rPr>
      </w:pPr>
      <w:r w:rsidRPr="000C17EB">
        <w:rPr>
          <w:rFonts w:asciiTheme="minorHAnsi" w:hAnsiTheme="minorHAnsi" w:cs="Calibri"/>
          <w:noProof/>
          <w:color w:val="00A6E2" w:themeColor="accent1"/>
          <w:u w:val="single"/>
        </w:rPr>
        <mc:AlternateContent>
          <mc:Choice Requires="wps">
            <w:drawing>
              <wp:anchor distT="0" distB="0" distL="114300" distR="114300" simplePos="0" relativeHeight="251747328" behindDoc="1" locked="0" layoutInCell="1" allowOverlap="1" wp14:anchorId="1C6E5E7B" wp14:editId="512B690D">
                <wp:simplePos x="0" y="0"/>
                <wp:positionH relativeFrom="margin">
                  <wp:posOffset>16419</wp:posOffset>
                </wp:positionH>
                <wp:positionV relativeFrom="paragraph">
                  <wp:posOffset>-143783</wp:posOffset>
                </wp:positionV>
                <wp:extent cx="6537366" cy="398145"/>
                <wp:effectExtent l="0" t="0" r="15875" b="20955"/>
                <wp:wrapNone/>
                <wp:docPr id="32" name="Rektangel: rundade hörn 32"/>
                <wp:cNvGraphicFramePr/>
                <a:graphic xmlns:a="http://schemas.openxmlformats.org/drawingml/2006/main">
                  <a:graphicData uri="http://schemas.microsoft.com/office/word/2010/wordprocessingShape">
                    <wps:wsp>
                      <wps:cNvSpPr/>
                      <wps:spPr>
                        <a:xfrm>
                          <a:off x="0" y="0"/>
                          <a:ext cx="6537366" cy="398145"/>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5381ED" id="Rektangel: rundade hörn 32" o:spid="_x0000_s1026" style="position:absolute;margin-left:1.3pt;margin-top:-11.3pt;width:514.75pt;height:31.35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" fillcolor="#86cdff" strokecolor="#0079a6" strokeweight="2pt">
                <v:fill color2="#dceeff" rotate="t" angle="45" colors="0 #86cdff;.5 #b7deff;1 #dceeff" focus="100%" type="gradient"/>
                <w10:wrap anchorx="margin"/>
              </v:roundrect>
            </w:pict>
          </mc:Fallback>
        </mc:AlternateContent>
      </w:r>
      <w:r w:rsidRPr="000C17EB">
        <w:rPr>
          <w:rFonts w:asciiTheme="minorHAnsi" w:hAnsiTheme="minorHAnsi" w:cs="Calibri"/>
          <w:b/>
          <w:bCs/>
          <w:color w:val="003D7C" w:themeColor="text2"/>
        </w:rPr>
        <w:t>Generellt bör</w:t>
      </w:r>
      <w:r w:rsidRPr="000C17EB">
        <w:rPr>
          <w:rFonts w:asciiTheme="minorHAnsi" w:hAnsiTheme="minorHAnsi" w:cs="Calibri"/>
          <w:color w:val="003D7C" w:themeColor="text2"/>
        </w:rPr>
        <w:t xml:space="preserve"> </w:t>
      </w:r>
      <w:hyperlink w:anchor="_ORDLISTA" w:history="1">
        <w:r w:rsidRPr="000C17EB">
          <w:rPr>
            <w:rStyle w:val="Hyperlnk"/>
            <w:rFonts w:asciiTheme="minorHAnsi" w:hAnsiTheme="minorHAnsi" w:cs="Calibri"/>
            <w:b/>
            <w:bCs/>
            <w:color w:val="B46400" w:themeColor="accent6" w:themeShade="BF"/>
          </w:rPr>
          <w:t>ICS</w:t>
        </w:r>
      </w:hyperlink>
      <w:r w:rsidRPr="000C17EB">
        <w:rPr>
          <w:rFonts w:asciiTheme="minorHAnsi" w:hAnsiTheme="minorHAnsi" w:cs="Calibri"/>
          <w:b/>
          <w:bCs/>
          <w:color w:val="003D7C" w:themeColor="text2"/>
        </w:rPr>
        <w:t xml:space="preserve"> erbjudas till alla barn med astma</w:t>
      </w:r>
    </w:p>
    <w:p w14:paraId="760FE40D" w14:textId="77777777" w:rsidR="00EC79BD" w:rsidRPr="000C17EB" w:rsidRDefault="00EC79BD" w:rsidP="00EC79BD">
      <w:pPr>
        <w:pStyle w:val="Normal4"/>
        <w:spacing w:before="0" w:beforeAutospacing="0" w:after="0" w:afterAutospacing="0"/>
        <w:rPr>
          <w:rFonts w:asciiTheme="minorHAnsi" w:hAnsiTheme="minorHAnsi" w:cs="Calibri"/>
          <w:b/>
          <w:bCs/>
          <w:color w:val="003D7C" w:themeColor="text2"/>
        </w:rPr>
      </w:pPr>
    </w:p>
    <w:p w14:paraId="5AACAC06" w14:textId="77777777" w:rsidR="00EC79BD" w:rsidRPr="000C17EB" w:rsidRDefault="00EC79BD" w:rsidP="00EC79BD">
      <w:pPr>
        <w:pStyle w:val="Normal4"/>
        <w:spacing w:before="0" w:beforeAutospacing="0" w:after="0" w:afterAutospacing="0"/>
        <w:rPr>
          <w:rFonts w:asciiTheme="minorHAnsi" w:hAnsiTheme="minorHAnsi" w:cs="Calibri"/>
          <w:b/>
          <w:bCs/>
          <w:color w:val="003D7C" w:themeColor="text2"/>
        </w:rPr>
      </w:pPr>
      <w:r w:rsidRPr="000C17EB">
        <w:rPr>
          <w:rFonts w:asciiTheme="minorHAnsi" w:hAnsiTheme="minorHAnsi" w:cs="Calibri"/>
          <w:noProof/>
          <w:u w:val="single"/>
        </w:rPr>
        <mc:AlternateContent>
          <mc:Choice Requires="wps">
            <w:drawing>
              <wp:anchor distT="0" distB="0" distL="114300" distR="114300" simplePos="0" relativeHeight="251745280" behindDoc="1" locked="0" layoutInCell="1" allowOverlap="1" wp14:anchorId="096A05CC" wp14:editId="436D1011">
                <wp:simplePos x="0" y="0"/>
                <wp:positionH relativeFrom="margin">
                  <wp:align>left</wp:align>
                </wp:positionH>
                <wp:positionV relativeFrom="paragraph">
                  <wp:posOffset>8037</wp:posOffset>
                </wp:positionV>
                <wp:extent cx="6572992" cy="1258584"/>
                <wp:effectExtent l="0" t="0" r="18415" b="17780"/>
                <wp:wrapNone/>
                <wp:docPr id="21" name="Rektangel: rundade hörn 21"/>
                <wp:cNvGraphicFramePr/>
                <a:graphic xmlns:a="http://schemas.openxmlformats.org/drawingml/2006/main">
                  <a:graphicData uri="http://schemas.microsoft.com/office/word/2010/wordprocessingShape">
                    <wps:wsp>
                      <wps:cNvSpPr/>
                      <wps:spPr>
                        <a:xfrm>
                          <a:off x="0" y="0"/>
                          <a:ext cx="6572992" cy="1258584"/>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A60BD3" id="Rektangel: rundade hörn 21" o:spid="_x0000_s1026" style="position:absolute;margin-left:0;margin-top:.65pt;width:517.55pt;height:99.1pt;z-index:-251571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" fillcolor="#86cdff" strokecolor="#0079a6" strokeweight="2pt">
                <v:fill color2="#dceeff" rotate="t" angle="45" colors="0 #86cdff;.5 #b7deff;1 #dceeff" focus="100%" type="gradient"/>
                <w10:wrap anchorx="margin"/>
              </v:roundrect>
            </w:pict>
          </mc:Fallback>
        </mc:AlternateContent>
      </w:r>
    </w:p>
    <w:p w14:paraId="2D505233" w14:textId="77777777" w:rsidR="00EC79BD" w:rsidRPr="000C17EB" w:rsidRDefault="00EC79BD" w:rsidP="00EC79BD">
      <w:pPr>
        <w:pStyle w:val="Normal4"/>
        <w:spacing w:before="0" w:beforeAutospacing="0" w:after="0" w:afterAutospacing="0"/>
        <w:ind w:left="420"/>
        <w:rPr>
          <w:rFonts w:asciiTheme="minorHAnsi" w:hAnsiTheme="minorHAnsi" w:cs="Calibri"/>
          <w:color w:val="003D7C" w:themeColor="text2"/>
        </w:rPr>
      </w:pPr>
      <w:r w:rsidRPr="000C17EB">
        <w:rPr>
          <w:rFonts w:asciiTheme="minorHAnsi" w:hAnsiTheme="minorHAnsi" w:cs="Calibri"/>
          <w:color w:val="003D7C" w:themeColor="text2"/>
        </w:rPr>
        <w:t xml:space="preserve">Ett nytt begrepp har introducerats i syfte att beskriva vid behovs-behandling. </w:t>
      </w:r>
      <w:hyperlink w:anchor="_ORDLISTA" w:history="1">
        <w:r w:rsidRPr="000C17EB">
          <w:rPr>
            <w:rStyle w:val="Hyperlnk"/>
            <w:rFonts w:asciiTheme="minorHAnsi" w:hAnsiTheme="minorHAnsi" w:cs="Calibri"/>
            <w:color w:val="B46400" w:themeColor="accent6" w:themeShade="BF"/>
          </w:rPr>
          <w:t>FABA</w:t>
        </w:r>
      </w:hyperlink>
      <w:r w:rsidRPr="000C17EB">
        <w:rPr>
          <w:rFonts w:asciiTheme="minorHAnsi" w:hAnsiTheme="minorHAnsi" w:cs="Calibri"/>
          <w:color w:val="003D7C" w:themeColor="text2"/>
        </w:rPr>
        <w:t xml:space="preserve">, </w:t>
      </w:r>
      <w:r>
        <w:rPr>
          <w:rFonts w:asciiTheme="minorHAnsi" w:hAnsiTheme="minorHAnsi" w:cs="Calibri"/>
          <w:color w:val="003D7C" w:themeColor="text2"/>
        </w:rPr>
        <w:br/>
      </w:r>
      <w:r w:rsidRPr="000C17EB">
        <w:rPr>
          <w:rFonts w:asciiTheme="minorHAnsi" w:hAnsiTheme="minorHAnsi" w:cs="Calibri"/>
          <w:color w:val="003D7C" w:themeColor="text2"/>
        </w:rPr>
        <w:t xml:space="preserve">fast-acting beta-2-receptor agonist, dvs </w:t>
      </w:r>
      <w:r w:rsidRPr="000C17EB">
        <w:rPr>
          <w:rFonts w:asciiTheme="minorHAnsi" w:hAnsiTheme="minorHAnsi" w:cs="Calibri"/>
          <w:b/>
          <w:bCs/>
          <w:color w:val="003D7C" w:themeColor="text2"/>
        </w:rPr>
        <w:t>beta-2-receptoragonist med snabbt insättande effekt med kort (</w:t>
      </w:r>
      <w:hyperlink w:anchor="_ORDLISTA" w:history="1">
        <w:r w:rsidRPr="000C17EB">
          <w:rPr>
            <w:rStyle w:val="Hyperlnk"/>
            <w:rFonts w:asciiTheme="minorHAnsi" w:hAnsiTheme="minorHAnsi" w:cs="Calibri"/>
            <w:b/>
            <w:bCs/>
            <w:color w:val="B46400" w:themeColor="accent6" w:themeShade="BF"/>
          </w:rPr>
          <w:t>SABA</w:t>
        </w:r>
      </w:hyperlink>
      <w:r w:rsidRPr="000C17EB">
        <w:rPr>
          <w:rFonts w:asciiTheme="minorHAnsi" w:hAnsiTheme="minorHAnsi" w:cs="Calibri"/>
          <w:b/>
          <w:bCs/>
          <w:color w:val="003D7C" w:themeColor="text2"/>
        </w:rPr>
        <w:t xml:space="preserve">) eller lång </w:t>
      </w:r>
      <w:hyperlink w:anchor="_ORDLISTA" w:history="1">
        <w:r w:rsidRPr="000C17EB">
          <w:rPr>
            <w:rStyle w:val="Hyperlnk"/>
            <w:rFonts w:asciiTheme="minorHAnsi" w:hAnsiTheme="minorHAnsi" w:cs="Calibri"/>
            <w:b/>
            <w:bCs/>
          </w:rPr>
          <w:t>(</w:t>
        </w:r>
        <w:r w:rsidRPr="000C17EB">
          <w:rPr>
            <w:rStyle w:val="Hyperlnk"/>
            <w:rFonts w:asciiTheme="minorHAnsi" w:hAnsiTheme="minorHAnsi" w:cs="Calibri"/>
            <w:b/>
            <w:bCs/>
            <w:color w:val="B46400" w:themeColor="accent6" w:themeShade="BF"/>
          </w:rPr>
          <w:t>LABA</w:t>
        </w:r>
      </w:hyperlink>
      <w:r w:rsidRPr="000C17EB">
        <w:rPr>
          <w:rFonts w:asciiTheme="minorHAnsi" w:hAnsiTheme="minorHAnsi" w:cs="Calibri"/>
          <w:b/>
          <w:bCs/>
          <w:color w:val="003D7C" w:themeColor="text2"/>
        </w:rPr>
        <w:t>) verkningstid</w:t>
      </w:r>
    </w:p>
    <w:p w14:paraId="7D6E3734" w14:textId="77777777" w:rsidR="00EC79BD" w:rsidRPr="000C17EB" w:rsidRDefault="00EC79BD" w:rsidP="00EC79BD">
      <w:pPr>
        <w:pStyle w:val="Normal4"/>
        <w:spacing w:before="0" w:beforeAutospacing="0" w:after="0" w:afterAutospacing="0"/>
        <w:ind w:left="420"/>
        <w:rPr>
          <w:rFonts w:asciiTheme="minorHAnsi" w:hAnsiTheme="minorHAnsi" w:cs="Calibri"/>
          <w:color w:val="00A6E2" w:themeColor="accent1"/>
        </w:rPr>
      </w:pPr>
      <w:r w:rsidRPr="000C17EB">
        <w:rPr>
          <w:rFonts w:asciiTheme="minorHAnsi" w:hAnsiTheme="minorHAnsi" w:cs="Calibri"/>
          <w:color w:val="003D7C" w:themeColor="text2"/>
        </w:rPr>
        <w:br/>
        <w:t xml:space="preserve">I nuläget finns det tre tillgängliga FABA; </w:t>
      </w:r>
      <w:bookmarkStart w:id="7" w:name="_Hlk149035433"/>
      <w:r w:rsidRPr="000C17EB">
        <w:rPr>
          <w:rFonts w:asciiTheme="minorHAnsi" w:hAnsiTheme="minorHAnsi" w:cs="Calibri"/>
          <w:color w:val="003D7C" w:themeColor="text2"/>
        </w:rPr>
        <w:t xml:space="preserve">terbutalin </w:t>
      </w:r>
      <w:r w:rsidRPr="000C17EB">
        <w:rPr>
          <w:rFonts w:asciiTheme="minorHAnsi" w:hAnsiTheme="minorHAnsi" w:cs="Calibri"/>
          <w:color w:val="003D7C" w:themeColor="accent2"/>
        </w:rPr>
        <w:t>(SABA)</w:t>
      </w:r>
      <w:r w:rsidRPr="000C17EB">
        <w:rPr>
          <w:rFonts w:asciiTheme="minorHAnsi" w:hAnsiTheme="minorHAnsi" w:cs="Calibri"/>
          <w:color w:val="003D7C" w:themeColor="text2"/>
        </w:rPr>
        <w:t xml:space="preserve">, salbutamol (SABA) och </w:t>
      </w:r>
      <w:r>
        <w:rPr>
          <w:rFonts w:asciiTheme="minorHAnsi" w:hAnsiTheme="minorHAnsi" w:cs="Calibri"/>
          <w:color w:val="003D7C" w:themeColor="text2"/>
        </w:rPr>
        <w:br/>
      </w:r>
      <w:r w:rsidRPr="000C17EB">
        <w:rPr>
          <w:rFonts w:asciiTheme="minorHAnsi" w:hAnsiTheme="minorHAnsi" w:cs="Calibri"/>
          <w:color w:val="003D7C" w:themeColor="text2"/>
        </w:rPr>
        <w:t xml:space="preserve">formoterol </w:t>
      </w:r>
      <w:r w:rsidRPr="000C17EB">
        <w:rPr>
          <w:rFonts w:asciiTheme="minorHAnsi" w:hAnsiTheme="minorHAnsi" w:cs="Calibri"/>
          <w:color w:val="003D7C" w:themeColor="accent2"/>
        </w:rPr>
        <w:t>(LABA)</w:t>
      </w:r>
    </w:p>
    <w:bookmarkEnd w:id="7"/>
    <w:p w14:paraId="0848CD71" w14:textId="77777777" w:rsidR="00EC79BD" w:rsidRPr="000C17EB" w:rsidRDefault="00EC79BD" w:rsidP="00EC79BD">
      <w:pPr>
        <w:pStyle w:val="Normal4"/>
        <w:spacing w:before="0" w:beforeAutospacing="0" w:after="0" w:afterAutospacing="0"/>
        <w:ind w:left="420"/>
        <w:rPr>
          <w:rFonts w:asciiTheme="minorHAnsi" w:hAnsiTheme="minorHAnsi" w:cs="Calibri"/>
          <w:color w:val="003D7C" w:themeColor="text2"/>
        </w:rPr>
      </w:pPr>
      <w:r w:rsidRPr="000C17EB">
        <w:rPr>
          <w:rFonts w:asciiTheme="minorHAnsi" w:hAnsiTheme="minorHAnsi" w:cs="Calibri"/>
          <w:b/>
          <w:bCs/>
          <w:noProof/>
          <w:color w:val="404040"/>
          <w:u w:val="single"/>
        </w:rPr>
        <mc:AlternateContent>
          <mc:Choice Requires="wps">
            <w:drawing>
              <wp:anchor distT="0" distB="0" distL="114300" distR="114300" simplePos="0" relativeHeight="251746304" behindDoc="1" locked="0" layoutInCell="1" allowOverlap="1" wp14:anchorId="4A0E356A" wp14:editId="1E240A29">
                <wp:simplePos x="0" y="0"/>
                <wp:positionH relativeFrom="margin">
                  <wp:align>left</wp:align>
                </wp:positionH>
                <wp:positionV relativeFrom="paragraph">
                  <wp:posOffset>116155</wp:posOffset>
                </wp:positionV>
                <wp:extent cx="6590805" cy="958850"/>
                <wp:effectExtent l="0" t="0" r="19685" b="12700"/>
                <wp:wrapNone/>
                <wp:docPr id="20" name="Rektangel: rundade hörn 20"/>
                <wp:cNvGraphicFramePr/>
                <a:graphic xmlns:a="http://schemas.openxmlformats.org/drawingml/2006/main">
                  <a:graphicData uri="http://schemas.microsoft.com/office/word/2010/wordprocessingShape">
                    <wps:wsp>
                      <wps:cNvSpPr/>
                      <wps:spPr>
                        <a:xfrm>
                          <a:off x="0" y="0"/>
                          <a:ext cx="6590805" cy="958850"/>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txbx>
                        <w:txbxContent>
                          <w:p w14:paraId="4322421A" w14:textId="77777777" w:rsidR="00EC79BD" w:rsidRPr="00C82688" w:rsidRDefault="00EC79BD" w:rsidP="00EC79BD">
                            <w:pPr>
                              <w:pStyle w:val="Normal4"/>
                              <w:spacing w:before="0" w:beforeAutospacing="0" w:after="0" w:afterAutospacing="0"/>
                              <w:rPr>
                                <w:rFonts w:asciiTheme="minorHAnsi" w:hAnsiTheme="minorHAnsi" w:cs="Calibri"/>
                                <w:color w:val="003D7C" w:themeColor="text2"/>
                              </w:rPr>
                            </w:pPr>
                            <w:r w:rsidRPr="00C82688">
                              <w:rPr>
                                <w:rFonts w:asciiTheme="minorHAnsi" w:hAnsiTheme="minorHAnsi" w:cs="Calibri"/>
                                <w:b/>
                                <w:bCs/>
                                <w:color w:val="003D7C" w:themeColor="text2"/>
                              </w:rPr>
                              <w:t xml:space="preserve">Enbart </w:t>
                            </w:r>
                            <w:hyperlink w:anchor="_ORDLISTA" w:history="1">
                              <w:r w:rsidRPr="00C82688">
                                <w:rPr>
                                  <w:rStyle w:val="Hyperlnk"/>
                                  <w:rFonts w:asciiTheme="minorHAnsi" w:hAnsiTheme="minorHAnsi" w:cs="Calibri"/>
                                  <w:b/>
                                  <w:bCs/>
                                  <w:color w:val="B46400" w:themeColor="accent6" w:themeShade="BF"/>
                                </w:rPr>
                                <w:t>SABA</w:t>
                              </w:r>
                            </w:hyperlink>
                            <w:r w:rsidRPr="00C82688">
                              <w:rPr>
                                <w:rFonts w:asciiTheme="minorHAnsi" w:hAnsiTheme="minorHAnsi" w:cs="Calibri"/>
                                <w:b/>
                                <w:bCs/>
                                <w:color w:val="B46400" w:themeColor="accent6" w:themeShade="BF"/>
                              </w:rPr>
                              <w:t xml:space="preserve"> </w:t>
                            </w:r>
                            <w:r w:rsidRPr="00C82688">
                              <w:rPr>
                                <w:rFonts w:asciiTheme="minorHAnsi" w:hAnsiTheme="minorHAnsi" w:cs="Calibri"/>
                                <w:b/>
                                <w:bCs/>
                                <w:color w:val="003D7C" w:themeColor="text2"/>
                              </w:rPr>
                              <w:t>vid behov är inte längre ett</w:t>
                            </w:r>
                            <w:r w:rsidRPr="00C82688">
                              <w:rPr>
                                <w:rFonts w:asciiTheme="minorHAnsi" w:hAnsiTheme="minorHAnsi" w:cs="Calibri"/>
                                <w:color w:val="003D7C" w:themeColor="text2"/>
                              </w:rPr>
                              <w:t xml:space="preserve"> </w:t>
                            </w:r>
                            <w:r w:rsidRPr="00C82688">
                              <w:rPr>
                                <w:rFonts w:asciiTheme="minorHAnsi" w:hAnsiTheme="minorHAnsi" w:cs="Calibri"/>
                                <w:b/>
                                <w:bCs/>
                                <w:color w:val="003D7C" w:themeColor="text2"/>
                              </w:rPr>
                              <w:t>behandlingsalternativ</w:t>
                            </w:r>
                            <w:r w:rsidRPr="00C82688">
                              <w:rPr>
                                <w:rFonts w:asciiTheme="minorHAnsi" w:hAnsiTheme="minorHAnsi" w:cs="Calibri"/>
                                <w:color w:val="003D7C" w:themeColor="text2"/>
                              </w:rPr>
                              <w:t xml:space="preserve"> (gäller barn från 6 år steg 1 i behandlingstrappan) Bakgrunden är att SABA inte behandlar inflammation. </w:t>
                            </w:r>
                            <w:r w:rsidRPr="00C82688">
                              <w:rPr>
                                <w:rFonts w:asciiTheme="minorHAnsi" w:hAnsiTheme="minorHAnsi" w:cs="Calibri"/>
                                <w:color w:val="003D7C" w:themeColor="text2"/>
                              </w:rPr>
                              <w:br/>
                              <w:t>Upprepade inhalationer med SABA ger avtagande effekt</w:t>
                            </w:r>
                            <w:r>
                              <w:rPr>
                                <w:rFonts w:asciiTheme="minorHAnsi" w:hAnsiTheme="minorHAnsi" w:cs="Calibri"/>
                                <w:color w:val="003D7C" w:themeColor="text2"/>
                              </w:rPr>
                              <w:t xml:space="preserve"> </w:t>
                            </w:r>
                            <w:hyperlink w:anchor="_ORDLISTA" w:history="1">
                              <w:r w:rsidRPr="00C82688">
                                <w:rPr>
                                  <w:rStyle w:val="Hyperlnk"/>
                                  <w:rFonts w:asciiTheme="minorHAnsi" w:hAnsiTheme="minorHAnsi" w:cs="Calibri"/>
                                  <w:color w:val="B46400" w:themeColor="accent6" w:themeShade="BF"/>
                                </w:rPr>
                                <w:t>ICS</w:t>
                              </w:r>
                            </w:hyperlink>
                            <w:r w:rsidRPr="00C82688">
                              <w:rPr>
                                <w:rFonts w:asciiTheme="minorHAnsi" w:hAnsiTheme="minorHAnsi" w:cs="Calibri"/>
                                <w:color w:val="003D7C" w:themeColor="text2"/>
                              </w:rPr>
                              <w:t xml:space="preserve">+formoterol vid behov eller ICS+SABA </w:t>
                            </w:r>
                            <w:r>
                              <w:rPr>
                                <w:rFonts w:asciiTheme="minorHAnsi" w:hAnsiTheme="minorHAnsi" w:cs="Calibri"/>
                                <w:color w:val="003D7C" w:themeColor="text2"/>
                              </w:rPr>
                              <w:br/>
                            </w:r>
                            <w:r w:rsidRPr="00C82688">
                              <w:rPr>
                                <w:rFonts w:asciiTheme="minorHAnsi" w:hAnsiTheme="minorHAnsi" w:cs="Calibri"/>
                                <w:color w:val="003D7C" w:themeColor="text2"/>
                              </w:rPr>
                              <w:t xml:space="preserve">vid behov har visat sig ge </w:t>
                            </w:r>
                            <w:r w:rsidRPr="00C82688">
                              <w:rPr>
                                <w:rFonts w:asciiTheme="minorHAnsi" w:hAnsiTheme="minorHAnsi" w:cs="Calibri"/>
                                <w:b/>
                                <w:bCs/>
                                <w:color w:val="003D7C" w:themeColor="text2"/>
                              </w:rPr>
                              <w:t>färre exacerbationer</w:t>
                            </w:r>
                            <w:r w:rsidRPr="00C82688">
                              <w:rPr>
                                <w:rFonts w:asciiTheme="minorHAnsi" w:hAnsiTheme="minorHAnsi" w:cs="Calibri"/>
                                <w:color w:val="003D7C" w:themeColor="text2"/>
                              </w:rPr>
                              <w:t xml:space="preserve"> jämfört med enbart SABA vid behov.  </w:t>
                            </w:r>
                          </w:p>
                          <w:p w14:paraId="144ECA5F" w14:textId="77777777" w:rsidR="00EC79BD" w:rsidRDefault="00EC79BD" w:rsidP="00EC79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0E356A" id="Rektangel: rundade hörn 20" o:spid="_x0000_s1032" style="position:absolute;left:0;text-align:left;margin-left:0;margin-top:9.15pt;width:518.95pt;height:75.5pt;z-index:-251570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" fillcolor="#86cdff" strokecolor="#0079a6" strokeweight="2pt">
                <v:fill color2="#dceeff" rotate="t" angle="45" colors="0 #86cdff;.5 #b7deff;1 #dceeff" focus="100%" type="gradient"/>
                <v:textbox>
                  <w:txbxContent>
                    <w:p w14:paraId="4322421A" w14:textId="77777777" w:rsidR="00EC79BD" w:rsidRPr="00C82688" w:rsidRDefault="00EC79BD" w:rsidP="00EC79BD">
                      <w:pPr>
                        <w:pStyle w:val="Normal4"/>
                        <w:spacing w:before="0" w:beforeAutospacing="0" w:after="0" w:afterAutospacing="0"/>
                        <w:rPr>
                          <w:rFonts w:asciiTheme="minorHAnsi" w:hAnsiTheme="minorHAnsi" w:cs="Calibri"/>
                          <w:color w:val="003D7C" w:themeColor="text2"/>
                        </w:rPr>
                      </w:pPr>
                      <w:r w:rsidRPr="00C82688">
                        <w:rPr>
                          <w:rFonts w:asciiTheme="minorHAnsi" w:hAnsiTheme="minorHAnsi" w:cs="Calibri"/>
                          <w:b/>
                          <w:bCs/>
                          <w:color w:val="003D7C" w:themeColor="text2"/>
                        </w:rPr>
                        <w:t xml:space="preserve">Enbart </w:t>
                      </w:r>
                      <w:hyperlink w:anchor="_ORDLISTA" w:history="1">
                        <w:r w:rsidRPr="00C82688">
                          <w:rPr>
                            <w:rStyle w:val="Hyperlnk"/>
                            <w:rFonts w:asciiTheme="minorHAnsi" w:hAnsiTheme="minorHAnsi" w:cs="Calibri"/>
                            <w:b/>
                            <w:bCs/>
                            <w:color w:val="B46400" w:themeColor="accent6" w:themeShade="BF"/>
                          </w:rPr>
                          <w:t>SABA</w:t>
                        </w:r>
                      </w:hyperlink>
                      <w:r w:rsidRPr="00C82688">
                        <w:rPr>
                          <w:rFonts w:asciiTheme="minorHAnsi" w:hAnsiTheme="minorHAnsi" w:cs="Calibri"/>
                          <w:b/>
                          <w:bCs/>
                          <w:color w:val="B46400" w:themeColor="accent6" w:themeShade="BF"/>
                        </w:rPr>
                        <w:t xml:space="preserve"> </w:t>
                      </w:r>
                      <w:r w:rsidRPr="00C82688">
                        <w:rPr>
                          <w:rFonts w:asciiTheme="minorHAnsi" w:hAnsiTheme="minorHAnsi" w:cs="Calibri"/>
                          <w:b/>
                          <w:bCs/>
                          <w:color w:val="003D7C" w:themeColor="text2"/>
                        </w:rPr>
                        <w:t>vid behov är inte längre ett</w:t>
                      </w:r>
                      <w:r w:rsidRPr="00C82688">
                        <w:rPr>
                          <w:rFonts w:asciiTheme="minorHAnsi" w:hAnsiTheme="minorHAnsi" w:cs="Calibri"/>
                          <w:color w:val="003D7C" w:themeColor="text2"/>
                        </w:rPr>
                        <w:t xml:space="preserve"> </w:t>
                      </w:r>
                      <w:r w:rsidRPr="00C82688">
                        <w:rPr>
                          <w:rFonts w:asciiTheme="minorHAnsi" w:hAnsiTheme="minorHAnsi" w:cs="Calibri"/>
                          <w:b/>
                          <w:bCs/>
                          <w:color w:val="003D7C" w:themeColor="text2"/>
                        </w:rPr>
                        <w:t>behandlingsalternativ</w:t>
                      </w:r>
                      <w:r w:rsidRPr="00C82688">
                        <w:rPr>
                          <w:rFonts w:asciiTheme="minorHAnsi" w:hAnsiTheme="minorHAnsi" w:cs="Calibri"/>
                          <w:color w:val="003D7C" w:themeColor="text2"/>
                        </w:rPr>
                        <w:t xml:space="preserve"> (gäller barn från 6 år steg 1 i behandlingstrappan) Bakgrunden är att SABA inte behandlar inflammation. </w:t>
                      </w:r>
                      <w:r w:rsidRPr="00C82688">
                        <w:rPr>
                          <w:rFonts w:asciiTheme="minorHAnsi" w:hAnsiTheme="minorHAnsi" w:cs="Calibri"/>
                          <w:color w:val="003D7C" w:themeColor="text2"/>
                        </w:rPr>
                        <w:br/>
                        <w:t>Upprepade inhalationer med SABA ger avtagande effekt</w:t>
                      </w:r>
                      <w:r>
                        <w:rPr>
                          <w:rFonts w:asciiTheme="minorHAnsi" w:hAnsiTheme="minorHAnsi" w:cs="Calibri"/>
                          <w:color w:val="003D7C" w:themeColor="text2"/>
                        </w:rPr>
                        <w:t xml:space="preserve"> </w:t>
                      </w:r>
                      <w:hyperlink w:anchor="_ORDLISTA" w:history="1">
                        <w:r w:rsidRPr="00C82688">
                          <w:rPr>
                            <w:rStyle w:val="Hyperlnk"/>
                            <w:rFonts w:asciiTheme="minorHAnsi" w:hAnsiTheme="minorHAnsi" w:cs="Calibri"/>
                            <w:color w:val="B46400" w:themeColor="accent6" w:themeShade="BF"/>
                          </w:rPr>
                          <w:t>ICS</w:t>
                        </w:r>
                      </w:hyperlink>
                      <w:r w:rsidRPr="00C82688">
                        <w:rPr>
                          <w:rFonts w:asciiTheme="minorHAnsi" w:hAnsiTheme="minorHAnsi" w:cs="Calibri"/>
                          <w:color w:val="003D7C" w:themeColor="text2"/>
                        </w:rPr>
                        <w:t xml:space="preserve">+formoterol vid behov eller ICS+SABA </w:t>
                      </w:r>
                      <w:r>
                        <w:rPr>
                          <w:rFonts w:asciiTheme="minorHAnsi" w:hAnsiTheme="minorHAnsi" w:cs="Calibri"/>
                          <w:color w:val="003D7C" w:themeColor="text2"/>
                        </w:rPr>
                        <w:br/>
                      </w:r>
                      <w:r w:rsidRPr="00C82688">
                        <w:rPr>
                          <w:rFonts w:asciiTheme="minorHAnsi" w:hAnsiTheme="minorHAnsi" w:cs="Calibri"/>
                          <w:color w:val="003D7C" w:themeColor="text2"/>
                        </w:rPr>
                        <w:t xml:space="preserve">vid behov har visat sig ge </w:t>
                      </w:r>
                      <w:r w:rsidRPr="00C82688">
                        <w:rPr>
                          <w:rFonts w:asciiTheme="minorHAnsi" w:hAnsiTheme="minorHAnsi" w:cs="Calibri"/>
                          <w:b/>
                          <w:bCs/>
                          <w:color w:val="003D7C" w:themeColor="text2"/>
                        </w:rPr>
                        <w:t>färre exacerbationer</w:t>
                      </w:r>
                      <w:r w:rsidRPr="00C82688">
                        <w:rPr>
                          <w:rFonts w:asciiTheme="minorHAnsi" w:hAnsiTheme="minorHAnsi" w:cs="Calibri"/>
                          <w:color w:val="003D7C" w:themeColor="text2"/>
                        </w:rPr>
                        <w:t xml:space="preserve"> jämfört med enbart SABA vid behov.  </w:t>
                      </w:r>
                    </w:p>
                    <w:p w14:paraId="144ECA5F" w14:textId="77777777" w:rsidR="00EC79BD" w:rsidRDefault="00EC79BD" w:rsidP="00EC79BD">
                      <w:pPr>
                        <w:jc w:val="center"/>
                      </w:pPr>
                    </w:p>
                  </w:txbxContent>
                </v:textbox>
                <w10:wrap anchorx="margin"/>
              </v:roundrect>
            </w:pict>
          </mc:Fallback>
        </mc:AlternateContent>
      </w:r>
    </w:p>
    <w:p w14:paraId="6BFE0BCA" w14:textId="77777777" w:rsidR="00EC79BD" w:rsidRPr="000C17EB" w:rsidRDefault="00EC79BD" w:rsidP="00EC79BD">
      <w:pPr>
        <w:pStyle w:val="Normal4"/>
        <w:spacing w:before="0" w:beforeAutospacing="0" w:after="0" w:afterAutospacing="0"/>
        <w:ind w:left="420"/>
        <w:rPr>
          <w:rFonts w:asciiTheme="minorHAnsi" w:hAnsiTheme="minorHAnsi" w:cs="Calibri"/>
          <w:color w:val="003D7C" w:themeColor="text2"/>
        </w:rPr>
      </w:pPr>
    </w:p>
    <w:p w14:paraId="0C1736E0" w14:textId="77777777" w:rsidR="00EC79BD" w:rsidRPr="000C17EB" w:rsidRDefault="00EC79BD" w:rsidP="00EC79BD">
      <w:pPr>
        <w:pStyle w:val="Normal4"/>
        <w:tabs>
          <w:tab w:val="left" w:pos="1502"/>
        </w:tabs>
        <w:spacing w:before="0" w:beforeAutospacing="0" w:after="0" w:afterAutospacing="0"/>
        <w:ind w:left="420"/>
        <w:rPr>
          <w:rFonts w:asciiTheme="minorHAnsi" w:hAnsiTheme="minorHAnsi" w:cs="Calibri"/>
          <w:b/>
          <w:bCs/>
          <w:color w:val="003D7C" w:themeColor="text2"/>
        </w:rPr>
      </w:pPr>
      <w:r w:rsidRPr="000C17EB">
        <w:rPr>
          <w:rFonts w:asciiTheme="minorHAnsi" w:hAnsiTheme="minorHAnsi" w:cs="Calibri"/>
          <w:b/>
          <w:bCs/>
          <w:color w:val="003D7C" w:themeColor="text2"/>
        </w:rPr>
        <w:tab/>
      </w:r>
    </w:p>
    <w:p w14:paraId="71A0F7D4" w14:textId="77777777" w:rsidR="00EC79BD" w:rsidRPr="000C17EB" w:rsidRDefault="00EC79BD" w:rsidP="00EC79BD">
      <w:pPr>
        <w:pStyle w:val="Normal4"/>
        <w:spacing w:before="0" w:beforeAutospacing="0" w:after="0" w:afterAutospacing="0"/>
        <w:ind w:left="420"/>
        <w:rPr>
          <w:rFonts w:asciiTheme="minorHAnsi" w:hAnsiTheme="minorHAnsi" w:cs="Calibri"/>
          <w:color w:val="003D7C" w:themeColor="text2"/>
        </w:rPr>
      </w:pPr>
    </w:p>
    <w:p w14:paraId="475072A8" w14:textId="77777777" w:rsidR="00EC79BD" w:rsidRPr="000C17EB" w:rsidRDefault="00EC79BD" w:rsidP="00EC79BD">
      <w:pPr>
        <w:pStyle w:val="Normal4"/>
        <w:spacing w:before="0" w:beforeAutospacing="0" w:after="0" w:afterAutospacing="0"/>
        <w:ind w:left="420"/>
        <w:rPr>
          <w:rFonts w:asciiTheme="minorHAnsi" w:hAnsiTheme="minorHAnsi" w:cs="Calibri"/>
          <w:color w:val="003D7C" w:themeColor="text2"/>
        </w:rPr>
      </w:pPr>
    </w:p>
    <w:p w14:paraId="744B6D92" w14:textId="77777777" w:rsidR="00EC79BD" w:rsidRPr="000C17EB" w:rsidRDefault="00EC79BD" w:rsidP="00EC79BD">
      <w:pPr>
        <w:pStyle w:val="Normal4"/>
        <w:spacing w:before="0" w:beforeAutospacing="0" w:after="0" w:afterAutospacing="0"/>
        <w:ind w:left="420"/>
        <w:rPr>
          <w:rFonts w:asciiTheme="minorHAnsi" w:hAnsiTheme="minorHAnsi" w:cs="Calibri"/>
          <w:color w:val="003D7C" w:themeColor="text2"/>
        </w:rPr>
      </w:pPr>
    </w:p>
    <w:p w14:paraId="0CB77261" w14:textId="77777777" w:rsidR="00EC79BD" w:rsidRPr="000C17EB" w:rsidRDefault="00EC79BD" w:rsidP="00EC79BD">
      <w:pPr>
        <w:pStyle w:val="Normal4"/>
        <w:tabs>
          <w:tab w:val="left" w:pos="1290"/>
        </w:tabs>
        <w:spacing w:before="0" w:beforeAutospacing="0" w:after="0" w:afterAutospacing="0"/>
        <w:ind w:left="420"/>
        <w:rPr>
          <w:rFonts w:asciiTheme="minorHAnsi" w:hAnsiTheme="minorHAnsi" w:cs="Calibri"/>
          <w:color w:val="003D7C" w:themeColor="text2"/>
        </w:rPr>
      </w:pPr>
      <w:r w:rsidRPr="000C17EB">
        <w:rPr>
          <w:rFonts w:asciiTheme="minorHAnsi" w:hAnsiTheme="minorHAnsi" w:cs="Calibri"/>
          <w:noProof/>
          <w:color w:val="00A6E2" w:themeColor="accent1"/>
          <w:u w:val="single"/>
        </w:rPr>
        <mc:AlternateContent>
          <mc:Choice Requires="wps">
            <w:drawing>
              <wp:anchor distT="0" distB="0" distL="114300" distR="114300" simplePos="0" relativeHeight="251750400" behindDoc="1" locked="0" layoutInCell="1" allowOverlap="1" wp14:anchorId="67A69AE3" wp14:editId="7D90E80D">
                <wp:simplePos x="0" y="0"/>
                <wp:positionH relativeFrom="margin">
                  <wp:align>left</wp:align>
                </wp:positionH>
                <wp:positionV relativeFrom="paragraph">
                  <wp:posOffset>137160</wp:posOffset>
                </wp:positionV>
                <wp:extent cx="6602681" cy="565078"/>
                <wp:effectExtent l="0" t="0" r="27305" b="26035"/>
                <wp:wrapNone/>
                <wp:docPr id="26" name="Rektangel: rundade hörn 26"/>
                <wp:cNvGraphicFramePr/>
                <a:graphic xmlns:a="http://schemas.openxmlformats.org/drawingml/2006/main">
                  <a:graphicData uri="http://schemas.microsoft.com/office/word/2010/wordprocessingShape">
                    <wps:wsp>
                      <wps:cNvSpPr/>
                      <wps:spPr>
                        <a:xfrm>
                          <a:off x="0" y="0"/>
                          <a:ext cx="6602681" cy="565078"/>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262294" id="Rektangel: rundade hörn 26" o:spid="_x0000_s1026" style="position:absolute;margin-left:0;margin-top:10.8pt;width:519.9pt;height:44.5pt;z-index:-251566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" fillcolor="#86cdff" strokecolor="#0079a6" strokeweight="2pt">
                <v:fill color2="#dceeff" rotate="t" angle="45" colors="0 #86cdff;.5 #b7deff;1 #dceeff" focus="100%" type="gradient"/>
                <w10:wrap anchorx="margin"/>
              </v:roundrect>
            </w:pict>
          </mc:Fallback>
        </mc:AlternateContent>
      </w:r>
      <w:r w:rsidRPr="000C17EB">
        <w:rPr>
          <w:rFonts w:asciiTheme="minorHAnsi" w:hAnsiTheme="minorHAnsi" w:cs="Calibri"/>
          <w:color w:val="003D7C" w:themeColor="text2"/>
        </w:rPr>
        <w:tab/>
      </w:r>
    </w:p>
    <w:p w14:paraId="74AB9BEC" w14:textId="77777777" w:rsidR="00EC79BD" w:rsidRPr="000C17EB" w:rsidRDefault="00EC79BD" w:rsidP="00EC79BD">
      <w:pPr>
        <w:pStyle w:val="Normal4"/>
        <w:tabs>
          <w:tab w:val="left" w:pos="7200"/>
        </w:tabs>
        <w:spacing w:before="0" w:beforeAutospacing="0" w:after="0" w:afterAutospacing="0"/>
        <w:rPr>
          <w:rFonts w:asciiTheme="minorHAnsi" w:hAnsiTheme="minorHAnsi" w:cs="Calibri"/>
          <w:color w:val="003D7C" w:themeColor="text2"/>
        </w:rPr>
      </w:pPr>
      <w:r>
        <w:rPr>
          <w:rStyle w:val="cf01"/>
          <w:rFonts w:asciiTheme="minorHAnsi" w:hAnsiTheme="minorHAnsi"/>
          <w:color w:val="003D7C" w:themeColor="text2"/>
          <w:sz w:val="24"/>
          <w:szCs w:val="24"/>
        </w:rPr>
        <w:t xml:space="preserve">  </w:t>
      </w:r>
      <w:r w:rsidRPr="00F75B02">
        <w:rPr>
          <w:rStyle w:val="cf01"/>
          <w:rFonts w:asciiTheme="minorHAnsi" w:hAnsiTheme="minorHAnsi"/>
          <w:color w:val="003D7C" w:themeColor="text2"/>
          <w:sz w:val="24"/>
          <w:szCs w:val="24"/>
        </w:rPr>
        <w:t xml:space="preserve">Montelukast rekommenderas </w:t>
      </w:r>
      <w:r w:rsidRPr="00F75B02">
        <w:rPr>
          <w:rStyle w:val="cf01"/>
          <w:rFonts w:asciiTheme="minorHAnsi" w:hAnsiTheme="minorHAnsi"/>
          <w:b/>
          <w:bCs/>
          <w:color w:val="003D7C" w:themeColor="text2"/>
          <w:sz w:val="24"/>
          <w:szCs w:val="24"/>
        </w:rPr>
        <w:t>inte längre för periodisk behandling</w:t>
      </w:r>
      <w:r w:rsidRPr="00F75B02">
        <w:rPr>
          <w:rStyle w:val="cf01"/>
          <w:rFonts w:asciiTheme="minorHAnsi" w:hAnsiTheme="minorHAnsi"/>
          <w:color w:val="003D7C" w:themeColor="text2"/>
          <w:sz w:val="24"/>
          <w:szCs w:val="24"/>
        </w:rPr>
        <w:t xml:space="preserve"> vid förkylningsastma </w:t>
      </w:r>
      <w:r>
        <w:rPr>
          <w:rStyle w:val="cf01"/>
          <w:rFonts w:asciiTheme="minorHAnsi" w:hAnsiTheme="minorHAnsi"/>
          <w:color w:val="003D7C" w:themeColor="text2"/>
          <w:sz w:val="24"/>
          <w:szCs w:val="24"/>
        </w:rPr>
        <w:br/>
        <w:t xml:space="preserve">  </w:t>
      </w:r>
      <w:r w:rsidRPr="00F75B02">
        <w:rPr>
          <w:rStyle w:val="cf01"/>
          <w:rFonts w:asciiTheme="minorHAnsi" w:hAnsiTheme="minorHAnsi"/>
          <w:color w:val="003D7C" w:themeColor="text2"/>
          <w:sz w:val="24"/>
          <w:szCs w:val="24"/>
        </w:rPr>
        <w:t>då det vetenskapliga underlaget är svagt</w:t>
      </w:r>
      <w:r>
        <w:rPr>
          <w:rStyle w:val="cf01"/>
          <w:rFonts w:asciiTheme="minorHAnsi" w:hAnsiTheme="minorHAnsi"/>
          <w:color w:val="003D7C" w:themeColor="text2"/>
          <w:sz w:val="24"/>
          <w:szCs w:val="24"/>
        </w:rPr>
        <w:t>.</w:t>
      </w:r>
      <w:r w:rsidRPr="000C17EB">
        <w:rPr>
          <w:rFonts w:asciiTheme="minorHAnsi" w:hAnsiTheme="minorHAnsi" w:cs="Calibri"/>
          <w:color w:val="003D7C" w:themeColor="text2"/>
        </w:rPr>
        <w:tab/>
      </w:r>
    </w:p>
    <w:p w14:paraId="76899EC6" w14:textId="77777777" w:rsidR="00EC79BD" w:rsidRDefault="00EC79BD" w:rsidP="00EC79BD">
      <w:pPr>
        <w:rPr>
          <w:rStyle w:val="Stark"/>
        </w:rPr>
      </w:pPr>
      <w:r w:rsidRPr="000C17EB">
        <w:rPr>
          <w:rFonts w:asciiTheme="minorHAnsi" w:hAnsiTheme="minorHAnsi" w:cs="Calibri"/>
          <w:b/>
          <w:bCs/>
          <w:noProof/>
          <w:color w:val="404040"/>
          <w:szCs w:val="24"/>
          <w:u w:val="single"/>
        </w:rPr>
        <mc:AlternateContent>
          <mc:Choice Requires="wps">
            <w:drawing>
              <wp:anchor distT="0" distB="0" distL="114300" distR="114300" simplePos="0" relativeHeight="251748352" behindDoc="1" locked="0" layoutInCell="1" allowOverlap="1" wp14:anchorId="3B234903" wp14:editId="53B4CF88">
                <wp:simplePos x="0" y="0"/>
                <wp:positionH relativeFrom="margin">
                  <wp:align>left</wp:align>
                </wp:positionH>
                <wp:positionV relativeFrom="paragraph">
                  <wp:posOffset>256721</wp:posOffset>
                </wp:positionV>
                <wp:extent cx="6602095" cy="789709"/>
                <wp:effectExtent l="0" t="0" r="27305" b="10795"/>
                <wp:wrapNone/>
                <wp:docPr id="27" name="Rektangel: rundade hörn 27"/>
                <wp:cNvGraphicFramePr/>
                <a:graphic xmlns:a="http://schemas.openxmlformats.org/drawingml/2006/main">
                  <a:graphicData uri="http://schemas.microsoft.com/office/word/2010/wordprocessingShape">
                    <wps:wsp>
                      <wps:cNvSpPr/>
                      <wps:spPr>
                        <a:xfrm>
                          <a:off x="0" y="0"/>
                          <a:ext cx="6602095" cy="789709"/>
                        </a:xfrm>
                        <a:prstGeom prst="roundRect">
                          <a:avLst/>
                        </a:prstGeom>
                        <a:gradFill flip="none" rotWithShape="1">
                          <a:gsLst>
                            <a:gs pos="0">
                              <a:srgbClr val="D7007F">
                                <a:lumMod val="40000"/>
                                <a:lumOff val="60000"/>
                                <a:tint val="66000"/>
                                <a:satMod val="160000"/>
                              </a:srgbClr>
                            </a:gs>
                            <a:gs pos="50000">
                              <a:srgbClr val="D7007F">
                                <a:lumMod val="40000"/>
                                <a:lumOff val="60000"/>
                                <a:tint val="44500"/>
                                <a:satMod val="160000"/>
                              </a:srgbClr>
                            </a:gs>
                            <a:gs pos="100000">
                              <a:srgbClr val="D7007F">
                                <a:lumMod val="40000"/>
                                <a:lumOff val="60000"/>
                                <a:tint val="23500"/>
                                <a:satMod val="160000"/>
                              </a:srgbClr>
                            </a:gs>
                          </a:gsLst>
                          <a:lin ang="2700000" scaled="1"/>
                          <a:tileRect/>
                        </a:gradFill>
                        <a:ln w="25400" cap="flat" cmpd="sng" algn="ctr">
                          <a:solidFill>
                            <a:srgbClr val="00A6E2">
                              <a:shade val="50000"/>
                            </a:srgbClr>
                          </a:solidFill>
                          <a:prstDash val="solid"/>
                        </a:ln>
                        <a:effectLst/>
                      </wps:spPr>
                      <wps:txbx>
                        <w:txbxContent>
                          <w:p w14:paraId="2DB659B5" w14:textId="77777777" w:rsidR="00EC79BD" w:rsidRPr="00C82688" w:rsidRDefault="00EC79BD" w:rsidP="00EC79BD">
                            <w:pPr>
                              <w:pStyle w:val="Normal4"/>
                              <w:spacing w:before="0" w:beforeAutospacing="0" w:after="0" w:afterAutospacing="0"/>
                              <w:rPr>
                                <w:rFonts w:asciiTheme="minorHAnsi" w:hAnsiTheme="minorHAnsi" w:cs="Calibri"/>
                                <w:b/>
                                <w:bCs/>
                                <w:color w:val="003D7C" w:themeColor="text2"/>
                              </w:rPr>
                            </w:pPr>
                            <w:r w:rsidRPr="00C82688">
                              <w:rPr>
                                <w:rFonts w:asciiTheme="minorHAnsi" w:hAnsiTheme="minorHAnsi" w:cs="Calibri"/>
                                <w:b/>
                                <w:bCs/>
                                <w:color w:val="003D7C" w:themeColor="text2"/>
                              </w:rPr>
                              <w:t>Regelbunden uppföljning är en förutsättning för att lyckas med behandlingen!</w:t>
                            </w:r>
                          </w:p>
                          <w:p w14:paraId="479C3B43" w14:textId="77777777" w:rsidR="00EC79BD" w:rsidRPr="00C82688" w:rsidRDefault="00EC79BD" w:rsidP="00EC79BD">
                            <w:pPr>
                              <w:pStyle w:val="Normal4"/>
                              <w:spacing w:before="0" w:beforeAutospacing="0" w:after="0" w:afterAutospacing="0"/>
                              <w:rPr>
                                <w:rFonts w:asciiTheme="minorHAnsi" w:hAnsiTheme="minorHAnsi" w:cs="Calibri"/>
                                <w:b/>
                                <w:bCs/>
                                <w:color w:val="003D7C" w:themeColor="text2"/>
                              </w:rPr>
                            </w:pPr>
                            <w:r w:rsidRPr="00C82688">
                              <w:rPr>
                                <w:rFonts w:asciiTheme="minorHAnsi" w:hAnsiTheme="minorHAnsi" w:cs="Calibri"/>
                                <w:b/>
                                <w:bCs/>
                                <w:color w:val="003D7C" w:themeColor="text2"/>
                              </w:rPr>
                              <w:t>Inhalationsteknik och följsamhet!</w:t>
                            </w:r>
                          </w:p>
                          <w:p w14:paraId="4F9A5042" w14:textId="77777777" w:rsidR="00EC79BD" w:rsidRPr="00C82688" w:rsidRDefault="00EC79BD" w:rsidP="00EC79BD">
                            <w:pPr>
                              <w:pStyle w:val="Normal4"/>
                              <w:spacing w:before="0" w:beforeAutospacing="0" w:after="0" w:afterAutospacing="0"/>
                              <w:rPr>
                                <w:rFonts w:asciiTheme="minorHAnsi" w:hAnsiTheme="minorHAnsi" w:cs="Calibri"/>
                                <w:b/>
                                <w:bCs/>
                                <w:color w:val="003D7C" w:themeColor="text2"/>
                              </w:rPr>
                            </w:pPr>
                            <w:r w:rsidRPr="00C82688">
                              <w:rPr>
                                <w:rFonts w:asciiTheme="minorHAnsi" w:hAnsiTheme="minorHAnsi" w:cs="Calibri"/>
                                <w:b/>
                                <w:bCs/>
                                <w:color w:val="003D7C" w:themeColor="text2"/>
                              </w:rPr>
                              <w:t xml:space="preserve">Ompröva diagnos vid utebliven behandlingseffekt. </w:t>
                            </w:r>
                          </w:p>
                          <w:p w14:paraId="6E05C26D" w14:textId="77777777" w:rsidR="00EC79BD" w:rsidRDefault="00EC79BD" w:rsidP="00EC79BD">
                            <w:pPr>
                              <w:tabs>
                                <w:tab w:val="clear" w:pos="284"/>
                              </w:tabs>
                              <w:spacing w:after="120" w:line="260" w:lineRule="atLeast"/>
                              <w:rPr>
                                <w:rFonts w:ascii="Calibri" w:eastAsia="Times New Roman" w:hAnsi="Calibri" w:cs="Calibri"/>
                                <w:color w:val="003D7C" w:themeColor="text2"/>
                                <w:szCs w:val="24"/>
                                <w:lang w:eastAsia="sv-SE"/>
                              </w:rPr>
                            </w:pPr>
                            <w:r>
                              <w:rPr>
                                <w:rFonts w:ascii="Calibri" w:hAnsi="Calibri" w:cs="Calibri"/>
                                <w:color w:val="003D7C" w:themeColor="text2"/>
                              </w:rPr>
                              <w:br w:type="page"/>
                            </w:r>
                          </w:p>
                          <w:p w14:paraId="6E00B041" w14:textId="77777777" w:rsidR="00EC79BD" w:rsidRPr="006D1E76" w:rsidRDefault="00EC79BD" w:rsidP="00EC79BD">
                            <w:pPr>
                              <w:rPr>
                                <w:rFonts w:ascii="Calibri" w:hAnsi="Calibri" w:cs="Calibri"/>
                                <w:b/>
                                <w:bCs/>
                                <w:color w:val="003D7C" w:themeColor="accent2"/>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234903" id="Rektangel: rundade hörn 27" o:spid="_x0000_s1033" style="position:absolute;margin-left:0;margin-top:20.2pt;width:519.85pt;height:62.2pt;z-index:-251568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" fillcolor="#ffa8e2" strokecolor="#0079a6" strokeweight="2pt">
                <v:fill color2="#ffe4f5" rotate="t" angle="45" colors="0 #ffa8e2;.5 #ffc9ec;1 #ffe4f5" focus="100%" type="gradient"/>
                <v:textbox>
                  <w:txbxContent>
                    <w:p w14:paraId="2DB659B5" w14:textId="77777777" w:rsidR="00EC79BD" w:rsidRPr="00C82688" w:rsidRDefault="00EC79BD" w:rsidP="00EC79BD">
                      <w:pPr>
                        <w:pStyle w:val="Normal4"/>
                        <w:spacing w:before="0" w:beforeAutospacing="0" w:after="0" w:afterAutospacing="0"/>
                        <w:rPr>
                          <w:rFonts w:asciiTheme="minorHAnsi" w:hAnsiTheme="minorHAnsi" w:cs="Calibri"/>
                          <w:b/>
                          <w:bCs/>
                          <w:color w:val="003D7C" w:themeColor="text2"/>
                        </w:rPr>
                      </w:pPr>
                      <w:r w:rsidRPr="00C82688">
                        <w:rPr>
                          <w:rFonts w:asciiTheme="minorHAnsi" w:hAnsiTheme="minorHAnsi" w:cs="Calibri"/>
                          <w:b/>
                          <w:bCs/>
                          <w:color w:val="003D7C" w:themeColor="text2"/>
                        </w:rPr>
                        <w:t>Regelbunden uppföljning är en förutsättning för att lyckas med behandlingen!</w:t>
                      </w:r>
                    </w:p>
                    <w:p w14:paraId="479C3B43" w14:textId="77777777" w:rsidR="00EC79BD" w:rsidRPr="00C82688" w:rsidRDefault="00EC79BD" w:rsidP="00EC79BD">
                      <w:pPr>
                        <w:pStyle w:val="Normal4"/>
                        <w:spacing w:before="0" w:beforeAutospacing="0" w:after="0" w:afterAutospacing="0"/>
                        <w:rPr>
                          <w:rFonts w:asciiTheme="minorHAnsi" w:hAnsiTheme="minorHAnsi" w:cs="Calibri"/>
                          <w:b/>
                          <w:bCs/>
                          <w:color w:val="003D7C" w:themeColor="text2"/>
                        </w:rPr>
                      </w:pPr>
                      <w:r w:rsidRPr="00C82688">
                        <w:rPr>
                          <w:rFonts w:asciiTheme="minorHAnsi" w:hAnsiTheme="minorHAnsi" w:cs="Calibri"/>
                          <w:b/>
                          <w:bCs/>
                          <w:color w:val="003D7C" w:themeColor="text2"/>
                        </w:rPr>
                        <w:t>Inhalationsteknik och följsamhet!</w:t>
                      </w:r>
                    </w:p>
                    <w:p w14:paraId="4F9A5042" w14:textId="77777777" w:rsidR="00EC79BD" w:rsidRPr="00C82688" w:rsidRDefault="00EC79BD" w:rsidP="00EC79BD">
                      <w:pPr>
                        <w:pStyle w:val="Normal4"/>
                        <w:spacing w:before="0" w:beforeAutospacing="0" w:after="0" w:afterAutospacing="0"/>
                        <w:rPr>
                          <w:rFonts w:asciiTheme="minorHAnsi" w:hAnsiTheme="minorHAnsi" w:cs="Calibri"/>
                          <w:b/>
                          <w:bCs/>
                          <w:color w:val="003D7C" w:themeColor="text2"/>
                        </w:rPr>
                      </w:pPr>
                      <w:r w:rsidRPr="00C82688">
                        <w:rPr>
                          <w:rFonts w:asciiTheme="minorHAnsi" w:hAnsiTheme="minorHAnsi" w:cs="Calibri"/>
                          <w:b/>
                          <w:bCs/>
                          <w:color w:val="003D7C" w:themeColor="text2"/>
                        </w:rPr>
                        <w:t xml:space="preserve">Ompröva diagnos vid utebliven behandlingseffekt. </w:t>
                      </w:r>
                    </w:p>
                    <w:p w14:paraId="6E05C26D" w14:textId="77777777" w:rsidR="00EC79BD" w:rsidRDefault="00EC79BD" w:rsidP="00EC79BD">
                      <w:pPr>
                        <w:tabs>
                          <w:tab w:val="clear" w:pos="284"/>
                        </w:tabs>
                        <w:spacing w:after="120" w:line="260" w:lineRule="atLeast"/>
                        <w:rPr>
                          <w:rFonts w:ascii="Calibri" w:eastAsia="Times New Roman" w:hAnsi="Calibri" w:cs="Calibri"/>
                          <w:color w:val="003D7C" w:themeColor="text2"/>
                          <w:szCs w:val="24"/>
                          <w:lang w:eastAsia="sv-SE"/>
                        </w:rPr>
                      </w:pPr>
                      <w:r>
                        <w:rPr>
                          <w:rFonts w:ascii="Calibri" w:hAnsi="Calibri" w:cs="Calibri"/>
                          <w:color w:val="003D7C" w:themeColor="text2"/>
                        </w:rPr>
                        <w:br w:type="page"/>
                      </w:r>
                    </w:p>
                    <w:p w14:paraId="6E00B041" w14:textId="77777777" w:rsidR="00EC79BD" w:rsidRPr="006D1E76" w:rsidRDefault="00EC79BD" w:rsidP="00EC79BD">
                      <w:pPr>
                        <w:rPr>
                          <w:rFonts w:ascii="Calibri" w:hAnsi="Calibri" w:cs="Calibri"/>
                          <w:b/>
                          <w:bCs/>
                          <w:color w:val="003D7C" w:themeColor="accent2"/>
                          <w:szCs w:val="24"/>
                        </w:rPr>
                      </w:pPr>
                    </w:p>
                  </w:txbxContent>
                </v:textbox>
                <w10:wrap anchorx="margin"/>
              </v:roundrect>
            </w:pict>
          </mc:Fallback>
        </mc:AlternateContent>
      </w:r>
      <w:r>
        <w:rPr>
          <w:rStyle w:val="Stark"/>
        </w:rPr>
        <w:br/>
      </w:r>
    </w:p>
    <w:p w14:paraId="189CFD74" w14:textId="77777777" w:rsidR="00EC79BD" w:rsidRDefault="00EC79BD" w:rsidP="00EC79BD">
      <w:pPr>
        <w:rPr>
          <w:rStyle w:val="Stark"/>
        </w:rPr>
      </w:pPr>
    </w:p>
    <w:p w14:paraId="59B417CB" w14:textId="77777777" w:rsidR="00EC79BD" w:rsidRDefault="00EC79BD" w:rsidP="00EC79BD">
      <w:pPr>
        <w:rPr>
          <w:rStyle w:val="Stark"/>
          <w:bCs/>
          <w:sz w:val="24"/>
          <w:szCs w:val="24"/>
        </w:rPr>
      </w:pPr>
    </w:p>
    <w:p w14:paraId="6D01999D" w14:textId="77777777" w:rsidR="00EC79BD" w:rsidRDefault="00EC79BD" w:rsidP="00EC79BD">
      <w:pPr>
        <w:rPr>
          <w:rStyle w:val="Stark"/>
          <w:bCs/>
          <w:sz w:val="24"/>
          <w:szCs w:val="24"/>
        </w:rPr>
      </w:pPr>
    </w:p>
    <w:p w14:paraId="716F1830" w14:textId="77777777" w:rsidR="00EC79BD" w:rsidRDefault="00EC79BD" w:rsidP="00EC79BD">
      <w:pPr>
        <w:rPr>
          <w:rStyle w:val="Stark"/>
          <w:bCs/>
          <w:sz w:val="24"/>
          <w:szCs w:val="24"/>
        </w:rPr>
      </w:pPr>
    </w:p>
    <w:p w14:paraId="4DFFE8E4" w14:textId="77777777" w:rsidR="00EC79BD" w:rsidRDefault="00EC79BD" w:rsidP="00EC79BD">
      <w:pPr>
        <w:rPr>
          <w:rFonts w:asciiTheme="minorHAnsi" w:hAnsiTheme="minorHAnsi" w:cs="Calibri"/>
          <w:color w:val="000000" w:themeColor="text1"/>
        </w:rPr>
      </w:pPr>
      <w:r w:rsidRPr="00F75B02">
        <w:rPr>
          <w:rStyle w:val="Stark"/>
          <w:bCs/>
          <w:sz w:val="24"/>
          <w:szCs w:val="24"/>
        </w:rPr>
        <w:t>Definition</w:t>
      </w:r>
    </w:p>
    <w:p w14:paraId="6D964B9E" w14:textId="77777777" w:rsidR="00EC79BD" w:rsidRPr="00F75B02" w:rsidRDefault="00EC79BD" w:rsidP="00EC79BD">
      <w:pPr>
        <w:pStyle w:val="Normal4"/>
        <w:spacing w:before="0" w:beforeAutospacing="0" w:after="0" w:afterAutospacing="0"/>
        <w:rPr>
          <w:rFonts w:asciiTheme="minorHAnsi" w:hAnsiTheme="minorHAnsi" w:cs="Calibri"/>
          <w:color w:val="000000" w:themeColor="text1"/>
        </w:rPr>
      </w:pPr>
      <w:r w:rsidRPr="00F75B02">
        <w:rPr>
          <w:rFonts w:asciiTheme="minorHAnsi" w:hAnsiTheme="minorHAnsi" w:cs="Calibri"/>
          <w:color w:val="000000" w:themeColor="text1"/>
        </w:rPr>
        <w:t>Astma är ett tillstånd med variabel luftvägsobstruktion som förändras över tid och är ofta kopplat till bronkiell hyperaktivitet. Av definitionen framgår att diagnosen kräver upprepade besvär, dvs de bör ha förekommit mer än en gång. Astmabesvär kan utlösas av förkylning, allergen, ansträngning och andra triggerfaktorer.</w:t>
      </w:r>
    </w:p>
    <w:p w14:paraId="39DFCF9B" w14:textId="77777777" w:rsidR="00EC79BD" w:rsidRDefault="00EC79BD" w:rsidP="00EC79BD">
      <w:pPr>
        <w:rPr>
          <w:rStyle w:val="Stark"/>
        </w:rPr>
      </w:pPr>
      <w:bookmarkStart w:id="8" w:name="_Toc150457944"/>
    </w:p>
    <w:bookmarkEnd w:id="8"/>
    <w:p w14:paraId="5A2C33AA" w14:textId="77777777" w:rsidR="00EC79BD" w:rsidRDefault="00EC79BD" w:rsidP="00EC79BD">
      <w:pPr>
        <w:rPr>
          <w:rStyle w:val="Stark"/>
          <w:bCs/>
          <w:sz w:val="24"/>
          <w:szCs w:val="24"/>
        </w:rPr>
      </w:pPr>
    </w:p>
    <w:p w14:paraId="6CC6F019" w14:textId="77777777" w:rsidR="00EC79BD" w:rsidRPr="00F75B02" w:rsidRDefault="00EC79BD" w:rsidP="00EC79BD">
      <w:pPr>
        <w:rPr>
          <w:rStyle w:val="Stark"/>
          <w:bCs/>
          <w:sz w:val="24"/>
          <w:szCs w:val="24"/>
        </w:rPr>
      </w:pPr>
      <w:r w:rsidRPr="00F75B02">
        <w:rPr>
          <w:rStyle w:val="Stark"/>
          <w:bCs/>
          <w:sz w:val="24"/>
          <w:szCs w:val="24"/>
        </w:rPr>
        <w:t>Epidemiologi</w:t>
      </w:r>
    </w:p>
    <w:p w14:paraId="26F5EC24" w14:textId="77777777" w:rsidR="00EC79BD" w:rsidRPr="000C17EB" w:rsidRDefault="00EC79BD" w:rsidP="00EC79BD">
      <w:pPr>
        <w:pStyle w:val="Normal4"/>
        <w:numPr>
          <w:ilvl w:val="0"/>
          <w:numId w:val="70"/>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 xml:space="preserve"> Risken för astma ökar vid annan allergisk sjukdom, sensibilisering och astma hos förstagradssläkting. </w:t>
      </w:r>
    </w:p>
    <w:p w14:paraId="4370DAB3" w14:textId="77777777" w:rsidR="00EC79BD" w:rsidRPr="000C17EB" w:rsidRDefault="00EC79BD" w:rsidP="00EC79BD">
      <w:pPr>
        <w:pStyle w:val="Normal4"/>
        <w:numPr>
          <w:ilvl w:val="0"/>
          <w:numId w:val="70"/>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 xml:space="preserve">20-30% av alla barn har någon obstruktiv episod före 2 års ålder. </w:t>
      </w:r>
    </w:p>
    <w:p w14:paraId="5B82D2A7" w14:textId="77777777" w:rsidR="00EC79BD" w:rsidRPr="000C17EB" w:rsidRDefault="00EC79BD" w:rsidP="00EC79BD">
      <w:pPr>
        <w:pStyle w:val="Normal4"/>
        <w:numPr>
          <w:ilvl w:val="0"/>
          <w:numId w:val="70"/>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 xml:space="preserve">Majoriteten av barn &lt;6 år med astma blir besvärsfria på sikt även om det finns en ökad risk för astma upp i vuxen ålder. </w:t>
      </w:r>
    </w:p>
    <w:p w14:paraId="44D83167" w14:textId="77777777" w:rsidR="00EC79BD" w:rsidRPr="000C17EB" w:rsidRDefault="00EC79BD" w:rsidP="00EC79BD">
      <w:pPr>
        <w:pStyle w:val="Normal4"/>
        <w:numPr>
          <w:ilvl w:val="0"/>
          <w:numId w:val="70"/>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5-7% av barn i tidig skolålder och 8-10% av tonåringar har astma.</w:t>
      </w:r>
    </w:p>
    <w:p w14:paraId="34EC0300" w14:textId="77777777" w:rsidR="00EC79BD" w:rsidRDefault="00EC79BD" w:rsidP="00EC79BD">
      <w:pPr>
        <w:pStyle w:val="Normal4"/>
        <w:numPr>
          <w:ilvl w:val="0"/>
          <w:numId w:val="70"/>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 xml:space="preserve">Astma är vanligare hos pojkar upp till skolåldern, men från tonåren är det vanligare hos flickor. </w:t>
      </w:r>
    </w:p>
    <w:p w14:paraId="5D3BF4E2" w14:textId="77777777" w:rsidR="00EC79BD" w:rsidRPr="00E05713" w:rsidRDefault="00EC79BD" w:rsidP="00EC79BD">
      <w:pPr>
        <w:tabs>
          <w:tab w:val="clear" w:pos="284"/>
        </w:tabs>
        <w:spacing w:after="120" w:line="260" w:lineRule="atLeast"/>
        <w:rPr>
          <w:rFonts w:asciiTheme="minorHAnsi" w:eastAsia="Times New Roman" w:hAnsiTheme="minorHAnsi" w:cs="Calibri"/>
          <w:color w:val="000000" w:themeColor="text1"/>
          <w:sz w:val="24"/>
          <w:szCs w:val="24"/>
          <w:lang w:eastAsia="sv-SE"/>
        </w:rPr>
      </w:pPr>
      <w:r>
        <w:rPr>
          <w:rFonts w:asciiTheme="minorHAnsi" w:hAnsiTheme="minorHAnsi" w:cs="Calibri"/>
          <w:color w:val="000000" w:themeColor="text1"/>
        </w:rPr>
        <w:br w:type="page"/>
      </w:r>
    </w:p>
    <w:p w14:paraId="602E72CB" w14:textId="77777777" w:rsidR="00EC79BD" w:rsidRDefault="00EC79BD" w:rsidP="00EC79BD">
      <w:pPr>
        <w:tabs>
          <w:tab w:val="clear" w:pos="284"/>
        </w:tabs>
        <w:spacing w:after="120" w:line="260" w:lineRule="atLeast"/>
        <w:rPr>
          <w:rFonts w:asciiTheme="minorHAnsi" w:hAnsiTheme="minorHAnsi" w:cs="Calibri"/>
          <w:color w:val="000000" w:themeColor="text1"/>
        </w:rPr>
      </w:pPr>
    </w:p>
    <w:p w14:paraId="70F6B6C7" w14:textId="77777777" w:rsidR="00EC79BD" w:rsidRPr="00F75B02" w:rsidRDefault="00EC79BD" w:rsidP="00EC79BD">
      <w:pPr>
        <w:rPr>
          <w:rStyle w:val="Stark"/>
          <w:bCs/>
          <w:sz w:val="24"/>
          <w:szCs w:val="24"/>
        </w:rPr>
      </w:pPr>
      <w:r w:rsidRPr="00F75B02">
        <w:rPr>
          <w:rStyle w:val="Stark"/>
          <w:bCs/>
          <w:sz w:val="24"/>
          <w:szCs w:val="24"/>
        </w:rPr>
        <w:t>Vårdnivå</w:t>
      </w:r>
    </w:p>
    <w:p w14:paraId="43CED2C0" w14:textId="77777777" w:rsidR="00EC79BD" w:rsidRPr="00F75B02" w:rsidRDefault="00EC79BD" w:rsidP="00EC79BD">
      <w:pPr>
        <w:pStyle w:val="Normal4"/>
        <w:spacing w:before="0" w:beforeAutospacing="0" w:after="0" w:afterAutospacing="0"/>
        <w:rPr>
          <w:rFonts w:asciiTheme="minorHAnsi" w:hAnsiTheme="minorHAnsi" w:cs="Calibri"/>
          <w:color w:val="000000" w:themeColor="text1"/>
        </w:rPr>
      </w:pPr>
      <w:r w:rsidRPr="00F75B02">
        <w:rPr>
          <w:rFonts w:asciiTheme="minorHAnsi" w:hAnsiTheme="minorHAnsi" w:cs="Calibri"/>
          <w:color w:val="000000" w:themeColor="text1"/>
        </w:rPr>
        <w:t>Som en generell riktlinje från Läkemedelsverket kan barn med lindriga besvär och äldre barn ofta utredas och följas i primärvården, medan yngre barn och barn med mer uttalade besvär utreds och följs på barnklinik</w:t>
      </w:r>
      <w:r>
        <w:rPr>
          <w:rFonts w:asciiTheme="minorHAnsi" w:hAnsiTheme="minorHAnsi" w:cs="Calibri"/>
          <w:color w:val="000000" w:themeColor="text1"/>
        </w:rPr>
        <w:t xml:space="preserve">. </w:t>
      </w:r>
      <w:r w:rsidRPr="00F75B02">
        <w:rPr>
          <w:rFonts w:asciiTheme="minorHAnsi" w:hAnsiTheme="minorHAnsi" w:cs="Calibri"/>
          <w:color w:val="000000" w:themeColor="text1"/>
        </w:rPr>
        <w:t>I region Blekinge har barnallergiteamet i samråd med primärvårdens kvalitetsråd enats om följande</w:t>
      </w:r>
    </w:p>
    <w:p w14:paraId="7077DD4C" w14:textId="77777777" w:rsidR="00EC79BD" w:rsidRPr="000C17EB" w:rsidRDefault="00EC79BD" w:rsidP="00EC79BD">
      <w:pPr>
        <w:pStyle w:val="Normal4"/>
        <w:spacing w:before="0" w:beforeAutospacing="0" w:after="0" w:afterAutospacing="0"/>
        <w:rPr>
          <w:rFonts w:asciiTheme="minorHAnsi" w:hAnsiTheme="minorHAnsi" w:cs="Calibri"/>
          <w:color w:val="000000" w:themeColor="text1"/>
        </w:rPr>
      </w:pPr>
    </w:p>
    <w:p w14:paraId="4171ACBD" w14:textId="77777777" w:rsidR="00EC79BD" w:rsidRPr="000C17EB" w:rsidRDefault="00EC79BD" w:rsidP="00EC79BD">
      <w:pPr>
        <w:pStyle w:val="Normal4"/>
        <w:numPr>
          <w:ilvl w:val="0"/>
          <w:numId w:val="71"/>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 xml:space="preserve">Barn som kan följas/utredas i primärvård: </w:t>
      </w:r>
    </w:p>
    <w:p w14:paraId="40FC9984" w14:textId="77777777" w:rsidR="00EC79BD" w:rsidRPr="000C17EB" w:rsidRDefault="00EC79BD" w:rsidP="00EC79BD">
      <w:pPr>
        <w:pStyle w:val="Normal4"/>
        <w:numPr>
          <w:ilvl w:val="1"/>
          <w:numId w:val="71"/>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 xml:space="preserve">Barn från cirka 7 års ålder med lindrig till måttligt svår astma </w:t>
      </w:r>
      <w:r>
        <w:rPr>
          <w:rFonts w:asciiTheme="minorHAnsi" w:hAnsiTheme="minorHAnsi" w:cs="Calibri"/>
          <w:color w:val="000000" w:themeColor="text1"/>
        </w:rPr>
        <w:br/>
      </w:r>
      <w:r w:rsidRPr="000C17EB">
        <w:rPr>
          <w:rFonts w:asciiTheme="minorHAnsi" w:hAnsiTheme="minorHAnsi" w:cs="Calibri"/>
          <w:color w:val="000000" w:themeColor="text1"/>
        </w:rPr>
        <w:t xml:space="preserve">(steg 1-3 i </w:t>
      </w:r>
      <w:hyperlink w:anchor="_Behandlingstrappan_6-11_år" w:history="1">
        <w:r w:rsidRPr="00614F15">
          <w:rPr>
            <w:rStyle w:val="Hyperlnk"/>
            <w:rFonts w:asciiTheme="minorHAnsi" w:hAnsiTheme="minorHAnsi" w:cs="Calibri"/>
            <w:color w:val="B46400" w:themeColor="accent6" w:themeShade="BF"/>
            <w:shd w:val="clear" w:color="auto" w:fill="FFFFFF" w:themeFill="background1"/>
          </w:rPr>
          <w:t>behandlingstrappan</w:t>
        </w:r>
      </w:hyperlink>
      <w:r w:rsidRPr="000C17EB">
        <w:rPr>
          <w:rFonts w:asciiTheme="minorHAnsi" w:hAnsiTheme="minorHAnsi" w:cs="Calibri"/>
          <w:color w:val="000000" w:themeColor="text1"/>
        </w:rPr>
        <w:t>)</w:t>
      </w:r>
    </w:p>
    <w:p w14:paraId="359A220A" w14:textId="77777777" w:rsidR="00EC79BD" w:rsidRPr="000C17EB" w:rsidRDefault="00EC79BD" w:rsidP="00EC79BD">
      <w:pPr>
        <w:pStyle w:val="Normal4"/>
        <w:numPr>
          <w:ilvl w:val="1"/>
          <w:numId w:val="71"/>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 xml:space="preserve">Barn från 1 år med förkylningsastma utan behov av kontinuerlig behandling och som blir helt bra mellan infektioner. </w:t>
      </w:r>
    </w:p>
    <w:p w14:paraId="75189F3D" w14:textId="77777777" w:rsidR="00EC79BD" w:rsidRPr="000C17EB" w:rsidRDefault="00EC79BD" w:rsidP="00EC79BD">
      <w:pPr>
        <w:pStyle w:val="Normal4"/>
        <w:numPr>
          <w:ilvl w:val="0"/>
          <w:numId w:val="71"/>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 xml:space="preserve">Barnklinik: </w:t>
      </w:r>
    </w:p>
    <w:p w14:paraId="4CA1DD8C" w14:textId="77777777" w:rsidR="00EC79BD" w:rsidRDefault="00EC79BD" w:rsidP="00EC79BD">
      <w:pPr>
        <w:pStyle w:val="Normal4"/>
        <w:numPr>
          <w:ilvl w:val="1"/>
          <w:numId w:val="71"/>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Övriga barn bör remitteras/utredas och följas på barnklinik.</w:t>
      </w:r>
    </w:p>
    <w:p w14:paraId="78BD1D65" w14:textId="77777777" w:rsidR="00EC79BD" w:rsidRPr="00F75B02" w:rsidRDefault="00EC79BD" w:rsidP="00EC79BD">
      <w:pPr>
        <w:rPr>
          <w:rStyle w:val="Stark"/>
          <w:bCs/>
          <w:sz w:val="24"/>
          <w:szCs w:val="24"/>
        </w:rPr>
      </w:pPr>
      <w:r w:rsidRPr="00F75B02">
        <w:rPr>
          <w:rStyle w:val="Stark"/>
          <w:bCs/>
          <w:sz w:val="24"/>
          <w:szCs w:val="24"/>
        </w:rPr>
        <w:t>Astmaklassificering/fenotyper hos barn</w:t>
      </w:r>
    </w:p>
    <w:p w14:paraId="0A1DAE38" w14:textId="77777777" w:rsidR="00EC79BD" w:rsidRPr="00094752" w:rsidRDefault="00EC79BD" w:rsidP="00EC79BD">
      <w:pPr>
        <w:rPr>
          <w:rStyle w:val="Stark"/>
          <w:b w:val="0"/>
          <w:bCs/>
        </w:rPr>
      </w:pPr>
    </w:p>
    <w:tbl>
      <w:tblPr>
        <w:tblStyle w:val="Rutntstabell3dekorfrg1"/>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3097"/>
        <w:gridCol w:w="4023"/>
      </w:tblGrid>
      <w:tr w:rsidR="00EC79BD" w:rsidRPr="000C17EB" w14:paraId="0DE97C81" w14:textId="77777777" w:rsidTr="00632FCC">
        <w:trPr>
          <w:cnfStyle w:val="100000000000" w:firstRow="1" w:lastRow="0" w:firstColumn="0" w:lastColumn="0" w:oddVBand="0" w:evenVBand="0" w:oddHBand="0" w:evenHBand="0" w:firstRowFirstColumn="0" w:firstRowLastColumn="0" w:lastRowFirstColumn="0" w:lastRowLastColumn="0"/>
          <w:trHeight w:val="213"/>
        </w:trPr>
        <w:tc>
          <w:tcPr>
            <w:cnfStyle w:val="001000000100" w:firstRow="0" w:lastRow="0" w:firstColumn="1" w:lastColumn="0" w:oddVBand="0" w:evenVBand="0" w:oddHBand="0" w:evenHBand="0" w:firstRowFirstColumn="1" w:firstRowLastColumn="0" w:lastRowFirstColumn="0" w:lastRowLastColumn="0"/>
            <w:tcW w:w="2585" w:type="dxa"/>
            <w:tcBorders>
              <w:top w:val="none" w:sz="0" w:space="0" w:color="auto"/>
              <w:left w:val="none" w:sz="0" w:space="0" w:color="auto"/>
              <w:bottom w:val="none" w:sz="0" w:space="0" w:color="auto"/>
              <w:right w:val="none" w:sz="0" w:space="0" w:color="auto"/>
            </w:tcBorders>
          </w:tcPr>
          <w:p w14:paraId="2FB15E01" w14:textId="77777777" w:rsidR="00EC79BD" w:rsidRPr="00CB5DA8" w:rsidRDefault="00EC79BD" w:rsidP="00632FCC">
            <w:pPr>
              <w:rPr>
                <w:rStyle w:val="Stark"/>
                <w:rFonts w:asciiTheme="minorHAnsi" w:hAnsiTheme="minorHAnsi"/>
                <w:i w:val="0"/>
                <w:iCs w:val="0"/>
                <w:color w:val="003D7C" w:themeColor="text2"/>
              </w:rPr>
            </w:pPr>
            <w:r w:rsidRPr="00CB5DA8">
              <w:rPr>
                <w:rStyle w:val="Stark"/>
                <w:rFonts w:asciiTheme="minorHAnsi" w:hAnsiTheme="minorHAnsi"/>
                <w:i w:val="0"/>
                <w:color w:val="003D7C" w:themeColor="text2"/>
              </w:rPr>
              <w:t xml:space="preserve">Fenotyp   </w:t>
            </w:r>
          </w:p>
        </w:tc>
        <w:tc>
          <w:tcPr>
            <w:tcW w:w="3097" w:type="dxa"/>
            <w:tcBorders>
              <w:top w:val="none" w:sz="0" w:space="0" w:color="auto"/>
              <w:left w:val="none" w:sz="0" w:space="0" w:color="auto"/>
              <w:right w:val="none" w:sz="0" w:space="0" w:color="auto"/>
            </w:tcBorders>
          </w:tcPr>
          <w:p w14:paraId="42702707" w14:textId="77777777" w:rsidR="00EC79BD" w:rsidRPr="00CB5DA8" w:rsidRDefault="00EC79BD" w:rsidP="00632FCC">
            <w:pPr>
              <w:cnfStyle w:val="100000000000" w:firstRow="1" w:lastRow="0" w:firstColumn="0" w:lastColumn="0" w:oddVBand="0" w:evenVBand="0" w:oddHBand="0" w:evenHBand="0" w:firstRowFirstColumn="0" w:firstRowLastColumn="0" w:lastRowFirstColumn="0" w:lastRowLastColumn="0"/>
              <w:rPr>
                <w:rStyle w:val="Stark"/>
                <w:rFonts w:asciiTheme="minorHAnsi" w:hAnsiTheme="minorHAnsi"/>
                <w:color w:val="003D7C" w:themeColor="text2"/>
              </w:rPr>
            </w:pPr>
            <w:r w:rsidRPr="00CB5DA8">
              <w:rPr>
                <w:rStyle w:val="Stark"/>
                <w:rFonts w:asciiTheme="minorHAnsi" w:hAnsiTheme="minorHAnsi"/>
                <w:color w:val="003D7C" w:themeColor="text2"/>
              </w:rPr>
              <w:t xml:space="preserve">Definition </w:t>
            </w:r>
          </w:p>
        </w:tc>
        <w:tc>
          <w:tcPr>
            <w:tcW w:w="4023" w:type="dxa"/>
            <w:tcBorders>
              <w:top w:val="none" w:sz="0" w:space="0" w:color="auto"/>
              <w:left w:val="none" w:sz="0" w:space="0" w:color="auto"/>
              <w:right w:val="none" w:sz="0" w:space="0" w:color="auto"/>
            </w:tcBorders>
          </w:tcPr>
          <w:p w14:paraId="63960923" w14:textId="77777777" w:rsidR="00EC79BD" w:rsidRPr="00CB5DA8" w:rsidRDefault="00EC79BD" w:rsidP="00632FCC">
            <w:pPr>
              <w:cnfStyle w:val="100000000000" w:firstRow="1" w:lastRow="0" w:firstColumn="0" w:lastColumn="0" w:oddVBand="0" w:evenVBand="0" w:oddHBand="0" w:evenHBand="0" w:firstRowFirstColumn="0" w:firstRowLastColumn="0" w:lastRowFirstColumn="0" w:lastRowLastColumn="0"/>
              <w:rPr>
                <w:rStyle w:val="Stark"/>
                <w:rFonts w:asciiTheme="minorHAnsi" w:hAnsiTheme="minorHAnsi"/>
                <w:color w:val="003D7C" w:themeColor="text2"/>
              </w:rPr>
            </w:pPr>
            <w:r w:rsidRPr="00CB5DA8">
              <w:rPr>
                <w:rStyle w:val="Stark"/>
                <w:rFonts w:asciiTheme="minorHAnsi" w:hAnsiTheme="minorHAnsi"/>
                <w:color w:val="003D7C" w:themeColor="text2"/>
              </w:rPr>
              <w:t xml:space="preserve">Presentation  </w:t>
            </w:r>
          </w:p>
        </w:tc>
      </w:tr>
      <w:tr w:rsidR="00EC79BD" w:rsidRPr="00A17773" w14:paraId="76E0A1E7" w14:textId="77777777" w:rsidTr="00632FCC">
        <w:trPr>
          <w:cnfStyle w:val="000000100000" w:firstRow="0" w:lastRow="0" w:firstColumn="0" w:lastColumn="0" w:oddVBand="0" w:evenVBand="0" w:oddHBand="1" w:evenHBand="0" w:firstRowFirstColumn="0" w:firstRowLastColumn="0" w:lastRowFirstColumn="0" w:lastRowLastColumn="0"/>
          <w:trHeight w:val="1724"/>
        </w:trPr>
        <w:tc>
          <w:tcPr>
            <w:cnfStyle w:val="001000000000" w:firstRow="0" w:lastRow="0" w:firstColumn="1" w:lastColumn="0" w:oddVBand="0" w:evenVBand="0" w:oddHBand="0" w:evenHBand="0" w:firstRowFirstColumn="0" w:firstRowLastColumn="0" w:lastRowFirstColumn="0" w:lastRowLastColumn="0"/>
            <w:tcW w:w="2585" w:type="dxa"/>
            <w:tcBorders>
              <w:top w:val="none" w:sz="0" w:space="0" w:color="auto"/>
              <w:left w:val="none" w:sz="0" w:space="0" w:color="auto"/>
              <w:bottom w:val="none" w:sz="0" w:space="0" w:color="auto"/>
            </w:tcBorders>
          </w:tcPr>
          <w:p w14:paraId="515A0CD8" w14:textId="77777777" w:rsidR="00EC79BD" w:rsidRPr="00A17773" w:rsidRDefault="00EC79BD" w:rsidP="00632FCC">
            <w:pPr>
              <w:rPr>
                <w:rStyle w:val="Stark"/>
                <w:rFonts w:asciiTheme="minorHAnsi" w:hAnsiTheme="minorHAnsi"/>
                <w:b w:val="0"/>
                <w:bCs/>
                <w:color w:val="003D7C" w:themeColor="text2"/>
              </w:rPr>
            </w:pPr>
            <w:r w:rsidRPr="00A17773">
              <w:rPr>
                <w:rStyle w:val="Stark"/>
                <w:rFonts w:asciiTheme="minorHAnsi" w:hAnsiTheme="minorHAnsi"/>
                <w:b w:val="0"/>
                <w:color w:val="003D7C" w:themeColor="text2"/>
              </w:rPr>
              <w:t>Allergisk astma J45.0</w:t>
            </w:r>
          </w:p>
        </w:tc>
        <w:tc>
          <w:tcPr>
            <w:tcW w:w="3097" w:type="dxa"/>
          </w:tcPr>
          <w:p w14:paraId="06ABAC37" w14:textId="77777777" w:rsidR="00EC79BD" w:rsidRPr="00A17773" w:rsidRDefault="00EC79BD" w:rsidP="00632FCC">
            <w:pPr>
              <w:cnfStyle w:val="000000100000" w:firstRow="0" w:lastRow="0" w:firstColumn="0" w:lastColumn="0" w:oddVBand="0" w:evenVBand="0" w:oddHBand="1"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 xml:space="preserve">Allergisk läggning* föreligger och symptom framkallas huvudsakligen vid allergenexponering. </w:t>
            </w:r>
          </w:p>
        </w:tc>
        <w:tc>
          <w:tcPr>
            <w:tcW w:w="4023" w:type="dxa"/>
          </w:tcPr>
          <w:p w14:paraId="02FA631F" w14:textId="77777777" w:rsidR="00EC79BD" w:rsidRPr="00A17773" w:rsidRDefault="00EC79BD" w:rsidP="00632FCC">
            <w:pPr>
              <w:cnfStyle w:val="000000100000" w:firstRow="0" w:lastRow="0" w:firstColumn="0" w:lastColumn="0" w:oddVBand="0" w:evenVBand="0" w:oddHBand="1"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 xml:space="preserve">Vanligast bland skolbarn och tonåringar. </w:t>
            </w:r>
            <w:r w:rsidRPr="00A17773">
              <w:rPr>
                <w:rStyle w:val="Stark"/>
                <w:rFonts w:asciiTheme="minorHAnsi" w:hAnsiTheme="minorHAnsi"/>
                <w:color w:val="003D7C" w:themeColor="text2"/>
              </w:rPr>
              <w:br/>
              <w:t xml:space="preserve">Orsakas av inflammation i luftvägarna och svarar oftast bra på </w:t>
            </w:r>
            <w:hyperlink w:anchor="_ORDLISTA" w:history="1">
              <w:r w:rsidRPr="00A17773">
                <w:rPr>
                  <w:rStyle w:val="Stark"/>
                  <w:rFonts w:asciiTheme="minorHAnsi" w:hAnsiTheme="minorHAnsi"/>
                  <w:color w:val="003D7C" w:themeColor="text2"/>
                </w:rPr>
                <w:t>ICS</w:t>
              </w:r>
            </w:hyperlink>
            <w:r w:rsidRPr="00A17773">
              <w:rPr>
                <w:rStyle w:val="Stark"/>
                <w:rFonts w:asciiTheme="minorHAnsi" w:hAnsiTheme="minorHAnsi"/>
                <w:color w:val="003D7C" w:themeColor="text2"/>
              </w:rPr>
              <w:t>.</w:t>
            </w:r>
          </w:p>
          <w:p w14:paraId="5AB94505" w14:textId="77777777" w:rsidR="00EC79BD" w:rsidRPr="00A17773" w:rsidRDefault="00EC79BD" w:rsidP="00632FCC">
            <w:pPr>
              <w:cnfStyle w:val="000000100000" w:firstRow="0" w:lastRow="0" w:firstColumn="0" w:lastColumn="0" w:oddVBand="0" w:evenVBand="0" w:oddHBand="1"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Besvären kommer vid exponering för olika allergener (pollen, pälsdjur et cetera).</w:t>
            </w:r>
          </w:p>
          <w:p w14:paraId="1099C9D5" w14:textId="77777777" w:rsidR="00EC79BD" w:rsidRPr="00A17773" w:rsidRDefault="00EC79BD" w:rsidP="00632FCC">
            <w:pPr>
              <w:cnfStyle w:val="000000100000" w:firstRow="0" w:lastRow="0" w:firstColumn="0" w:lastColumn="0" w:oddVBand="0" w:evenVBand="0" w:oddHBand="1"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 xml:space="preserve">Ansträngning, kyla eller rök kan orsaka besvär om astman är dåligt kontrollerad </w:t>
            </w:r>
          </w:p>
        </w:tc>
      </w:tr>
      <w:tr w:rsidR="00EC79BD" w:rsidRPr="00A17773" w14:paraId="031FAF30" w14:textId="77777777" w:rsidTr="00632FCC">
        <w:trPr>
          <w:trHeight w:val="859"/>
        </w:trPr>
        <w:tc>
          <w:tcPr>
            <w:cnfStyle w:val="001000000000" w:firstRow="0" w:lastRow="0" w:firstColumn="1" w:lastColumn="0" w:oddVBand="0" w:evenVBand="0" w:oddHBand="0" w:evenHBand="0" w:firstRowFirstColumn="0" w:firstRowLastColumn="0" w:lastRowFirstColumn="0" w:lastRowLastColumn="0"/>
            <w:tcW w:w="2585" w:type="dxa"/>
            <w:tcBorders>
              <w:top w:val="none" w:sz="0" w:space="0" w:color="auto"/>
              <w:left w:val="none" w:sz="0" w:space="0" w:color="auto"/>
              <w:bottom w:val="none" w:sz="0" w:space="0" w:color="auto"/>
            </w:tcBorders>
          </w:tcPr>
          <w:p w14:paraId="22B01D98" w14:textId="77777777" w:rsidR="00EC79BD" w:rsidRPr="00FB6EEE" w:rsidRDefault="00EC79BD" w:rsidP="00632FCC">
            <w:pPr>
              <w:rPr>
                <w:rStyle w:val="Stark"/>
                <w:rFonts w:asciiTheme="minorHAnsi" w:hAnsiTheme="minorHAnsi"/>
                <w:b w:val="0"/>
                <w:bCs/>
                <w:color w:val="003D7C" w:themeColor="text2"/>
              </w:rPr>
            </w:pPr>
            <w:r w:rsidRPr="00FB6EEE">
              <w:rPr>
                <w:rStyle w:val="Stark"/>
                <w:rFonts w:asciiTheme="minorHAnsi" w:hAnsiTheme="minorHAnsi"/>
                <w:b w:val="0"/>
                <w:color w:val="003D7C" w:themeColor="text2"/>
              </w:rPr>
              <w:t>Förkylningsastma J45.1</w:t>
            </w:r>
          </w:p>
        </w:tc>
        <w:tc>
          <w:tcPr>
            <w:tcW w:w="3097" w:type="dxa"/>
          </w:tcPr>
          <w:p w14:paraId="596C21AA" w14:textId="77777777" w:rsidR="00EC79BD" w:rsidRPr="00A17773" w:rsidRDefault="00EC79BD" w:rsidP="00632FCC">
            <w:pPr>
              <w:cnfStyle w:val="000000000000" w:firstRow="0" w:lastRow="0" w:firstColumn="0" w:lastColumn="0" w:oddVBand="0" w:evenVBand="0" w:oddHBand="0"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Astma utan allergisk läggning* där symptom framkallas av förkylning.</w:t>
            </w:r>
          </w:p>
        </w:tc>
        <w:tc>
          <w:tcPr>
            <w:tcW w:w="4023" w:type="dxa"/>
          </w:tcPr>
          <w:p w14:paraId="2454619C" w14:textId="77777777" w:rsidR="00EC79BD" w:rsidRPr="00A17773" w:rsidRDefault="00EC79BD" w:rsidP="00632FCC">
            <w:pPr>
              <w:cnfStyle w:val="000000000000" w:firstRow="0" w:lastRow="0" w:firstColumn="0" w:lastColumn="0" w:oddVBand="0" w:evenVBand="0" w:oddHBand="0"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 xml:space="preserve">Brukar debutera före ett års ålder och ”växer bort”, ofta före tre års ålder. </w:t>
            </w:r>
          </w:p>
          <w:p w14:paraId="543151E5" w14:textId="77777777" w:rsidR="00EC79BD" w:rsidRPr="00A17773" w:rsidRDefault="00EC79BD" w:rsidP="00632FCC">
            <w:pPr>
              <w:cnfStyle w:val="000000000000" w:firstRow="0" w:lastRow="0" w:firstColumn="0" w:lastColumn="0" w:oddVBand="0" w:evenVBand="0" w:oddHBand="0"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 xml:space="preserve">Symptomfrihet mellan virusutlösta obstruktiva episoder.  </w:t>
            </w:r>
          </w:p>
        </w:tc>
      </w:tr>
      <w:tr w:rsidR="00EC79BD" w:rsidRPr="00A17773" w14:paraId="62D7BCD3" w14:textId="77777777" w:rsidTr="00632FCC">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2585" w:type="dxa"/>
            <w:tcBorders>
              <w:top w:val="none" w:sz="0" w:space="0" w:color="auto"/>
              <w:left w:val="none" w:sz="0" w:space="0" w:color="auto"/>
              <w:bottom w:val="none" w:sz="0" w:space="0" w:color="auto"/>
            </w:tcBorders>
          </w:tcPr>
          <w:p w14:paraId="7190749D" w14:textId="77777777" w:rsidR="00EC79BD" w:rsidRPr="00A17773" w:rsidRDefault="00EC79BD" w:rsidP="00632FCC">
            <w:pPr>
              <w:rPr>
                <w:rStyle w:val="Stark"/>
                <w:rFonts w:asciiTheme="minorHAnsi" w:hAnsiTheme="minorHAnsi"/>
                <w:b w:val="0"/>
                <w:bCs/>
                <w:color w:val="003D7C" w:themeColor="text2"/>
              </w:rPr>
            </w:pPr>
            <w:r w:rsidRPr="00A17773">
              <w:rPr>
                <w:rStyle w:val="Stark"/>
                <w:rFonts w:asciiTheme="minorHAnsi" w:hAnsiTheme="minorHAnsi"/>
                <w:b w:val="0"/>
                <w:color w:val="003D7C" w:themeColor="text2"/>
              </w:rPr>
              <w:t>Blandad astma J45.8</w:t>
            </w:r>
          </w:p>
        </w:tc>
        <w:tc>
          <w:tcPr>
            <w:tcW w:w="3097" w:type="dxa"/>
          </w:tcPr>
          <w:p w14:paraId="4DD6A35F" w14:textId="77777777" w:rsidR="00EC79BD" w:rsidRPr="00A17773" w:rsidRDefault="00EC79BD" w:rsidP="00632FCC">
            <w:pPr>
              <w:cnfStyle w:val="000000100000" w:firstRow="0" w:lastRow="0" w:firstColumn="0" w:lastColumn="0" w:oddVBand="0" w:evenVBand="0" w:oddHBand="1"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Astma med allergisk läggning* där symptom också framkallas av förkylning</w:t>
            </w:r>
          </w:p>
        </w:tc>
        <w:tc>
          <w:tcPr>
            <w:tcW w:w="4023" w:type="dxa"/>
          </w:tcPr>
          <w:p w14:paraId="3E46597D" w14:textId="77777777" w:rsidR="00EC79BD" w:rsidRPr="00A17773" w:rsidRDefault="00EC79BD" w:rsidP="00632FCC">
            <w:pPr>
              <w:cnfStyle w:val="000000100000" w:firstRow="0" w:lastRow="0" w:firstColumn="0" w:lastColumn="0" w:oddVBand="0" w:evenVBand="0" w:oddHBand="1"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 xml:space="preserve">Svarar oftast bra på </w:t>
            </w:r>
            <w:hyperlink w:anchor="_ORDLISTA" w:history="1">
              <w:r w:rsidRPr="00A17773">
                <w:rPr>
                  <w:rStyle w:val="Stark"/>
                  <w:rFonts w:asciiTheme="minorHAnsi" w:hAnsiTheme="minorHAnsi"/>
                  <w:color w:val="003D7C" w:themeColor="text2"/>
                </w:rPr>
                <w:t>ICS</w:t>
              </w:r>
            </w:hyperlink>
            <w:r w:rsidRPr="00A17773">
              <w:rPr>
                <w:rStyle w:val="Stark"/>
                <w:rFonts w:asciiTheme="minorHAnsi" w:hAnsiTheme="minorHAnsi"/>
                <w:color w:val="003D7C" w:themeColor="text2"/>
              </w:rPr>
              <w:t>.</w:t>
            </w:r>
          </w:p>
          <w:p w14:paraId="2BE3F26B" w14:textId="77777777" w:rsidR="00EC79BD" w:rsidRPr="00A17773" w:rsidRDefault="00EC79BD" w:rsidP="00632FCC">
            <w:pPr>
              <w:cnfStyle w:val="000000100000" w:firstRow="0" w:lastRow="0" w:firstColumn="0" w:lastColumn="0" w:oddVBand="0" w:evenVBand="0" w:oddHBand="1"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Ansträngning, kyla eller rök kan orsaka besvär om astman är dåligt kontrollerad</w:t>
            </w:r>
          </w:p>
        </w:tc>
      </w:tr>
      <w:tr w:rsidR="00EC79BD" w:rsidRPr="00A17773" w14:paraId="34D3C5BF" w14:textId="77777777" w:rsidTr="00632FCC">
        <w:trPr>
          <w:trHeight w:val="1403"/>
        </w:trPr>
        <w:tc>
          <w:tcPr>
            <w:cnfStyle w:val="001000000000" w:firstRow="0" w:lastRow="0" w:firstColumn="1" w:lastColumn="0" w:oddVBand="0" w:evenVBand="0" w:oddHBand="0" w:evenHBand="0" w:firstRowFirstColumn="0" w:firstRowLastColumn="0" w:lastRowFirstColumn="0" w:lastRowLastColumn="0"/>
            <w:tcW w:w="2585" w:type="dxa"/>
            <w:tcBorders>
              <w:top w:val="none" w:sz="0" w:space="0" w:color="auto"/>
              <w:left w:val="none" w:sz="0" w:space="0" w:color="auto"/>
              <w:bottom w:val="none" w:sz="0" w:space="0" w:color="auto"/>
            </w:tcBorders>
          </w:tcPr>
          <w:p w14:paraId="0973CF36" w14:textId="77777777" w:rsidR="00EC79BD" w:rsidRPr="00A17773" w:rsidRDefault="00EC79BD" w:rsidP="00632FCC">
            <w:pPr>
              <w:rPr>
                <w:rStyle w:val="Stark"/>
                <w:rFonts w:asciiTheme="minorHAnsi" w:hAnsiTheme="minorHAnsi"/>
                <w:b w:val="0"/>
                <w:bCs/>
                <w:color w:val="003D7C" w:themeColor="text2"/>
              </w:rPr>
            </w:pPr>
            <w:r w:rsidRPr="00A17773">
              <w:rPr>
                <w:rStyle w:val="Stark"/>
                <w:rFonts w:asciiTheme="minorHAnsi" w:hAnsiTheme="minorHAnsi"/>
                <w:b w:val="0"/>
                <w:color w:val="003D7C" w:themeColor="text2"/>
              </w:rPr>
              <w:t>Ospecifik astma J45.9</w:t>
            </w:r>
          </w:p>
        </w:tc>
        <w:tc>
          <w:tcPr>
            <w:tcW w:w="3097" w:type="dxa"/>
          </w:tcPr>
          <w:p w14:paraId="3AE0F4F4" w14:textId="77777777" w:rsidR="00EC79BD" w:rsidRPr="00A17773" w:rsidRDefault="00EC79BD" w:rsidP="00632FCC">
            <w:pPr>
              <w:cnfStyle w:val="000000000000" w:firstRow="0" w:lastRow="0" w:firstColumn="0" w:lastColumn="0" w:oddVBand="0" w:evenVBand="0" w:oddHBand="0"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 xml:space="preserve">Används då ovanstående definitioner inte passar. </w:t>
            </w:r>
          </w:p>
          <w:p w14:paraId="6322002B" w14:textId="77777777" w:rsidR="00EC79BD" w:rsidRPr="00A17773" w:rsidRDefault="00EC79BD" w:rsidP="00632FCC">
            <w:pPr>
              <w:cnfStyle w:val="000000000000" w:firstRow="0" w:lastRow="0" w:firstColumn="0" w:lastColumn="0" w:oddVBand="0" w:evenVBand="0" w:oddHBand="0"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 xml:space="preserve">Exempel: </w:t>
            </w:r>
          </w:p>
          <w:p w14:paraId="2A6D4F0F" w14:textId="77777777" w:rsidR="00EC79BD" w:rsidRPr="00A17773" w:rsidRDefault="00EC79BD" w:rsidP="00632FCC">
            <w:pPr>
              <w:cnfStyle w:val="000000000000" w:firstRow="0" w:lastRow="0" w:firstColumn="0" w:lastColumn="0" w:oddVBand="0" w:evenVBand="0" w:oddHBand="0"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 xml:space="preserve">1) Astmalikt tillstånd efter </w:t>
            </w:r>
            <w:hyperlink w:anchor="_ORDLISTA" w:history="1">
              <w:r w:rsidRPr="00A17773">
                <w:rPr>
                  <w:rStyle w:val="Stark"/>
                  <w:rFonts w:asciiTheme="minorHAnsi" w:hAnsiTheme="minorHAnsi"/>
                  <w:color w:val="003D7C" w:themeColor="text2"/>
                </w:rPr>
                <w:t>BPD</w:t>
              </w:r>
            </w:hyperlink>
          </w:p>
          <w:p w14:paraId="3E7EB955" w14:textId="77777777" w:rsidR="00EC79BD" w:rsidRPr="00A17773" w:rsidRDefault="00EC79BD" w:rsidP="00632FCC">
            <w:pPr>
              <w:cnfStyle w:val="000000000000" w:firstRow="0" w:lastRow="0" w:firstColumn="0" w:lastColumn="0" w:oddVBand="0" w:evenVBand="0" w:oddHBand="0"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2) Astmasymptom vid annan specifik lungsjukdom</w:t>
            </w:r>
          </w:p>
          <w:p w14:paraId="1E98C547" w14:textId="77777777" w:rsidR="00EC79BD" w:rsidRPr="00A17773" w:rsidRDefault="00EC79BD" w:rsidP="00632FCC">
            <w:pPr>
              <w:cnfStyle w:val="000000000000" w:firstRow="0" w:lastRow="0" w:firstColumn="0" w:lastColumn="0" w:oddVBand="0" w:evenVBand="0" w:oddHBand="0" w:evenHBand="0" w:firstRowFirstColumn="0" w:firstRowLastColumn="0" w:lastRowFirstColumn="0" w:lastRowLastColumn="0"/>
              <w:rPr>
                <w:rStyle w:val="Stark"/>
                <w:rFonts w:asciiTheme="minorHAnsi" w:hAnsiTheme="minorHAnsi"/>
                <w:color w:val="003D7C" w:themeColor="text2"/>
              </w:rPr>
            </w:pPr>
            <w:r w:rsidRPr="00A17773">
              <w:rPr>
                <w:rStyle w:val="Stark"/>
                <w:rFonts w:asciiTheme="minorHAnsi" w:hAnsiTheme="minorHAnsi"/>
                <w:color w:val="003D7C" w:themeColor="text2"/>
              </w:rPr>
              <w:t>3) Strikt ansträngningsutlöst astma</w:t>
            </w:r>
          </w:p>
        </w:tc>
        <w:tc>
          <w:tcPr>
            <w:tcW w:w="4023" w:type="dxa"/>
          </w:tcPr>
          <w:p w14:paraId="65D4EEA3" w14:textId="77777777" w:rsidR="00EC79BD" w:rsidRPr="00A17773" w:rsidRDefault="00EC79BD" w:rsidP="00632FCC">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szCs w:val="24"/>
              </w:rPr>
            </w:pPr>
          </w:p>
        </w:tc>
      </w:tr>
    </w:tbl>
    <w:p w14:paraId="3B5604C2" w14:textId="77777777" w:rsidR="00EC79BD" w:rsidRPr="00A17773" w:rsidRDefault="00EC79BD" w:rsidP="00EC79BD">
      <w:pPr>
        <w:pStyle w:val="Normal4"/>
        <w:spacing w:before="0" w:beforeAutospacing="0" w:after="0" w:afterAutospacing="0"/>
        <w:jc w:val="both"/>
        <w:rPr>
          <w:rFonts w:asciiTheme="minorHAnsi" w:hAnsiTheme="minorHAnsi" w:cs="Calibri"/>
        </w:rPr>
      </w:pPr>
      <w:r>
        <w:rPr>
          <w:rFonts w:asciiTheme="minorHAnsi" w:hAnsiTheme="minorHAnsi" w:cs="Calibri"/>
        </w:rPr>
        <w:br/>
      </w:r>
      <w:r w:rsidRPr="00A17773">
        <w:rPr>
          <w:rFonts w:asciiTheme="minorHAnsi" w:hAnsiTheme="minorHAnsi" w:cs="Calibri"/>
        </w:rPr>
        <w:t xml:space="preserve">Tabell adapterad från Läkemedelsverkets behandlingsrekommendation               </w:t>
      </w:r>
    </w:p>
    <w:p w14:paraId="6E014E2E" w14:textId="77777777" w:rsidR="00EC79BD" w:rsidRDefault="00EC79BD" w:rsidP="00EC79BD">
      <w:pPr>
        <w:pStyle w:val="Normal4"/>
        <w:spacing w:before="0" w:beforeAutospacing="0" w:after="0" w:afterAutospacing="0"/>
        <w:rPr>
          <w:rFonts w:asciiTheme="minorHAnsi" w:hAnsiTheme="minorHAnsi" w:cs="Calibri"/>
          <w:color w:val="000000" w:themeColor="text1"/>
        </w:rPr>
      </w:pPr>
      <w:r w:rsidRPr="00A17773">
        <w:rPr>
          <w:rFonts w:asciiTheme="minorHAnsi" w:hAnsiTheme="minorHAnsi" w:cs="Calibri"/>
        </w:rPr>
        <w:t xml:space="preserve">*Allergisk läggning = IgE-sensibilisering, eksem eller klinisk allergi. </w:t>
      </w:r>
      <w:r w:rsidRPr="00A17773">
        <w:rPr>
          <w:rFonts w:asciiTheme="minorHAnsi" w:hAnsiTheme="minorHAnsi" w:cs="Calibri"/>
        </w:rPr>
        <w:br/>
      </w:r>
      <w:r w:rsidRPr="000C17EB">
        <w:rPr>
          <w:rFonts w:asciiTheme="minorHAnsi" w:hAnsiTheme="minorHAnsi" w:cs="Calibri"/>
          <w:color w:val="000000" w:themeColor="text1"/>
        </w:rPr>
        <w:t xml:space="preserve">               </w:t>
      </w:r>
    </w:p>
    <w:p w14:paraId="6478C392" w14:textId="77777777" w:rsidR="007E0573" w:rsidRDefault="007E0573" w:rsidP="00EC79BD">
      <w:pPr>
        <w:rPr>
          <w:rStyle w:val="Stark"/>
          <w:bCs/>
          <w:sz w:val="24"/>
          <w:szCs w:val="24"/>
        </w:rPr>
      </w:pPr>
    </w:p>
    <w:p w14:paraId="43213465" w14:textId="34E586FF" w:rsidR="00EC79BD" w:rsidRPr="00817966" w:rsidRDefault="00EC79BD" w:rsidP="00EC79BD">
      <w:pPr>
        <w:rPr>
          <w:rStyle w:val="Stark"/>
          <w:bCs/>
          <w:sz w:val="24"/>
          <w:szCs w:val="24"/>
        </w:rPr>
      </w:pPr>
      <w:r w:rsidRPr="00817966">
        <w:rPr>
          <w:rStyle w:val="Stark"/>
          <w:bCs/>
          <w:sz w:val="24"/>
          <w:szCs w:val="24"/>
        </w:rPr>
        <w:lastRenderedPageBreak/>
        <w:t>Diagnostik</w:t>
      </w:r>
    </w:p>
    <w:p w14:paraId="6BE3DFEE" w14:textId="77777777" w:rsidR="00EC79BD" w:rsidRPr="00817966" w:rsidRDefault="00EC79BD" w:rsidP="00EC79BD">
      <w:pPr>
        <w:pStyle w:val="Normal4"/>
        <w:spacing w:before="0" w:beforeAutospacing="0" w:after="0" w:afterAutospacing="0"/>
        <w:rPr>
          <w:rFonts w:asciiTheme="minorHAnsi" w:hAnsiTheme="minorHAnsi" w:cs="Calibri"/>
          <w:color w:val="000000" w:themeColor="text1"/>
        </w:rPr>
      </w:pPr>
      <w:r w:rsidRPr="00817966">
        <w:rPr>
          <w:rFonts w:asciiTheme="minorHAnsi" w:hAnsiTheme="minorHAnsi" w:cs="Calibri"/>
          <w:color w:val="000000" w:themeColor="text1"/>
        </w:rPr>
        <w:t xml:space="preserve">Astmadiagnostik hos barn baseras på sjukhistoria, symtom, kliniska fynd samt lungfunktionsmätningar </w:t>
      </w:r>
    </w:p>
    <w:p w14:paraId="2012941D" w14:textId="77777777" w:rsidR="00EC79BD" w:rsidRPr="00817966" w:rsidRDefault="00EC79BD" w:rsidP="00EC79BD">
      <w:pPr>
        <w:pStyle w:val="Normal4"/>
        <w:spacing w:before="0" w:beforeAutospacing="0" w:after="0" w:afterAutospacing="0"/>
        <w:rPr>
          <w:rFonts w:asciiTheme="minorHAnsi" w:hAnsiTheme="minorHAnsi" w:cs="Calibri"/>
          <w:color w:val="000000" w:themeColor="text1"/>
        </w:rPr>
      </w:pPr>
      <w:r w:rsidRPr="00817966">
        <w:rPr>
          <w:rFonts w:asciiTheme="minorHAnsi" w:hAnsiTheme="minorHAnsi" w:cs="Calibri"/>
          <w:color w:val="000000" w:themeColor="text1"/>
        </w:rPr>
        <w:t>Med tanke på astmans variabla uttryck och svårigheten med objektiva lungfunktionsmätningar främst hos yngre barn är sjukhistorien en mycket viktig del i diagnostiken</w:t>
      </w:r>
      <w:r>
        <w:rPr>
          <w:rFonts w:asciiTheme="minorHAnsi" w:hAnsiTheme="minorHAnsi" w:cs="Calibri"/>
          <w:color w:val="000000" w:themeColor="text1"/>
        </w:rPr>
        <w:t xml:space="preserve">. </w:t>
      </w:r>
      <w:r>
        <w:rPr>
          <w:rFonts w:asciiTheme="minorHAnsi" w:hAnsiTheme="minorHAnsi" w:cs="Calibri"/>
          <w:color w:val="000000" w:themeColor="text1"/>
        </w:rPr>
        <w:br/>
      </w:r>
      <w:r w:rsidRPr="00817966">
        <w:rPr>
          <w:rFonts w:asciiTheme="minorHAnsi" w:hAnsiTheme="minorHAnsi" w:cs="Calibri"/>
          <w:color w:val="000000" w:themeColor="text1"/>
        </w:rPr>
        <w:t>Fysisk ansträngning vid läkarbesök kan ibland framkalla symtom och auskultationsfynd, men frånvaro av detta utesluter ej astma</w:t>
      </w:r>
      <w:r>
        <w:rPr>
          <w:rFonts w:asciiTheme="minorHAnsi" w:hAnsiTheme="minorHAnsi" w:cs="Calibri"/>
          <w:color w:val="000000" w:themeColor="text1"/>
        </w:rPr>
        <w:t xml:space="preserve">. </w:t>
      </w:r>
      <w:r w:rsidRPr="00817966">
        <w:rPr>
          <w:rFonts w:asciiTheme="minorHAnsi" w:hAnsiTheme="minorHAnsi" w:cs="Calibri"/>
          <w:color w:val="000000" w:themeColor="text1"/>
        </w:rPr>
        <w:t>Hos barn som ej klarar lungfunktionsmätning (av ålders eller mognadsskäl) kan ett behandlingsförsök göras för att bekräfta diagnosen</w:t>
      </w:r>
      <w:r>
        <w:rPr>
          <w:rFonts w:asciiTheme="minorHAnsi" w:hAnsiTheme="minorHAnsi" w:cs="Calibri"/>
          <w:color w:val="000000" w:themeColor="text1"/>
        </w:rPr>
        <w:t>.</w:t>
      </w:r>
    </w:p>
    <w:p w14:paraId="03C8F0AF" w14:textId="77777777" w:rsidR="00EC79BD" w:rsidRPr="00817966" w:rsidRDefault="00EC79BD" w:rsidP="00EC79BD">
      <w:pPr>
        <w:pStyle w:val="Normal4"/>
        <w:spacing w:before="0" w:beforeAutospacing="0" w:after="0" w:afterAutospacing="0"/>
        <w:rPr>
          <w:rFonts w:asciiTheme="minorHAnsi" w:hAnsiTheme="minorHAnsi" w:cs="Calibri"/>
          <w:color w:val="000000" w:themeColor="text1"/>
        </w:rPr>
      </w:pPr>
      <w:r w:rsidRPr="00817966">
        <w:rPr>
          <w:rFonts w:asciiTheme="minorHAnsi" w:hAnsiTheme="minorHAnsi" w:cs="Calibri"/>
          <w:color w:val="000000" w:themeColor="text1"/>
        </w:rPr>
        <w:t>Hos övriga barn bör diagnosen om möjligt bekräftas med spirometri så snart barnet klarar det</w:t>
      </w:r>
      <w:r>
        <w:rPr>
          <w:rFonts w:asciiTheme="minorHAnsi" w:hAnsiTheme="minorHAnsi" w:cs="Calibri"/>
          <w:color w:val="000000" w:themeColor="text1"/>
        </w:rPr>
        <w:t>.</w:t>
      </w:r>
    </w:p>
    <w:p w14:paraId="4EC61C60" w14:textId="77777777" w:rsidR="00EC79BD" w:rsidRDefault="00EC79BD" w:rsidP="00EC79BD">
      <w:pPr>
        <w:pStyle w:val="Normal4"/>
        <w:spacing w:before="0" w:beforeAutospacing="0" w:after="0" w:afterAutospacing="0"/>
        <w:rPr>
          <w:rFonts w:asciiTheme="minorHAnsi" w:hAnsiTheme="minorHAnsi" w:cs="Calibri"/>
          <w:color w:val="000000" w:themeColor="text1"/>
        </w:rPr>
      </w:pPr>
      <w:r w:rsidRPr="00817966">
        <w:rPr>
          <w:rFonts w:asciiTheme="minorHAnsi" w:hAnsiTheme="minorHAnsi" w:cs="Calibri"/>
          <w:color w:val="000000" w:themeColor="text1"/>
        </w:rPr>
        <w:t>Vid normal spirometri eller om barnet får symtom endast vid fysisk aktivitet eller om barnet inte kan utföra en spirometri kan kompletterande utredning behövas för att om möjligt påvisa en variabel luftvägsobstruktion och/eller luftvägsinflammation</w:t>
      </w:r>
      <w:r>
        <w:rPr>
          <w:rFonts w:asciiTheme="minorHAnsi" w:hAnsiTheme="minorHAnsi" w:cs="Calibri"/>
          <w:color w:val="000000" w:themeColor="text1"/>
        </w:rPr>
        <w:t xml:space="preserve">. </w:t>
      </w:r>
      <w:r w:rsidRPr="00817966">
        <w:rPr>
          <w:rFonts w:asciiTheme="minorHAnsi" w:hAnsiTheme="minorHAnsi" w:cs="Calibri"/>
          <w:color w:val="000000" w:themeColor="text1"/>
        </w:rPr>
        <w:t>Var god se punkt 5 ”Ytterligare utredning” nedan</w:t>
      </w:r>
      <w:r>
        <w:rPr>
          <w:rFonts w:asciiTheme="minorHAnsi" w:hAnsiTheme="minorHAnsi" w:cs="Calibri"/>
          <w:color w:val="000000" w:themeColor="text1"/>
        </w:rPr>
        <w:t>.</w:t>
      </w:r>
    </w:p>
    <w:p w14:paraId="213B6E90" w14:textId="77777777" w:rsidR="00EC79BD" w:rsidRPr="00E11E6F" w:rsidRDefault="00EC79BD" w:rsidP="00EC79BD">
      <w:pPr>
        <w:pStyle w:val="Rubrik3"/>
        <w:rPr>
          <w:rFonts w:cs="Calibri"/>
          <w:szCs w:val="24"/>
        </w:rPr>
      </w:pPr>
      <w:bookmarkStart w:id="9" w:name="_Toc150457948"/>
      <w:r w:rsidRPr="00E11E6F">
        <w:rPr>
          <w:rFonts w:cs="Calibri"/>
          <w:szCs w:val="24"/>
        </w:rPr>
        <w:t>Sätta astmadiagnos</w:t>
      </w:r>
      <w:bookmarkEnd w:id="9"/>
      <w:r w:rsidRPr="00E11E6F">
        <w:rPr>
          <w:rFonts w:cs="Calibri"/>
          <w:szCs w:val="24"/>
        </w:rPr>
        <w:t xml:space="preserve"> </w:t>
      </w:r>
    </w:p>
    <w:p w14:paraId="000D3C12" w14:textId="77777777" w:rsidR="00EC79BD" w:rsidRPr="00817966" w:rsidRDefault="00EC79BD" w:rsidP="00EC79BD">
      <w:pPr>
        <w:pStyle w:val="Rubrik3"/>
        <w:numPr>
          <w:ilvl w:val="0"/>
          <w:numId w:val="72"/>
        </w:numPr>
        <w:tabs>
          <w:tab w:val="clear" w:pos="720"/>
          <w:tab w:val="num" w:pos="340"/>
        </w:tabs>
        <w:ind w:left="340" w:hanging="340"/>
        <w:rPr>
          <w:rFonts w:asciiTheme="minorHAnsi" w:hAnsiTheme="minorHAnsi" w:cs="Calibri"/>
          <w:szCs w:val="24"/>
          <w:lang w:eastAsia="sv-SE"/>
        </w:rPr>
      </w:pPr>
      <w:bookmarkStart w:id="10" w:name="_Toc150457949"/>
      <w:r w:rsidRPr="00817966">
        <w:rPr>
          <w:rFonts w:asciiTheme="minorHAnsi" w:hAnsiTheme="minorHAnsi" w:cs="Calibri"/>
          <w:szCs w:val="24"/>
          <w:lang w:eastAsia="sv-SE"/>
        </w:rPr>
        <w:t>Anamnes som talar för astma</w:t>
      </w:r>
      <w:bookmarkEnd w:id="10"/>
    </w:p>
    <w:p w14:paraId="16C62308" w14:textId="77777777" w:rsidR="00EC79BD" w:rsidRPr="00EC3286" w:rsidRDefault="00EC79BD" w:rsidP="00EC79BD">
      <w:pPr>
        <w:pStyle w:val="Normal4"/>
        <w:numPr>
          <w:ilvl w:val="1"/>
          <w:numId w:val="72"/>
        </w:numPr>
        <w:spacing w:before="0" w:beforeAutospacing="0" w:after="0" w:afterAutospacing="0"/>
        <w:rPr>
          <w:rFonts w:asciiTheme="minorHAnsi" w:hAnsiTheme="minorHAnsi" w:cs="Calibri"/>
          <w:color w:val="000000" w:themeColor="text1"/>
        </w:rPr>
      </w:pPr>
      <w:r w:rsidRPr="00EC3286">
        <w:rPr>
          <w:rFonts w:asciiTheme="minorHAnsi" w:hAnsiTheme="minorHAnsi" w:cs="Calibri"/>
          <w:color w:val="000000" w:themeColor="text1"/>
        </w:rPr>
        <w:t>Tre obstruktiva episoder före 3 års ålder utan allergisk läggning</w:t>
      </w:r>
    </w:p>
    <w:p w14:paraId="4A3AAEFE" w14:textId="77777777" w:rsidR="00EC79BD" w:rsidRPr="00EC3286" w:rsidRDefault="00EC79BD" w:rsidP="00EC79BD">
      <w:pPr>
        <w:pStyle w:val="Normal4"/>
        <w:numPr>
          <w:ilvl w:val="1"/>
          <w:numId w:val="72"/>
        </w:numPr>
        <w:spacing w:before="0" w:beforeAutospacing="0" w:after="0" w:afterAutospacing="0"/>
        <w:rPr>
          <w:rFonts w:asciiTheme="minorHAnsi" w:hAnsiTheme="minorHAnsi" w:cs="Calibri"/>
          <w:color w:val="000000" w:themeColor="text1"/>
        </w:rPr>
      </w:pPr>
      <w:r w:rsidRPr="00EC3286">
        <w:rPr>
          <w:rFonts w:asciiTheme="minorHAnsi" w:hAnsiTheme="minorHAnsi" w:cs="Calibri"/>
          <w:color w:val="000000" w:themeColor="text1"/>
        </w:rPr>
        <w:t>Första obstruktiva episoden före 3 års ålder med allergisk läggning eller besvär mellan förkylningar</w:t>
      </w:r>
    </w:p>
    <w:p w14:paraId="4858198A" w14:textId="77777777" w:rsidR="00EC79BD" w:rsidRPr="00EC3286" w:rsidRDefault="00EC79BD" w:rsidP="00EC79BD">
      <w:pPr>
        <w:pStyle w:val="Normal4"/>
        <w:numPr>
          <w:ilvl w:val="1"/>
          <w:numId w:val="72"/>
        </w:numPr>
        <w:spacing w:before="0" w:beforeAutospacing="0" w:after="0" w:afterAutospacing="0"/>
        <w:rPr>
          <w:rFonts w:asciiTheme="minorHAnsi" w:hAnsiTheme="minorHAnsi" w:cs="Calibri"/>
          <w:color w:val="000000" w:themeColor="text1"/>
        </w:rPr>
      </w:pPr>
      <w:r w:rsidRPr="00EC3286">
        <w:rPr>
          <w:rFonts w:asciiTheme="minorHAnsi" w:hAnsiTheme="minorHAnsi" w:cs="Calibri"/>
          <w:color w:val="000000" w:themeColor="text1"/>
        </w:rPr>
        <w:t>Första obstruktiva episoden efter 3 års ålder oavsett allergisk läggning</w:t>
      </w:r>
    </w:p>
    <w:p w14:paraId="76D88D89" w14:textId="77777777" w:rsidR="00EC79BD" w:rsidRPr="00EC3286" w:rsidRDefault="00EC79BD" w:rsidP="00EC79BD">
      <w:pPr>
        <w:pStyle w:val="Normal4"/>
        <w:numPr>
          <w:ilvl w:val="1"/>
          <w:numId w:val="72"/>
        </w:numPr>
        <w:spacing w:before="0" w:beforeAutospacing="0" w:after="0" w:afterAutospacing="0"/>
        <w:rPr>
          <w:rFonts w:asciiTheme="minorHAnsi" w:hAnsiTheme="minorHAnsi" w:cs="Calibri"/>
          <w:color w:val="000000" w:themeColor="text1"/>
        </w:rPr>
      </w:pPr>
      <w:r w:rsidRPr="00EC3286">
        <w:rPr>
          <w:rFonts w:asciiTheme="minorHAnsi" w:hAnsiTheme="minorHAnsi" w:cs="Calibri"/>
          <w:color w:val="000000" w:themeColor="text1"/>
        </w:rPr>
        <w:t>Återkommande besvär krävs för definitiv diagnos</w:t>
      </w:r>
      <w:r>
        <w:rPr>
          <w:rFonts w:asciiTheme="minorHAnsi" w:hAnsiTheme="minorHAnsi" w:cs="Calibri"/>
          <w:color w:val="000000" w:themeColor="text1"/>
        </w:rPr>
        <w:br/>
      </w:r>
    </w:p>
    <w:p w14:paraId="6CBAA8C5" w14:textId="77777777" w:rsidR="00EC79BD" w:rsidRPr="00817966" w:rsidRDefault="00EC79BD" w:rsidP="00EC79BD">
      <w:pPr>
        <w:pStyle w:val="Rubrik3"/>
        <w:numPr>
          <w:ilvl w:val="0"/>
          <w:numId w:val="72"/>
        </w:numPr>
        <w:tabs>
          <w:tab w:val="clear" w:pos="720"/>
          <w:tab w:val="num" w:pos="340"/>
        </w:tabs>
        <w:spacing w:before="0"/>
        <w:ind w:left="340" w:hanging="340"/>
        <w:rPr>
          <w:rFonts w:asciiTheme="minorHAnsi" w:hAnsiTheme="minorHAnsi" w:cs="Calibri"/>
          <w:szCs w:val="24"/>
          <w:lang w:eastAsia="sv-SE"/>
        </w:rPr>
      </w:pPr>
      <w:bookmarkStart w:id="11" w:name="_Toc150457950"/>
      <w:r w:rsidRPr="00817966">
        <w:rPr>
          <w:rFonts w:asciiTheme="minorHAnsi" w:hAnsiTheme="minorHAnsi" w:cs="Calibri"/>
          <w:szCs w:val="24"/>
          <w:lang w:eastAsia="sv-SE"/>
        </w:rPr>
        <w:t>Symptom som talar för astma:</w:t>
      </w:r>
      <w:bookmarkEnd w:id="11"/>
    </w:p>
    <w:p w14:paraId="4FE96BE7" w14:textId="77777777" w:rsidR="00EC79BD" w:rsidRPr="00EC3286" w:rsidRDefault="00EC79BD" w:rsidP="00EC79BD">
      <w:pPr>
        <w:pStyle w:val="Normal4"/>
        <w:numPr>
          <w:ilvl w:val="1"/>
          <w:numId w:val="73"/>
        </w:numPr>
        <w:spacing w:before="0" w:beforeAutospacing="0" w:after="0" w:afterAutospacing="0"/>
        <w:rPr>
          <w:rFonts w:asciiTheme="minorHAnsi" w:hAnsiTheme="minorHAnsi" w:cs="Calibri"/>
          <w:color w:val="000000" w:themeColor="text1"/>
          <w:u w:val="single"/>
        </w:rPr>
      </w:pPr>
      <w:r w:rsidRPr="00EC3286">
        <w:rPr>
          <w:rFonts w:asciiTheme="minorHAnsi" w:hAnsiTheme="minorHAnsi" w:cs="Calibri"/>
          <w:color w:val="000000" w:themeColor="text1"/>
        </w:rPr>
        <w:t>Pipande/väsande andning</w:t>
      </w:r>
    </w:p>
    <w:p w14:paraId="48DD4AC5" w14:textId="77777777" w:rsidR="00EC79BD" w:rsidRPr="00EC3286" w:rsidRDefault="00EC79BD" w:rsidP="00EC79BD">
      <w:pPr>
        <w:pStyle w:val="Normal4"/>
        <w:numPr>
          <w:ilvl w:val="1"/>
          <w:numId w:val="73"/>
        </w:numPr>
        <w:spacing w:before="0" w:beforeAutospacing="0" w:after="0" w:afterAutospacing="0"/>
        <w:rPr>
          <w:rFonts w:asciiTheme="minorHAnsi" w:hAnsiTheme="minorHAnsi" w:cs="Calibri"/>
          <w:color w:val="000000" w:themeColor="text1"/>
          <w:u w:val="single"/>
        </w:rPr>
      </w:pPr>
      <w:r w:rsidRPr="00EC3286">
        <w:rPr>
          <w:rFonts w:asciiTheme="minorHAnsi" w:hAnsiTheme="minorHAnsi" w:cs="Calibri"/>
          <w:color w:val="000000" w:themeColor="text1"/>
        </w:rPr>
        <w:t>Tung ansträngd andning</w:t>
      </w:r>
    </w:p>
    <w:p w14:paraId="6C8A36D7" w14:textId="77777777" w:rsidR="00EC79BD" w:rsidRPr="00EC3286" w:rsidRDefault="00EC79BD" w:rsidP="00EC79BD">
      <w:pPr>
        <w:pStyle w:val="Normal4"/>
        <w:numPr>
          <w:ilvl w:val="1"/>
          <w:numId w:val="73"/>
        </w:numPr>
        <w:spacing w:before="0" w:beforeAutospacing="0" w:after="0" w:afterAutospacing="0"/>
        <w:rPr>
          <w:rFonts w:asciiTheme="minorHAnsi" w:hAnsiTheme="minorHAnsi" w:cs="Calibri"/>
          <w:color w:val="000000" w:themeColor="text1"/>
          <w:u w:val="single"/>
        </w:rPr>
      </w:pPr>
      <w:r w:rsidRPr="00EC3286">
        <w:rPr>
          <w:rFonts w:asciiTheme="minorHAnsi" w:hAnsiTheme="minorHAnsi" w:cs="Calibri"/>
          <w:color w:val="000000" w:themeColor="text1"/>
        </w:rPr>
        <w:t>Natthosta</w:t>
      </w:r>
    </w:p>
    <w:p w14:paraId="0D66B6B1" w14:textId="77777777" w:rsidR="00EC79BD" w:rsidRPr="00EC3286" w:rsidRDefault="00EC79BD" w:rsidP="00EC79BD">
      <w:pPr>
        <w:pStyle w:val="Normal4"/>
        <w:numPr>
          <w:ilvl w:val="1"/>
          <w:numId w:val="73"/>
        </w:numPr>
        <w:spacing w:before="0" w:beforeAutospacing="0" w:after="0" w:afterAutospacing="0"/>
        <w:rPr>
          <w:rFonts w:asciiTheme="minorHAnsi" w:hAnsiTheme="minorHAnsi" w:cs="Calibri"/>
          <w:color w:val="000000" w:themeColor="text1"/>
          <w:u w:val="single"/>
        </w:rPr>
      </w:pPr>
      <w:r w:rsidRPr="00EC3286">
        <w:rPr>
          <w:rFonts w:asciiTheme="minorHAnsi" w:hAnsiTheme="minorHAnsi" w:cs="Calibri"/>
          <w:color w:val="000000" w:themeColor="text1"/>
        </w:rPr>
        <w:t>Hosta vid ansträngning, skratt, gråt och lek</w:t>
      </w:r>
    </w:p>
    <w:p w14:paraId="387B5D06" w14:textId="77777777" w:rsidR="00EC79BD" w:rsidRPr="00EC3286" w:rsidRDefault="00EC79BD" w:rsidP="00EC79BD">
      <w:pPr>
        <w:pStyle w:val="Normal4"/>
        <w:numPr>
          <w:ilvl w:val="1"/>
          <w:numId w:val="73"/>
        </w:numPr>
        <w:spacing w:before="0" w:beforeAutospacing="0" w:after="0" w:afterAutospacing="0"/>
        <w:rPr>
          <w:rFonts w:asciiTheme="minorHAnsi" w:hAnsiTheme="minorHAnsi" w:cs="Calibri"/>
          <w:color w:val="000000" w:themeColor="text1"/>
          <w:u w:val="single"/>
        </w:rPr>
      </w:pPr>
      <w:r w:rsidRPr="00EC3286">
        <w:rPr>
          <w:rFonts w:asciiTheme="minorHAnsi" w:hAnsiTheme="minorHAnsi" w:cs="Calibri"/>
          <w:color w:val="000000" w:themeColor="text1"/>
        </w:rPr>
        <w:t>Långvarig hosta vid förkylning</w:t>
      </w:r>
    </w:p>
    <w:p w14:paraId="6FAC75E9" w14:textId="77777777" w:rsidR="00EC79BD" w:rsidRDefault="00EC79BD" w:rsidP="00EC79BD">
      <w:pPr>
        <w:pStyle w:val="Normal4"/>
        <w:numPr>
          <w:ilvl w:val="1"/>
          <w:numId w:val="73"/>
        </w:numPr>
        <w:spacing w:before="0" w:beforeAutospacing="0" w:after="0" w:afterAutospacing="0"/>
        <w:rPr>
          <w:rFonts w:asciiTheme="minorHAnsi" w:hAnsiTheme="minorHAnsi" w:cs="Calibri"/>
          <w:color w:val="000000" w:themeColor="text1"/>
        </w:rPr>
      </w:pPr>
      <w:r w:rsidRPr="00EC3286">
        <w:rPr>
          <w:rFonts w:asciiTheme="minorHAnsi" w:hAnsiTheme="minorHAnsi" w:cs="Calibri"/>
          <w:color w:val="000000" w:themeColor="text1"/>
        </w:rPr>
        <w:t>Nedsatt ork eller fysisk prestationsförmåga</w:t>
      </w:r>
    </w:p>
    <w:p w14:paraId="46345777" w14:textId="77777777" w:rsidR="00EC79BD" w:rsidRPr="00EC3286" w:rsidRDefault="00EC79BD" w:rsidP="00EC79BD">
      <w:pPr>
        <w:pStyle w:val="Normal4"/>
        <w:spacing w:before="0" w:beforeAutospacing="0" w:after="0" w:afterAutospacing="0"/>
        <w:rPr>
          <w:rFonts w:asciiTheme="minorHAnsi" w:hAnsiTheme="minorHAnsi" w:cs="Calibri"/>
          <w:color w:val="000000" w:themeColor="text1"/>
          <w:u w:val="single"/>
        </w:rPr>
      </w:pPr>
    </w:p>
    <w:p w14:paraId="610C58C1" w14:textId="77777777" w:rsidR="00EC79BD" w:rsidRPr="00817966" w:rsidRDefault="00EC79BD" w:rsidP="00EC79BD">
      <w:pPr>
        <w:pStyle w:val="Rubrik3"/>
        <w:numPr>
          <w:ilvl w:val="0"/>
          <w:numId w:val="72"/>
        </w:numPr>
        <w:tabs>
          <w:tab w:val="clear" w:pos="720"/>
          <w:tab w:val="num" w:pos="340"/>
        </w:tabs>
        <w:spacing w:before="0"/>
        <w:ind w:left="340" w:hanging="340"/>
        <w:rPr>
          <w:rFonts w:asciiTheme="minorHAnsi" w:hAnsiTheme="minorHAnsi" w:cs="Calibri"/>
          <w:szCs w:val="24"/>
          <w:lang w:eastAsia="sv-SE"/>
        </w:rPr>
      </w:pPr>
      <w:bookmarkStart w:id="12" w:name="_Toc150457951"/>
      <w:r w:rsidRPr="00817966">
        <w:rPr>
          <w:rFonts w:asciiTheme="minorHAnsi" w:hAnsiTheme="minorHAnsi" w:cs="Calibri"/>
          <w:szCs w:val="24"/>
          <w:lang w:eastAsia="sv-SE"/>
        </w:rPr>
        <w:t>Behandlingsförsök</w:t>
      </w:r>
      <w:bookmarkEnd w:id="12"/>
      <w:r w:rsidRPr="00817966">
        <w:rPr>
          <w:rFonts w:asciiTheme="minorHAnsi" w:hAnsiTheme="minorHAnsi" w:cs="Calibri"/>
          <w:szCs w:val="24"/>
          <w:lang w:eastAsia="sv-SE"/>
        </w:rPr>
        <w:t xml:space="preserve"> </w:t>
      </w:r>
    </w:p>
    <w:p w14:paraId="31B5CCDD" w14:textId="77777777" w:rsidR="00EC79BD" w:rsidRPr="00817966" w:rsidRDefault="00EC79BD" w:rsidP="00EC79BD">
      <w:pPr>
        <w:numPr>
          <w:ilvl w:val="1"/>
          <w:numId w:val="72"/>
        </w:numPr>
        <w:shd w:val="clear" w:color="auto" w:fill="FFFFFF"/>
        <w:tabs>
          <w:tab w:val="clear" w:pos="284"/>
        </w:tabs>
        <w:spacing w:line="240" w:lineRule="auto"/>
        <w:rPr>
          <w:rStyle w:val="Stark"/>
          <w:rFonts w:asciiTheme="minorHAnsi" w:hAnsiTheme="minorHAnsi"/>
          <w:b w:val="0"/>
          <w:bCs/>
        </w:rPr>
      </w:pPr>
      <w:r w:rsidRPr="00817966">
        <w:rPr>
          <w:rStyle w:val="Stark"/>
          <w:rFonts w:asciiTheme="minorHAnsi" w:hAnsiTheme="minorHAnsi"/>
          <w:b w:val="0"/>
          <w:bCs/>
        </w:rPr>
        <w:t>Rekommenderas:</w:t>
      </w:r>
    </w:p>
    <w:p w14:paraId="26811194" w14:textId="77777777" w:rsidR="00EC79BD" w:rsidRPr="00817966" w:rsidRDefault="00EC79BD" w:rsidP="00EC79BD">
      <w:pPr>
        <w:numPr>
          <w:ilvl w:val="2"/>
          <w:numId w:val="72"/>
        </w:numPr>
        <w:shd w:val="clear" w:color="auto" w:fill="FFFFFF"/>
        <w:tabs>
          <w:tab w:val="clear" w:pos="284"/>
        </w:tabs>
        <w:spacing w:line="240" w:lineRule="auto"/>
        <w:rPr>
          <w:rStyle w:val="Stark"/>
          <w:rFonts w:asciiTheme="minorHAnsi" w:hAnsiTheme="minorHAnsi"/>
          <w:b w:val="0"/>
          <w:bCs/>
        </w:rPr>
      </w:pPr>
      <w:r w:rsidRPr="00817966">
        <w:rPr>
          <w:rStyle w:val="Stark"/>
          <w:rFonts w:asciiTheme="minorHAnsi" w:hAnsiTheme="minorHAnsi"/>
          <w:b w:val="0"/>
          <w:bCs/>
        </w:rPr>
        <w:t>Yngre barn vid misstänkt astma som inte kan blåsa spirometri (och där anamnes/ objektiva kliniska fynd ej gett diagnos)</w:t>
      </w:r>
    </w:p>
    <w:p w14:paraId="408C25B2" w14:textId="77777777" w:rsidR="00EC79BD" w:rsidRPr="00817966" w:rsidRDefault="00EC79BD" w:rsidP="00EC79BD">
      <w:pPr>
        <w:numPr>
          <w:ilvl w:val="2"/>
          <w:numId w:val="72"/>
        </w:numPr>
        <w:shd w:val="clear" w:color="auto" w:fill="FFFFFF"/>
        <w:tabs>
          <w:tab w:val="clear" w:pos="284"/>
        </w:tabs>
        <w:spacing w:line="240" w:lineRule="auto"/>
        <w:rPr>
          <w:rStyle w:val="Stark"/>
          <w:rFonts w:asciiTheme="minorHAnsi" w:hAnsiTheme="minorHAnsi"/>
          <w:b w:val="0"/>
          <w:bCs/>
        </w:rPr>
      </w:pPr>
      <w:r w:rsidRPr="00817966">
        <w:rPr>
          <w:rStyle w:val="Stark"/>
          <w:rFonts w:asciiTheme="minorHAnsi" w:hAnsiTheme="minorHAnsi"/>
          <w:b w:val="0"/>
          <w:bCs/>
        </w:rPr>
        <w:t xml:space="preserve">0-5 år: lågdos </w:t>
      </w:r>
      <w:hyperlink w:anchor="_ORDLISTA" w:history="1">
        <w:r w:rsidRPr="00817966">
          <w:rPr>
            <w:rStyle w:val="Stark"/>
            <w:rFonts w:asciiTheme="minorHAnsi" w:hAnsiTheme="minorHAnsi"/>
            <w:b w:val="0"/>
            <w:bCs/>
            <w:color w:val="B46400" w:themeColor="accent6" w:themeShade="BF"/>
            <w:u w:val="single"/>
          </w:rPr>
          <w:t>ICS</w:t>
        </w:r>
      </w:hyperlink>
      <w:r w:rsidRPr="00817966">
        <w:rPr>
          <w:rStyle w:val="Stark"/>
          <w:rFonts w:asciiTheme="minorHAnsi" w:hAnsiTheme="minorHAnsi"/>
          <w:b w:val="0"/>
          <w:bCs/>
        </w:rPr>
        <w:t xml:space="preserve"> (tex Flutide 50-100 µg/dag) i 2-3 månader</w:t>
      </w:r>
      <w:r>
        <w:rPr>
          <w:rStyle w:val="Stark"/>
          <w:rFonts w:asciiTheme="minorHAnsi" w:hAnsiTheme="minorHAnsi"/>
          <w:b w:val="0"/>
          <w:bCs/>
        </w:rPr>
        <w:br/>
      </w:r>
    </w:p>
    <w:p w14:paraId="5B8EE9B7" w14:textId="77777777" w:rsidR="00EC79BD" w:rsidRPr="00817966" w:rsidRDefault="00EC79BD" w:rsidP="00EC79BD">
      <w:pPr>
        <w:numPr>
          <w:ilvl w:val="1"/>
          <w:numId w:val="72"/>
        </w:numPr>
        <w:shd w:val="clear" w:color="auto" w:fill="FFFFFF"/>
        <w:tabs>
          <w:tab w:val="clear" w:pos="284"/>
        </w:tabs>
        <w:spacing w:line="240" w:lineRule="auto"/>
        <w:rPr>
          <w:rStyle w:val="Stark"/>
          <w:rFonts w:asciiTheme="minorHAnsi" w:hAnsiTheme="minorHAnsi"/>
          <w:b w:val="0"/>
          <w:bCs/>
        </w:rPr>
      </w:pPr>
      <w:r w:rsidRPr="00817966">
        <w:rPr>
          <w:rStyle w:val="Stark"/>
          <w:rFonts w:asciiTheme="minorHAnsi" w:hAnsiTheme="minorHAnsi"/>
          <w:b w:val="0"/>
          <w:bCs/>
        </w:rPr>
        <w:t>Kan övervägas:</w:t>
      </w:r>
    </w:p>
    <w:p w14:paraId="14A8F956" w14:textId="77777777" w:rsidR="00EC79BD" w:rsidRPr="00817966" w:rsidRDefault="00EC79BD" w:rsidP="00EC79BD">
      <w:pPr>
        <w:numPr>
          <w:ilvl w:val="2"/>
          <w:numId w:val="72"/>
        </w:numPr>
        <w:shd w:val="clear" w:color="auto" w:fill="FFFFFF"/>
        <w:tabs>
          <w:tab w:val="clear" w:pos="284"/>
        </w:tabs>
        <w:spacing w:line="240" w:lineRule="auto"/>
        <w:rPr>
          <w:rStyle w:val="Stark"/>
          <w:rFonts w:asciiTheme="minorHAnsi" w:hAnsiTheme="minorHAnsi"/>
          <w:b w:val="0"/>
          <w:bCs/>
        </w:rPr>
      </w:pPr>
      <w:r w:rsidRPr="00817966">
        <w:rPr>
          <w:rStyle w:val="Stark"/>
          <w:rFonts w:asciiTheme="minorHAnsi" w:hAnsiTheme="minorHAnsi"/>
          <w:b w:val="0"/>
          <w:bCs/>
        </w:rPr>
        <w:t xml:space="preserve"> Äldre barn med symtom endast vid fysisk ansträngning</w:t>
      </w:r>
    </w:p>
    <w:p w14:paraId="31720247" w14:textId="77777777" w:rsidR="00EC79BD" w:rsidRPr="00817966" w:rsidRDefault="00EC79BD" w:rsidP="00EC79BD">
      <w:pPr>
        <w:numPr>
          <w:ilvl w:val="2"/>
          <w:numId w:val="72"/>
        </w:numPr>
        <w:shd w:val="clear" w:color="auto" w:fill="FFFFFF"/>
        <w:tabs>
          <w:tab w:val="clear" w:pos="284"/>
        </w:tabs>
        <w:spacing w:line="240" w:lineRule="auto"/>
        <w:rPr>
          <w:rStyle w:val="Stark"/>
          <w:rFonts w:asciiTheme="minorHAnsi" w:hAnsiTheme="minorHAnsi"/>
          <w:b w:val="0"/>
          <w:bCs/>
        </w:rPr>
      </w:pPr>
      <w:r w:rsidRPr="00817966">
        <w:rPr>
          <w:rStyle w:val="Stark"/>
          <w:rFonts w:asciiTheme="minorHAnsi" w:hAnsiTheme="minorHAnsi"/>
          <w:b w:val="0"/>
          <w:bCs/>
        </w:rPr>
        <w:t>lågdos ICS i 2-3 månader</w:t>
      </w:r>
      <w:r>
        <w:rPr>
          <w:rStyle w:val="Stark"/>
          <w:rFonts w:asciiTheme="minorHAnsi" w:hAnsiTheme="minorHAnsi"/>
          <w:b w:val="0"/>
          <w:bCs/>
        </w:rPr>
        <w:br/>
      </w:r>
    </w:p>
    <w:p w14:paraId="7DCE33CF" w14:textId="77777777" w:rsidR="00EC79BD" w:rsidRPr="00817966" w:rsidRDefault="00EC79BD" w:rsidP="00EC79BD">
      <w:pPr>
        <w:numPr>
          <w:ilvl w:val="1"/>
          <w:numId w:val="72"/>
        </w:numPr>
        <w:shd w:val="clear" w:color="auto" w:fill="FFFFFF"/>
        <w:tabs>
          <w:tab w:val="clear" w:pos="284"/>
        </w:tabs>
        <w:spacing w:line="240" w:lineRule="auto"/>
        <w:rPr>
          <w:rStyle w:val="Stark"/>
          <w:rFonts w:asciiTheme="minorHAnsi" w:hAnsiTheme="minorHAnsi"/>
          <w:b w:val="0"/>
          <w:bCs/>
        </w:rPr>
      </w:pPr>
      <w:r w:rsidRPr="00817966">
        <w:rPr>
          <w:rStyle w:val="Stark"/>
          <w:rFonts w:asciiTheme="minorHAnsi" w:hAnsiTheme="minorHAnsi"/>
          <w:b w:val="0"/>
          <w:bCs/>
        </w:rPr>
        <w:t xml:space="preserve">Utvärdering av behandlingsförsöket är av yttersta vikt! </w:t>
      </w:r>
      <w:r w:rsidRPr="00817966">
        <w:rPr>
          <w:rStyle w:val="Stark"/>
          <w:rFonts w:asciiTheme="minorHAnsi" w:hAnsiTheme="minorHAnsi"/>
          <w:b w:val="0"/>
          <w:bCs/>
        </w:rPr>
        <w:tab/>
      </w:r>
    </w:p>
    <w:p w14:paraId="6AA67A1E" w14:textId="77777777" w:rsidR="00EC79BD" w:rsidRPr="00817966" w:rsidRDefault="00EC79BD" w:rsidP="00EC79BD">
      <w:pPr>
        <w:shd w:val="clear" w:color="auto" w:fill="FFFFFF"/>
        <w:tabs>
          <w:tab w:val="clear" w:pos="284"/>
        </w:tabs>
        <w:spacing w:line="240" w:lineRule="auto"/>
        <w:ind w:left="1440"/>
        <w:rPr>
          <w:rStyle w:val="Stark"/>
          <w:rFonts w:asciiTheme="minorHAnsi" w:hAnsiTheme="minorHAnsi"/>
          <w:b w:val="0"/>
          <w:bCs/>
        </w:rPr>
      </w:pPr>
      <w:r w:rsidRPr="00817966">
        <w:rPr>
          <w:rStyle w:val="Stark"/>
          <w:rFonts w:asciiTheme="minorHAnsi" w:hAnsiTheme="minorHAnsi"/>
          <w:b w:val="0"/>
          <w:bCs/>
        </w:rPr>
        <w:t xml:space="preserve">Tydlig symtomförbättring samt tydlig försämring när behandlingen upphör stärker misstanken om astma </w:t>
      </w:r>
      <w:r w:rsidRPr="00817966">
        <w:rPr>
          <w:rStyle w:val="Stark"/>
          <w:rFonts w:asciiTheme="minorHAnsi" w:hAnsiTheme="minorHAnsi"/>
          <w:b w:val="0"/>
          <w:bCs/>
        </w:rPr>
        <w:br/>
      </w:r>
    </w:p>
    <w:p w14:paraId="0FA7BCB9" w14:textId="77777777" w:rsidR="00EC79BD" w:rsidRPr="00817966" w:rsidRDefault="00EC79BD" w:rsidP="00EC79BD">
      <w:pPr>
        <w:pStyle w:val="Rubrik3"/>
        <w:numPr>
          <w:ilvl w:val="0"/>
          <w:numId w:val="72"/>
        </w:numPr>
        <w:tabs>
          <w:tab w:val="clear" w:pos="720"/>
          <w:tab w:val="num" w:pos="340"/>
        </w:tabs>
        <w:spacing w:before="0"/>
        <w:ind w:left="340" w:hanging="340"/>
        <w:rPr>
          <w:rFonts w:asciiTheme="minorHAnsi" w:hAnsiTheme="minorHAnsi" w:cs="Calibri"/>
          <w:szCs w:val="24"/>
          <w:lang w:eastAsia="sv-SE"/>
        </w:rPr>
      </w:pPr>
      <w:bookmarkStart w:id="13" w:name="_Toc150457952"/>
      <w:r w:rsidRPr="00817966">
        <w:rPr>
          <w:rFonts w:asciiTheme="minorHAnsi" w:hAnsiTheme="minorHAnsi" w:cs="Calibri"/>
          <w:szCs w:val="24"/>
          <w:lang w:eastAsia="sv-SE"/>
        </w:rPr>
        <w:t>Spirometrifynd som talar för astma:</w:t>
      </w:r>
      <w:bookmarkEnd w:id="13"/>
    </w:p>
    <w:p w14:paraId="30FFC74C" w14:textId="77777777" w:rsidR="00EC79BD" w:rsidRPr="00EC3286" w:rsidRDefault="00EC79BD" w:rsidP="00EC79BD">
      <w:pPr>
        <w:pStyle w:val="Normal4"/>
        <w:numPr>
          <w:ilvl w:val="1"/>
          <w:numId w:val="72"/>
        </w:numPr>
        <w:spacing w:before="0" w:beforeAutospacing="0" w:after="0" w:afterAutospacing="0"/>
        <w:rPr>
          <w:rFonts w:asciiTheme="minorHAnsi" w:hAnsiTheme="minorHAnsi" w:cs="Calibri"/>
          <w:b/>
          <w:bCs/>
          <w:color w:val="000000" w:themeColor="text1"/>
        </w:rPr>
      </w:pPr>
      <w:r w:rsidRPr="00EC3286">
        <w:rPr>
          <w:rFonts w:asciiTheme="minorHAnsi" w:hAnsiTheme="minorHAnsi" w:cs="Calibri"/>
          <w:i/>
          <w:iCs/>
          <w:color w:val="000000" w:themeColor="text1"/>
        </w:rPr>
        <w:t xml:space="preserve"> </w:t>
      </w:r>
      <w:r w:rsidRPr="00EC3286">
        <w:rPr>
          <w:rFonts w:asciiTheme="minorHAnsi" w:hAnsiTheme="minorHAnsi" w:cs="Calibri"/>
          <w:color w:val="000000" w:themeColor="text1"/>
        </w:rPr>
        <w:t xml:space="preserve">Reversibel bronkobstruktion: </w:t>
      </w:r>
      <w:hyperlink w:anchor="_ORDLISTA" w:history="1">
        <w:r w:rsidRPr="00EC3286">
          <w:rPr>
            <w:rStyle w:val="Hyperlnk"/>
            <w:rFonts w:asciiTheme="minorHAnsi" w:hAnsiTheme="minorHAnsi" w:cs="Calibri"/>
            <w:color w:val="B46400" w:themeColor="accent6" w:themeShade="BF"/>
          </w:rPr>
          <w:t>FEV1</w:t>
        </w:r>
      </w:hyperlink>
      <w:r w:rsidRPr="00EC3286">
        <w:rPr>
          <w:rFonts w:asciiTheme="minorHAnsi" w:hAnsiTheme="minorHAnsi" w:cs="Calibri"/>
          <w:color w:val="B46400" w:themeColor="accent6" w:themeShade="BF"/>
        </w:rPr>
        <w:t xml:space="preserve"> </w:t>
      </w:r>
      <w:r w:rsidRPr="00EC3286">
        <w:rPr>
          <w:rFonts w:asciiTheme="minorHAnsi" w:hAnsiTheme="minorHAnsi" w:cs="Calibri"/>
          <w:color w:val="000000" w:themeColor="text1"/>
        </w:rPr>
        <w:t xml:space="preserve">ökar med minst 12 % efter bronkdilatationstest (400 µg salbutamol givet med spray och spacer) </w:t>
      </w:r>
      <w:r w:rsidRPr="00EC3286">
        <w:rPr>
          <w:rFonts w:asciiTheme="minorHAnsi" w:hAnsiTheme="minorHAnsi" w:cs="Calibri"/>
          <w:color w:val="000000" w:themeColor="text1"/>
        </w:rPr>
        <w:tab/>
      </w:r>
    </w:p>
    <w:p w14:paraId="5F8D6A07" w14:textId="77777777" w:rsidR="00EC79BD" w:rsidRPr="00EC3286" w:rsidRDefault="00EC79BD" w:rsidP="00EC79BD">
      <w:pPr>
        <w:pStyle w:val="Normal4"/>
        <w:spacing w:before="0" w:beforeAutospacing="0" w:after="0" w:afterAutospacing="0"/>
        <w:ind w:left="1440"/>
        <w:jc w:val="center"/>
        <w:rPr>
          <w:rFonts w:asciiTheme="minorHAnsi" w:hAnsiTheme="minorHAnsi" w:cs="Calibri"/>
          <w:b/>
          <w:bCs/>
          <w:color w:val="000000" w:themeColor="text1"/>
        </w:rPr>
      </w:pPr>
      <w:r w:rsidRPr="00EC3286">
        <w:rPr>
          <w:rFonts w:asciiTheme="minorHAnsi" w:hAnsiTheme="minorHAnsi" w:cs="Calibri"/>
          <w:b/>
          <w:bCs/>
          <w:color w:val="000000" w:themeColor="text1"/>
        </w:rPr>
        <w:t xml:space="preserve">Eller </w:t>
      </w:r>
    </w:p>
    <w:p w14:paraId="4F2969F4" w14:textId="77777777" w:rsidR="00EC79BD" w:rsidRDefault="00EC79BD" w:rsidP="00EC79BD">
      <w:pPr>
        <w:pStyle w:val="Normal4"/>
        <w:numPr>
          <w:ilvl w:val="1"/>
          <w:numId w:val="72"/>
        </w:numPr>
        <w:spacing w:before="0" w:beforeAutospacing="0" w:after="0" w:afterAutospacing="0"/>
        <w:rPr>
          <w:rFonts w:asciiTheme="minorHAnsi" w:hAnsiTheme="minorHAnsi" w:cs="Calibri"/>
          <w:color w:val="000000" w:themeColor="text1"/>
        </w:rPr>
      </w:pPr>
      <w:r w:rsidRPr="00EC3286">
        <w:rPr>
          <w:rFonts w:asciiTheme="minorHAnsi" w:hAnsiTheme="minorHAnsi" w:cs="Calibri"/>
          <w:color w:val="000000" w:themeColor="text1"/>
        </w:rPr>
        <w:t>FEV1 ökar med minst 12 % efter 6-8 veckors ICS-behandling i medelhög-hög dos</w:t>
      </w:r>
      <w:r w:rsidRPr="00EC3286">
        <w:rPr>
          <w:rFonts w:asciiTheme="minorHAnsi" w:hAnsiTheme="minorHAnsi" w:cs="Calibri"/>
          <w:color w:val="000000" w:themeColor="text1"/>
        </w:rPr>
        <w:tab/>
      </w:r>
    </w:p>
    <w:p w14:paraId="02D2A690" w14:textId="77777777" w:rsidR="00EC79BD" w:rsidRPr="00E05713" w:rsidRDefault="00EC79BD" w:rsidP="00EC79BD">
      <w:pPr>
        <w:tabs>
          <w:tab w:val="clear" w:pos="284"/>
        </w:tabs>
        <w:spacing w:after="120" w:line="260" w:lineRule="atLeast"/>
        <w:rPr>
          <w:rFonts w:asciiTheme="minorHAnsi" w:eastAsia="Times New Roman" w:hAnsiTheme="minorHAnsi" w:cs="Calibri"/>
          <w:color w:val="000000" w:themeColor="text1"/>
          <w:sz w:val="24"/>
          <w:szCs w:val="24"/>
          <w:lang w:eastAsia="sv-SE"/>
        </w:rPr>
      </w:pPr>
      <w:r>
        <w:rPr>
          <w:rFonts w:asciiTheme="minorHAnsi" w:hAnsiTheme="minorHAnsi" w:cs="Calibri"/>
          <w:color w:val="000000" w:themeColor="text1"/>
        </w:rPr>
        <w:br w:type="page"/>
      </w:r>
    </w:p>
    <w:p w14:paraId="664C8B85" w14:textId="77777777" w:rsidR="00EC79BD" w:rsidRPr="00EC3286" w:rsidRDefault="00EC79BD" w:rsidP="00EC79BD">
      <w:pPr>
        <w:pStyle w:val="Normal4"/>
        <w:spacing w:before="0" w:beforeAutospacing="0" w:after="0" w:afterAutospacing="0"/>
        <w:ind w:left="1440"/>
        <w:rPr>
          <w:rFonts w:asciiTheme="minorHAnsi" w:hAnsiTheme="minorHAnsi" w:cs="Calibri"/>
          <w:color w:val="000000" w:themeColor="text1"/>
        </w:rPr>
      </w:pPr>
    </w:p>
    <w:p w14:paraId="219169C7" w14:textId="77777777" w:rsidR="00EC79BD" w:rsidRPr="00817966" w:rsidRDefault="00EC79BD" w:rsidP="00EC79BD">
      <w:pPr>
        <w:pStyle w:val="Rubrik3"/>
        <w:numPr>
          <w:ilvl w:val="0"/>
          <w:numId w:val="72"/>
        </w:numPr>
        <w:tabs>
          <w:tab w:val="clear" w:pos="720"/>
          <w:tab w:val="num" w:pos="340"/>
        </w:tabs>
        <w:spacing w:before="0"/>
        <w:ind w:left="340" w:hanging="340"/>
        <w:rPr>
          <w:rFonts w:asciiTheme="minorHAnsi" w:hAnsiTheme="minorHAnsi" w:cs="Calibri"/>
          <w:szCs w:val="24"/>
          <w:lang w:eastAsia="sv-SE"/>
        </w:rPr>
      </w:pPr>
      <w:bookmarkStart w:id="14" w:name="_Toc150457953"/>
      <w:bookmarkStart w:id="15" w:name="_Hlk149033691"/>
      <w:r w:rsidRPr="00817966">
        <w:rPr>
          <w:rFonts w:asciiTheme="minorHAnsi" w:hAnsiTheme="minorHAnsi" w:cs="Calibri"/>
          <w:szCs w:val="24"/>
          <w:lang w:eastAsia="sv-SE"/>
        </w:rPr>
        <w:t>Ytterligare utredning (och lämplig utredande instans)</w:t>
      </w:r>
      <w:bookmarkEnd w:id="14"/>
    </w:p>
    <w:p w14:paraId="6293B675" w14:textId="77777777" w:rsidR="00EC79BD" w:rsidRPr="00EC3286" w:rsidRDefault="00EC79BD" w:rsidP="00EC79BD">
      <w:pPr>
        <w:pStyle w:val="Normal4"/>
        <w:numPr>
          <w:ilvl w:val="1"/>
          <w:numId w:val="72"/>
        </w:numPr>
        <w:spacing w:before="0" w:beforeAutospacing="0" w:after="0" w:afterAutospacing="0"/>
        <w:rPr>
          <w:rFonts w:asciiTheme="minorHAnsi" w:hAnsiTheme="minorHAnsi" w:cs="Calibri"/>
          <w:color w:val="000000" w:themeColor="text1"/>
        </w:rPr>
      </w:pPr>
      <w:r w:rsidRPr="00EC3286">
        <w:rPr>
          <w:rFonts w:asciiTheme="minorHAnsi" w:hAnsiTheme="minorHAnsi" w:cs="Calibri"/>
          <w:color w:val="000000" w:themeColor="text1"/>
        </w:rPr>
        <w:t>Allergitest (primärvård eller barnklinik)</w:t>
      </w:r>
    </w:p>
    <w:p w14:paraId="57CB8510" w14:textId="77777777" w:rsidR="00EC79BD" w:rsidRPr="00E05713" w:rsidRDefault="00EC79BD" w:rsidP="00EC79BD">
      <w:pPr>
        <w:pStyle w:val="Normal4"/>
        <w:numPr>
          <w:ilvl w:val="2"/>
          <w:numId w:val="72"/>
        </w:numPr>
        <w:spacing w:before="0" w:beforeAutospacing="0" w:after="0" w:afterAutospacing="0"/>
      </w:pPr>
      <w:r w:rsidRPr="00E05713">
        <w:rPr>
          <w:rFonts w:asciiTheme="minorHAnsi" w:hAnsiTheme="minorHAnsi" w:cs="Calibri"/>
          <w:color w:val="F18700" w:themeColor="accent6"/>
        </w:rPr>
        <w:t>Ingår i all astmautredning hos barn</w:t>
      </w:r>
    </w:p>
    <w:p w14:paraId="35BC997E" w14:textId="77777777" w:rsidR="00EC79BD" w:rsidRPr="00E05713" w:rsidRDefault="00EC79BD" w:rsidP="00EC79BD">
      <w:pPr>
        <w:tabs>
          <w:tab w:val="clear" w:pos="284"/>
          <w:tab w:val="left" w:pos="3283"/>
        </w:tabs>
        <w:rPr>
          <w:lang w:eastAsia="sv-SE"/>
        </w:rPr>
      </w:pPr>
    </w:p>
    <w:p w14:paraId="1F595915" w14:textId="77777777" w:rsidR="00EC79BD" w:rsidRPr="00593744" w:rsidRDefault="00EC79BD" w:rsidP="00EC79BD">
      <w:pPr>
        <w:pStyle w:val="Normal4"/>
        <w:numPr>
          <w:ilvl w:val="2"/>
          <w:numId w:val="72"/>
        </w:numPr>
        <w:spacing w:before="0" w:beforeAutospacing="0" w:after="0" w:afterAutospacing="0"/>
        <w:rPr>
          <w:rFonts w:asciiTheme="minorHAnsi" w:hAnsiTheme="minorHAnsi" w:cs="Calibri"/>
          <w:color w:val="000000" w:themeColor="text1"/>
        </w:rPr>
      </w:pPr>
      <w:r w:rsidRPr="00EC3286">
        <w:rPr>
          <w:rFonts w:asciiTheme="minorHAnsi" w:hAnsiTheme="minorHAnsi" w:cs="Calibri"/>
          <w:noProof/>
          <w:color w:val="000000" w:themeColor="text1"/>
        </w:rPr>
        <mc:AlternateContent>
          <mc:Choice Requires="wps">
            <w:drawing>
              <wp:anchor distT="0" distB="0" distL="114300" distR="114300" simplePos="0" relativeHeight="251751424" behindDoc="0" locked="0" layoutInCell="1" allowOverlap="1" wp14:anchorId="5A8A6D45" wp14:editId="0B8EDA3E">
                <wp:simplePos x="0" y="0"/>
                <wp:positionH relativeFrom="column">
                  <wp:posOffset>3116580</wp:posOffset>
                </wp:positionH>
                <wp:positionV relativeFrom="paragraph">
                  <wp:posOffset>299358</wp:posOffset>
                </wp:positionV>
                <wp:extent cx="1920625" cy="1163976"/>
                <wp:effectExtent l="57150" t="38100" r="80010" b="93345"/>
                <wp:wrapTopAndBottom/>
                <wp:docPr id="42" name="Textruta 42"/>
                <wp:cNvGraphicFramePr/>
                <a:graphic xmlns:a="http://schemas.openxmlformats.org/drawingml/2006/main">
                  <a:graphicData uri="http://schemas.microsoft.com/office/word/2010/wordprocessingShape">
                    <wps:wsp>
                      <wps:cNvSpPr txBox="1"/>
                      <wps:spPr>
                        <a:xfrm>
                          <a:off x="0" y="0"/>
                          <a:ext cx="1920625" cy="1163976"/>
                        </a:xfrm>
                        <a:prstGeom prst="rect">
                          <a:avLst/>
                        </a:prstGeom>
                        <a:gradFill rotWithShape="1">
                          <a:gsLst>
                            <a:gs pos="0">
                              <a:srgbClr val="00A6E2">
                                <a:tint val="50000"/>
                                <a:satMod val="300000"/>
                              </a:srgbClr>
                            </a:gs>
                            <a:gs pos="35000">
                              <a:srgbClr val="00A6E2">
                                <a:tint val="37000"/>
                                <a:satMod val="300000"/>
                              </a:srgbClr>
                            </a:gs>
                            <a:gs pos="100000">
                              <a:srgbClr val="00A6E2">
                                <a:tint val="15000"/>
                                <a:satMod val="350000"/>
                              </a:srgbClr>
                            </a:gs>
                          </a:gsLst>
                          <a:lin ang="16200000" scaled="1"/>
                        </a:gradFill>
                        <a:ln w="9525" cap="flat" cmpd="sng" algn="ctr">
                          <a:solidFill>
                            <a:srgbClr val="00A6E2">
                              <a:shade val="95000"/>
                              <a:satMod val="105000"/>
                            </a:srgbClr>
                          </a:solidFill>
                          <a:prstDash val="solid"/>
                        </a:ln>
                        <a:effectLst>
                          <a:outerShdw blurRad="40000" dist="20000" dir="5400000" rotWithShape="0">
                            <a:srgbClr val="000000">
                              <a:alpha val="38000"/>
                            </a:srgbClr>
                          </a:outerShdw>
                        </a:effectLst>
                      </wps:spPr>
                      <wps:txbx>
                        <w:txbxContent>
                          <w:p w14:paraId="2B7693BE" w14:textId="77777777" w:rsidR="00EC79BD" w:rsidRPr="00C6121F" w:rsidRDefault="00EC79BD" w:rsidP="00EC79BD">
                            <w:pPr>
                              <w:pStyle w:val="Normal4"/>
                              <w:spacing w:before="0" w:beforeAutospacing="0" w:after="0" w:afterAutospacing="0"/>
                              <w:rPr>
                                <w:rFonts w:ascii="Calibri" w:hAnsi="Calibri" w:cs="Calibri"/>
                                <w:b/>
                                <w:bCs/>
                                <w:color w:val="003D7C" w:themeColor="text2"/>
                              </w:rPr>
                            </w:pPr>
                            <w:r w:rsidRPr="00C6121F">
                              <w:rPr>
                                <w:rFonts w:ascii="Calibri" w:hAnsi="Calibri" w:cs="Calibri"/>
                                <w:color w:val="003D7C" w:themeColor="text2"/>
                              </w:rPr>
                              <w:t>björk</w:t>
                            </w:r>
                          </w:p>
                          <w:p w14:paraId="7F0EA9AD" w14:textId="77777777" w:rsidR="00EC79BD" w:rsidRDefault="00EC79BD" w:rsidP="00EC79BD">
                            <w:pPr>
                              <w:tabs>
                                <w:tab w:val="clear" w:pos="284"/>
                              </w:tabs>
                              <w:spacing w:line="276" w:lineRule="auto"/>
                              <w:rPr>
                                <w:rFonts w:ascii="Calibri" w:hAnsi="Calibri" w:cs="Calibri"/>
                                <w:color w:val="003D7C" w:themeColor="text2"/>
                              </w:rPr>
                            </w:pPr>
                            <w:r>
                              <w:rPr>
                                <w:rFonts w:ascii="Calibri" w:hAnsi="Calibri" w:cs="Calibri"/>
                                <w:color w:val="003D7C" w:themeColor="text2"/>
                              </w:rPr>
                              <w:t>t</w:t>
                            </w:r>
                            <w:r w:rsidRPr="00C6121F">
                              <w:rPr>
                                <w:rFonts w:ascii="Calibri" w:hAnsi="Calibri" w:cs="Calibri"/>
                                <w:color w:val="003D7C" w:themeColor="text2"/>
                              </w:rPr>
                              <w:t>imotej</w:t>
                            </w:r>
                          </w:p>
                          <w:p w14:paraId="709040E4" w14:textId="77777777" w:rsidR="00EC79BD" w:rsidRDefault="00EC79BD" w:rsidP="00EC79BD">
                            <w:pPr>
                              <w:tabs>
                                <w:tab w:val="clear" w:pos="284"/>
                              </w:tabs>
                              <w:spacing w:line="276" w:lineRule="auto"/>
                              <w:rPr>
                                <w:rFonts w:ascii="Calibri" w:hAnsi="Calibri" w:cs="Calibri"/>
                                <w:color w:val="003D7C" w:themeColor="text2"/>
                              </w:rPr>
                            </w:pPr>
                            <w:r>
                              <w:rPr>
                                <w:rFonts w:ascii="Calibri" w:hAnsi="Calibri" w:cs="Calibri"/>
                                <w:color w:val="003D7C" w:themeColor="text2"/>
                              </w:rPr>
                              <w:t>h</w:t>
                            </w:r>
                            <w:r w:rsidRPr="00C6121F">
                              <w:rPr>
                                <w:rFonts w:ascii="Calibri" w:hAnsi="Calibri" w:cs="Calibri"/>
                                <w:color w:val="003D7C" w:themeColor="text2"/>
                              </w:rPr>
                              <w:t>usdammskvalster D1</w:t>
                            </w:r>
                            <w:r>
                              <w:rPr>
                                <w:rFonts w:ascii="Calibri" w:hAnsi="Calibri" w:cs="Calibri"/>
                                <w:color w:val="003D7C" w:themeColor="text2"/>
                              </w:rPr>
                              <w:t xml:space="preserve"> &amp;</w:t>
                            </w:r>
                            <w:r w:rsidRPr="00C6121F">
                              <w:rPr>
                                <w:rFonts w:ascii="Calibri" w:hAnsi="Calibri" w:cs="Calibri"/>
                                <w:color w:val="003D7C" w:themeColor="text2"/>
                              </w:rPr>
                              <w:t xml:space="preserve"> D2</w:t>
                            </w:r>
                          </w:p>
                          <w:p w14:paraId="69164C28" w14:textId="77777777" w:rsidR="00EC79BD" w:rsidRDefault="00EC79BD" w:rsidP="00EC79BD">
                            <w:pPr>
                              <w:tabs>
                                <w:tab w:val="clear" w:pos="284"/>
                              </w:tabs>
                              <w:spacing w:line="276" w:lineRule="auto"/>
                            </w:pPr>
                            <w:r>
                              <w:rPr>
                                <w:rFonts w:ascii="Calibri" w:hAnsi="Calibri" w:cs="Calibri"/>
                                <w:color w:val="003D7C" w:themeColor="text2"/>
                              </w:rPr>
                              <w:t>k</w:t>
                            </w:r>
                            <w:r w:rsidRPr="00C6121F">
                              <w:rPr>
                                <w:rFonts w:ascii="Calibri" w:hAnsi="Calibri" w:cs="Calibri"/>
                                <w:color w:val="003D7C" w:themeColor="text2"/>
                              </w:rPr>
                              <w:t xml:space="preserve">att samt </w:t>
                            </w:r>
                            <w:r>
                              <w:rPr>
                                <w:rFonts w:ascii="Calibri" w:hAnsi="Calibri" w:cs="Calibri"/>
                                <w:color w:val="003D7C" w:themeColor="text2"/>
                              </w:rPr>
                              <w:t xml:space="preserve">andra </w:t>
                            </w:r>
                            <w:r w:rsidRPr="00C6121F">
                              <w:rPr>
                                <w:rFonts w:ascii="Calibri" w:hAnsi="Calibri" w:cs="Calibri"/>
                                <w:color w:val="003D7C" w:themeColor="text2"/>
                              </w:rPr>
                              <w:t>eventuella hus(päls)djur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A6D45" id="Textruta 42" o:spid="_x0000_s1034" type="#_x0000_t202" style="position:absolute;left:0;text-align:left;margin-left:245.4pt;margin-top:23.55pt;width:151.25pt;height:91.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" fillcolor="#86ddff" strokecolor="#00a5e2">
                <v:fill color2="#dcf5ff" rotate="t" angle="180" colors="0 #86ddff;22938f #abe5ff;1 #dcf5ff" focus="100%" type="gradient"/>
                <v:shadow on="t" color="black" opacity="24903f" origin=",.5" offset="0,.55556mm"/>
                <v:textbox>
                  <w:txbxContent>
                    <w:p w14:paraId="2B7693BE" w14:textId="77777777" w:rsidR="00EC79BD" w:rsidRPr="00C6121F" w:rsidRDefault="00EC79BD" w:rsidP="00EC79BD">
                      <w:pPr>
                        <w:pStyle w:val="Normal4"/>
                        <w:spacing w:before="0" w:beforeAutospacing="0" w:after="0" w:afterAutospacing="0"/>
                        <w:rPr>
                          <w:rFonts w:ascii="Calibri" w:hAnsi="Calibri" w:cs="Calibri"/>
                          <w:b/>
                          <w:bCs/>
                          <w:color w:val="003D7C" w:themeColor="text2"/>
                        </w:rPr>
                      </w:pPr>
                      <w:r w:rsidRPr="00C6121F">
                        <w:rPr>
                          <w:rFonts w:ascii="Calibri" w:hAnsi="Calibri" w:cs="Calibri"/>
                          <w:color w:val="003D7C" w:themeColor="text2"/>
                        </w:rPr>
                        <w:t>björk</w:t>
                      </w:r>
                    </w:p>
                    <w:p w14:paraId="7F0EA9AD" w14:textId="77777777" w:rsidR="00EC79BD" w:rsidRDefault="00EC79BD" w:rsidP="00EC79BD">
                      <w:pPr>
                        <w:tabs>
                          <w:tab w:val="clear" w:pos="284"/>
                        </w:tabs>
                        <w:spacing w:line="276" w:lineRule="auto"/>
                        <w:rPr>
                          <w:rFonts w:ascii="Calibri" w:hAnsi="Calibri" w:cs="Calibri"/>
                          <w:color w:val="003D7C" w:themeColor="text2"/>
                        </w:rPr>
                      </w:pPr>
                      <w:r>
                        <w:rPr>
                          <w:rFonts w:ascii="Calibri" w:hAnsi="Calibri" w:cs="Calibri"/>
                          <w:color w:val="003D7C" w:themeColor="text2"/>
                        </w:rPr>
                        <w:t>t</w:t>
                      </w:r>
                      <w:r w:rsidRPr="00C6121F">
                        <w:rPr>
                          <w:rFonts w:ascii="Calibri" w:hAnsi="Calibri" w:cs="Calibri"/>
                          <w:color w:val="003D7C" w:themeColor="text2"/>
                        </w:rPr>
                        <w:t>imotej</w:t>
                      </w:r>
                    </w:p>
                    <w:p w14:paraId="709040E4" w14:textId="77777777" w:rsidR="00EC79BD" w:rsidRDefault="00EC79BD" w:rsidP="00EC79BD">
                      <w:pPr>
                        <w:tabs>
                          <w:tab w:val="clear" w:pos="284"/>
                        </w:tabs>
                        <w:spacing w:line="276" w:lineRule="auto"/>
                        <w:rPr>
                          <w:rFonts w:ascii="Calibri" w:hAnsi="Calibri" w:cs="Calibri"/>
                          <w:color w:val="003D7C" w:themeColor="text2"/>
                        </w:rPr>
                      </w:pPr>
                      <w:r>
                        <w:rPr>
                          <w:rFonts w:ascii="Calibri" w:hAnsi="Calibri" w:cs="Calibri"/>
                          <w:color w:val="003D7C" w:themeColor="text2"/>
                        </w:rPr>
                        <w:t>h</w:t>
                      </w:r>
                      <w:r w:rsidRPr="00C6121F">
                        <w:rPr>
                          <w:rFonts w:ascii="Calibri" w:hAnsi="Calibri" w:cs="Calibri"/>
                          <w:color w:val="003D7C" w:themeColor="text2"/>
                        </w:rPr>
                        <w:t>usdammskvalster D1</w:t>
                      </w:r>
                      <w:r>
                        <w:rPr>
                          <w:rFonts w:ascii="Calibri" w:hAnsi="Calibri" w:cs="Calibri"/>
                          <w:color w:val="003D7C" w:themeColor="text2"/>
                        </w:rPr>
                        <w:t xml:space="preserve"> &amp;</w:t>
                      </w:r>
                      <w:r w:rsidRPr="00C6121F">
                        <w:rPr>
                          <w:rFonts w:ascii="Calibri" w:hAnsi="Calibri" w:cs="Calibri"/>
                          <w:color w:val="003D7C" w:themeColor="text2"/>
                        </w:rPr>
                        <w:t xml:space="preserve"> D2</w:t>
                      </w:r>
                    </w:p>
                    <w:p w14:paraId="69164C28" w14:textId="77777777" w:rsidR="00EC79BD" w:rsidRDefault="00EC79BD" w:rsidP="00EC79BD">
                      <w:pPr>
                        <w:tabs>
                          <w:tab w:val="clear" w:pos="284"/>
                        </w:tabs>
                        <w:spacing w:line="276" w:lineRule="auto"/>
                      </w:pPr>
                      <w:r>
                        <w:rPr>
                          <w:rFonts w:ascii="Calibri" w:hAnsi="Calibri" w:cs="Calibri"/>
                          <w:color w:val="003D7C" w:themeColor="text2"/>
                        </w:rPr>
                        <w:t>k</w:t>
                      </w:r>
                      <w:r w:rsidRPr="00C6121F">
                        <w:rPr>
                          <w:rFonts w:ascii="Calibri" w:hAnsi="Calibri" w:cs="Calibri"/>
                          <w:color w:val="003D7C" w:themeColor="text2"/>
                        </w:rPr>
                        <w:t xml:space="preserve">att samt </w:t>
                      </w:r>
                      <w:r>
                        <w:rPr>
                          <w:rFonts w:ascii="Calibri" w:hAnsi="Calibri" w:cs="Calibri"/>
                          <w:color w:val="003D7C" w:themeColor="text2"/>
                        </w:rPr>
                        <w:t xml:space="preserve">andra </w:t>
                      </w:r>
                      <w:r w:rsidRPr="00C6121F">
                        <w:rPr>
                          <w:rFonts w:ascii="Calibri" w:hAnsi="Calibri" w:cs="Calibri"/>
                          <w:color w:val="003D7C" w:themeColor="text2"/>
                        </w:rPr>
                        <w:t>eventuella hus(päls)djur</w:t>
                      </w:r>
                    </w:p>
                  </w:txbxContent>
                </v:textbox>
                <w10:wrap type="topAndBottom"/>
              </v:shape>
            </w:pict>
          </mc:Fallback>
        </mc:AlternateContent>
      </w:r>
      <w:r w:rsidRPr="00593744">
        <w:rPr>
          <w:rFonts w:asciiTheme="minorHAnsi" w:hAnsiTheme="minorHAnsi" w:cs="Calibri"/>
          <w:color w:val="000000" w:themeColor="text1"/>
        </w:rPr>
        <w:t xml:space="preserve">Vid hög misstanke om allergi, ta specifika allergener, </w:t>
      </w:r>
      <w:r>
        <w:rPr>
          <w:rFonts w:asciiTheme="minorHAnsi" w:hAnsiTheme="minorHAnsi" w:cs="Calibri"/>
          <w:color w:val="000000" w:themeColor="text1"/>
        </w:rPr>
        <w:t>f</w:t>
      </w:r>
      <w:r w:rsidRPr="00593744">
        <w:rPr>
          <w:rFonts w:asciiTheme="minorHAnsi" w:hAnsiTheme="minorHAnsi" w:cs="Calibri"/>
          <w:color w:val="000000" w:themeColor="text1"/>
        </w:rPr>
        <w:t>örslagsvis</w:t>
      </w:r>
    </w:p>
    <w:p w14:paraId="41BB3A18" w14:textId="382B91C6" w:rsidR="00EC79BD" w:rsidRPr="00817966" w:rsidRDefault="00EC79BD" w:rsidP="00EC79BD">
      <w:pPr>
        <w:tabs>
          <w:tab w:val="clear" w:pos="284"/>
        </w:tabs>
        <w:spacing w:after="120" w:line="260" w:lineRule="atLeast"/>
        <w:rPr>
          <w:rStyle w:val="Stark"/>
          <w:rFonts w:asciiTheme="minorHAnsi" w:eastAsiaTheme="minorEastAsia" w:hAnsiTheme="minorHAnsi" w:cs="Calibri"/>
          <w:bCs/>
          <w:iCs/>
        </w:rPr>
      </w:pPr>
      <w:r w:rsidRPr="00817966">
        <w:rPr>
          <w:rFonts w:asciiTheme="minorHAnsi" w:hAnsiTheme="minorHAnsi" w:cs="Calibri"/>
          <w:color w:val="000000" w:themeColor="text1"/>
        </w:rPr>
        <w:t xml:space="preserve">Vid låg misstanke om allergi, beställ </w:t>
      </w:r>
      <w:r w:rsidR="007E0573" w:rsidRPr="00817966">
        <w:rPr>
          <w:rFonts w:asciiTheme="minorHAnsi" w:hAnsiTheme="minorHAnsi" w:cs="Calibri"/>
          <w:color w:val="000000" w:themeColor="text1"/>
        </w:rPr>
        <w:t>i stället</w:t>
      </w:r>
      <w:r w:rsidRPr="00817966">
        <w:rPr>
          <w:rFonts w:asciiTheme="minorHAnsi" w:hAnsiTheme="minorHAnsi" w:cs="Calibri"/>
          <w:color w:val="000000" w:themeColor="text1"/>
        </w:rPr>
        <w:t xml:space="preserve"> panelen ”S-Phadiatopmix (PHADMIX)” Panelen är billigare än specifika analyser om svaren är negativa och inte behöver analyseras vidare.</w:t>
      </w:r>
    </w:p>
    <w:p w14:paraId="46B07ECA" w14:textId="77777777" w:rsidR="00EC79BD" w:rsidRPr="005C429D" w:rsidRDefault="00EC79BD" w:rsidP="00EC79BD">
      <w:pPr>
        <w:pStyle w:val="Liststycke"/>
        <w:numPr>
          <w:ilvl w:val="1"/>
          <w:numId w:val="72"/>
        </w:numPr>
        <w:shd w:val="clear" w:color="auto" w:fill="FFFFFF"/>
        <w:tabs>
          <w:tab w:val="clear" w:pos="284"/>
        </w:tabs>
        <w:spacing w:line="276" w:lineRule="auto"/>
        <w:rPr>
          <w:rFonts w:asciiTheme="minorHAnsi" w:eastAsia="Times New Roman" w:hAnsiTheme="minorHAnsi" w:cs="Calibri"/>
          <w:color w:val="000000" w:themeColor="text1"/>
          <w:szCs w:val="24"/>
          <w:lang w:eastAsia="sv-SE"/>
        </w:rPr>
      </w:pPr>
      <w:hyperlink w:anchor="_ORDLISTA" w:history="1">
        <w:r w:rsidRPr="005C429D">
          <w:rPr>
            <w:rStyle w:val="Hyperlnk"/>
            <w:rFonts w:asciiTheme="minorHAnsi" w:hAnsiTheme="minorHAnsi" w:cs="Calibri"/>
            <w:color w:val="B46400" w:themeColor="accent6" w:themeShade="BF"/>
            <w:szCs w:val="24"/>
          </w:rPr>
          <w:t>PEF</w:t>
        </w:r>
      </w:hyperlink>
      <w:r w:rsidRPr="005C429D">
        <w:rPr>
          <w:rFonts w:asciiTheme="minorHAnsi" w:hAnsiTheme="minorHAnsi" w:cs="Calibri"/>
          <w:color w:val="000000" w:themeColor="text1"/>
          <w:szCs w:val="24"/>
        </w:rPr>
        <w:t>-kurva (primärvård eller barnklinik)</w:t>
      </w:r>
    </w:p>
    <w:p w14:paraId="7BFCDD93" w14:textId="77777777" w:rsidR="00EC79BD" w:rsidRPr="00385292" w:rsidRDefault="00EC79BD" w:rsidP="00EC79BD">
      <w:pPr>
        <w:pStyle w:val="Liststycke"/>
        <w:numPr>
          <w:ilvl w:val="2"/>
          <w:numId w:val="72"/>
        </w:numPr>
        <w:shd w:val="clear" w:color="auto" w:fill="FFFFFF"/>
        <w:tabs>
          <w:tab w:val="clear" w:pos="284"/>
        </w:tabs>
        <w:spacing w:line="276" w:lineRule="auto"/>
        <w:rPr>
          <w:rFonts w:asciiTheme="minorHAnsi" w:eastAsia="Times New Roman" w:hAnsiTheme="minorHAnsi" w:cs="Calibri"/>
          <w:color w:val="000000" w:themeColor="text1"/>
          <w:szCs w:val="24"/>
          <w:lang w:eastAsia="sv-SE"/>
        </w:rPr>
      </w:pPr>
      <w:r w:rsidRPr="00EC3286">
        <w:rPr>
          <w:rFonts w:asciiTheme="minorHAnsi" w:hAnsiTheme="minorHAnsi" w:cs="Calibri"/>
          <w:color w:val="000000" w:themeColor="text1"/>
          <w:szCs w:val="24"/>
        </w:rPr>
        <w:t>Kan övervägas när spirometri med bronkdilatationstest ej gett diagno</w:t>
      </w:r>
      <w:r>
        <w:rPr>
          <w:rFonts w:asciiTheme="minorHAnsi" w:hAnsiTheme="minorHAnsi" w:cs="Calibri"/>
          <w:color w:val="000000" w:themeColor="text1"/>
          <w:szCs w:val="24"/>
        </w:rPr>
        <w:t>s</w:t>
      </w:r>
    </w:p>
    <w:p w14:paraId="2ECD5A92" w14:textId="77777777" w:rsidR="00EC79BD" w:rsidRDefault="00EC79BD" w:rsidP="00EC79BD">
      <w:pPr>
        <w:pStyle w:val="Liststycke"/>
        <w:numPr>
          <w:ilvl w:val="2"/>
          <w:numId w:val="72"/>
        </w:numPr>
        <w:shd w:val="clear" w:color="auto" w:fill="FFFFFF"/>
        <w:tabs>
          <w:tab w:val="clear" w:pos="284"/>
        </w:tabs>
        <w:spacing w:line="276" w:lineRule="auto"/>
        <w:rPr>
          <w:rFonts w:asciiTheme="minorHAnsi" w:eastAsia="Times New Roman" w:hAnsiTheme="minorHAnsi" w:cs="Calibri"/>
          <w:color w:val="000000" w:themeColor="text1"/>
          <w:szCs w:val="24"/>
          <w:lang w:eastAsia="sv-SE"/>
        </w:rPr>
      </w:pPr>
      <w:r w:rsidRPr="00EC3286">
        <w:rPr>
          <w:rFonts w:asciiTheme="minorHAnsi" w:eastAsia="Times New Roman" w:hAnsiTheme="minorHAnsi" w:cs="Calibri"/>
          <w:szCs w:val="24"/>
          <w:lang w:eastAsia="sv-SE"/>
        </w:rPr>
        <w:t>Noggranna instruktioner</w:t>
      </w:r>
      <w:r w:rsidRPr="00EC3286">
        <w:rPr>
          <w:rStyle w:val="Hyperlnk"/>
          <w:rFonts w:asciiTheme="minorHAnsi" w:eastAsia="Times New Roman" w:hAnsiTheme="minorHAnsi" w:cs="Calibri"/>
          <w:color w:val="00A6E2" w:themeColor="accent1"/>
          <w:szCs w:val="24"/>
          <w:lang w:eastAsia="sv-SE"/>
        </w:rPr>
        <w:t xml:space="preserve"> </w:t>
      </w:r>
      <w:r w:rsidRPr="00EC3286">
        <w:rPr>
          <w:rFonts w:asciiTheme="minorHAnsi" w:eastAsia="Times New Roman" w:hAnsiTheme="minorHAnsi" w:cs="Calibri"/>
          <w:color w:val="000000" w:themeColor="text1"/>
          <w:szCs w:val="24"/>
          <w:lang w:eastAsia="sv-SE"/>
        </w:rPr>
        <w:t xml:space="preserve">är avgörande </w:t>
      </w:r>
      <w:r>
        <w:rPr>
          <w:rFonts w:asciiTheme="minorHAnsi" w:eastAsia="Times New Roman" w:hAnsiTheme="minorHAnsi" w:cs="Calibri"/>
          <w:color w:val="000000" w:themeColor="text1"/>
          <w:szCs w:val="24"/>
          <w:lang w:eastAsia="sv-SE"/>
        </w:rPr>
        <w:t>(finns på till exempel medicininstruktioner.se)</w:t>
      </w:r>
    </w:p>
    <w:p w14:paraId="17186AC8" w14:textId="77777777" w:rsidR="00EC79BD" w:rsidRDefault="00EC79BD" w:rsidP="00EC79BD">
      <w:pPr>
        <w:pStyle w:val="Liststycke"/>
        <w:numPr>
          <w:ilvl w:val="2"/>
          <w:numId w:val="72"/>
        </w:numPr>
        <w:shd w:val="clear" w:color="auto" w:fill="FFFFFF"/>
        <w:tabs>
          <w:tab w:val="clear" w:pos="284"/>
        </w:tabs>
        <w:spacing w:line="276" w:lineRule="auto"/>
        <w:rPr>
          <w:rFonts w:asciiTheme="minorHAnsi" w:eastAsia="Times New Roman" w:hAnsiTheme="minorHAnsi" w:cs="Calibri"/>
          <w:color w:val="000000" w:themeColor="text1"/>
          <w:szCs w:val="24"/>
          <w:lang w:eastAsia="sv-SE"/>
        </w:rPr>
      </w:pPr>
      <w:r>
        <w:rPr>
          <w:rFonts w:asciiTheme="minorHAnsi" w:eastAsia="Times New Roman" w:hAnsiTheme="minorHAnsi" w:cs="Calibri"/>
          <w:szCs w:val="24"/>
          <w:lang w:eastAsia="sv-SE"/>
        </w:rPr>
        <w:t>Lämpliga PEF-kurvor att skriva ut finns på viss.nu och på medicininstruktioner.se bland annat</w:t>
      </w:r>
    </w:p>
    <w:p w14:paraId="1EC54909" w14:textId="77777777" w:rsidR="00EC79BD" w:rsidRPr="000E358B" w:rsidRDefault="00EC79BD" w:rsidP="00EC79BD">
      <w:pPr>
        <w:pStyle w:val="Liststycke"/>
        <w:numPr>
          <w:ilvl w:val="2"/>
          <w:numId w:val="72"/>
        </w:numPr>
        <w:shd w:val="clear" w:color="auto" w:fill="FFFFFF"/>
        <w:tabs>
          <w:tab w:val="clear" w:pos="284"/>
        </w:tabs>
        <w:spacing w:line="276" w:lineRule="auto"/>
        <w:rPr>
          <w:rFonts w:asciiTheme="minorHAnsi" w:eastAsia="Times New Roman" w:hAnsiTheme="minorHAnsi" w:cs="Calibri"/>
          <w:color w:val="000000" w:themeColor="text1"/>
          <w:szCs w:val="24"/>
          <w:lang w:eastAsia="sv-SE"/>
        </w:rPr>
      </w:pPr>
      <w:r w:rsidRPr="000E358B">
        <w:rPr>
          <w:rFonts w:asciiTheme="minorHAnsi" w:eastAsia="Times New Roman" w:hAnsiTheme="minorHAnsi" w:cs="Calibri"/>
          <w:color w:val="000000" w:themeColor="text1"/>
          <w:szCs w:val="24"/>
          <w:lang w:eastAsia="sv-SE"/>
        </w:rPr>
        <w:t>Variabilitet</w:t>
      </w:r>
      <w:r>
        <w:rPr>
          <w:rFonts w:asciiTheme="minorHAnsi" w:eastAsia="Times New Roman" w:hAnsiTheme="minorHAnsi" w:cs="Calibri"/>
          <w:color w:val="000000" w:themeColor="text1"/>
          <w:szCs w:val="24"/>
          <w:lang w:eastAsia="sv-SE"/>
        </w:rPr>
        <w:t xml:space="preserve"> – kan mätas på flera sätt</w:t>
      </w:r>
    </w:p>
    <w:p w14:paraId="118F9199" w14:textId="77777777" w:rsidR="00EC79BD" w:rsidRPr="000E63B0" w:rsidRDefault="00EC79BD" w:rsidP="00EC79BD">
      <w:pPr>
        <w:pStyle w:val="Liststycke"/>
        <w:numPr>
          <w:ilvl w:val="0"/>
          <w:numId w:val="74"/>
        </w:numPr>
        <w:shd w:val="clear" w:color="auto" w:fill="FFFFFF"/>
        <w:tabs>
          <w:tab w:val="clear" w:pos="284"/>
        </w:tabs>
        <w:spacing w:line="276" w:lineRule="auto"/>
        <w:rPr>
          <w:rFonts w:asciiTheme="minorHAnsi" w:eastAsia="Times New Roman" w:hAnsiTheme="minorHAnsi" w:cs="Times New Roman"/>
          <w:iCs/>
          <w:color w:val="000000" w:themeColor="text1"/>
          <w:szCs w:val="24"/>
          <w:u w:val="single"/>
          <w:lang w:eastAsia="sv-SE"/>
        </w:rPr>
      </w:pPr>
      <w:r w:rsidRPr="000E63B0">
        <w:rPr>
          <w:rFonts w:asciiTheme="minorHAnsi" w:eastAsia="Times New Roman" w:hAnsiTheme="minorHAnsi" w:cs="Calibri"/>
          <w:color w:val="000000" w:themeColor="text1"/>
          <w:szCs w:val="24"/>
          <w:lang w:eastAsia="sv-SE"/>
        </w:rPr>
        <w:t>Dygnsvariabilitet på minst 13% talar för astma</w:t>
      </w:r>
      <w:r w:rsidRPr="000E63B0">
        <w:rPr>
          <w:rFonts w:asciiTheme="minorHAnsi" w:eastAsia="Times New Roman" w:hAnsiTheme="minorHAnsi" w:cs="Calibri"/>
          <w:color w:val="000000" w:themeColor="text1"/>
          <w:szCs w:val="24"/>
          <w:u w:val="single"/>
          <w:lang w:eastAsia="sv-SE"/>
        </w:rPr>
        <w:t xml:space="preserve"> </w:t>
      </w:r>
      <m:oMath>
        <m:f>
          <m:fPr>
            <m:ctrlPr>
              <w:rPr>
                <w:rFonts w:ascii="Cambria Math" w:eastAsia="Times New Roman" w:hAnsi="Cambria Math" w:cs="Times New Roman"/>
                <w:iCs/>
                <w:szCs w:val="24"/>
                <w:lang w:eastAsia="sv-SE"/>
              </w:rPr>
            </m:ctrlPr>
          </m:fPr>
          <m:num>
            <m:d>
              <m:dPr>
                <m:ctrlPr>
                  <w:rPr>
                    <w:rFonts w:ascii="Cambria Math" w:eastAsia="Times New Roman" w:hAnsi="Cambria Math" w:cs="Times New Roman"/>
                    <w:iCs/>
                    <w:szCs w:val="24"/>
                    <w:lang w:eastAsia="sv-SE"/>
                  </w:rPr>
                </m:ctrlPr>
              </m:dPr>
              <m:e>
                <m:r>
                  <m:rPr>
                    <m:sty m:val="p"/>
                  </m:rPr>
                  <w:rPr>
                    <w:rFonts w:ascii="Cambria Math" w:eastAsia="Times New Roman" w:hAnsi="Cambria Math" w:cs="Times New Roman"/>
                    <w:szCs w:val="24"/>
                    <w:lang w:eastAsia="sv-SE"/>
                  </w:rPr>
                  <m:t>(dagens högsta värde-dagens lägsta värde)x100</m:t>
                </m:r>
              </m:e>
            </m:d>
          </m:num>
          <m:den>
            <m:r>
              <m:rPr>
                <m:sty m:val="p"/>
              </m:rPr>
              <w:rPr>
                <w:rFonts w:ascii="Cambria Math" w:eastAsia="Times New Roman" w:hAnsi="Cambria Math" w:cs="Times New Roman"/>
                <w:szCs w:val="24"/>
                <w:lang w:eastAsia="sv-SE"/>
              </w:rPr>
              <m:t>(dagens högsta värde-dagens lägsta värde) x0,5</m:t>
            </m:r>
          </m:den>
        </m:f>
      </m:oMath>
    </w:p>
    <w:p w14:paraId="4BD15E51" w14:textId="77777777" w:rsidR="00EC79BD" w:rsidRPr="000E63B0" w:rsidRDefault="00EC79BD" w:rsidP="00EC79BD">
      <w:pPr>
        <w:pStyle w:val="Liststycke"/>
        <w:numPr>
          <w:ilvl w:val="0"/>
          <w:numId w:val="74"/>
        </w:numPr>
        <w:shd w:val="clear" w:color="auto" w:fill="FFFFFF"/>
        <w:tabs>
          <w:tab w:val="clear" w:pos="284"/>
        </w:tabs>
        <w:spacing w:line="276" w:lineRule="auto"/>
        <w:rPr>
          <w:rFonts w:asciiTheme="minorHAnsi" w:eastAsia="Times New Roman" w:hAnsiTheme="minorHAnsi" w:cs="Times New Roman"/>
          <w:iCs/>
          <w:color w:val="000000" w:themeColor="text1"/>
          <w:szCs w:val="24"/>
          <w:u w:val="single"/>
          <w:lang w:eastAsia="sv-SE"/>
        </w:rPr>
      </w:pPr>
      <w:r w:rsidRPr="000E63B0">
        <w:rPr>
          <w:rFonts w:asciiTheme="minorHAnsi" w:eastAsia="Times New Roman" w:hAnsiTheme="minorHAnsi" w:cs="Times New Roman"/>
          <w:szCs w:val="24"/>
          <w:lang w:eastAsia="sv-SE"/>
        </w:rPr>
        <w:t xml:space="preserve">Periodvariabilitet på minst 20% talar för astma </w:t>
      </w:r>
      <m:oMath>
        <m:f>
          <m:fPr>
            <m:ctrlPr>
              <w:rPr>
                <w:rFonts w:ascii="Cambria Math" w:eastAsia="Times New Roman" w:hAnsi="Cambria Math" w:cs="Times New Roman"/>
                <w:iCs/>
                <w:lang w:eastAsia="sv-SE"/>
              </w:rPr>
            </m:ctrlPr>
          </m:fPr>
          <m:num>
            <m:d>
              <m:dPr>
                <m:ctrlPr>
                  <w:rPr>
                    <w:rFonts w:ascii="Cambria Math" w:eastAsia="Times New Roman" w:hAnsi="Cambria Math" w:cs="Times New Roman"/>
                    <w:iCs/>
                    <w:lang w:eastAsia="sv-SE"/>
                  </w:rPr>
                </m:ctrlPr>
              </m:dPr>
              <m:e>
                <m:r>
                  <m:rPr>
                    <m:sty m:val="p"/>
                  </m:rPr>
                  <w:rPr>
                    <w:rFonts w:ascii="Cambria Math" w:eastAsia="Times New Roman" w:hAnsi="Cambria Math" w:cs="Times New Roman"/>
                    <w:lang w:eastAsia="sv-SE"/>
                  </w:rPr>
                  <m:t>(periodens högsta värde-periodens lägsta värde)x100</m:t>
                </m:r>
              </m:e>
            </m:d>
          </m:num>
          <m:den>
            <m:r>
              <m:rPr>
                <m:sty m:val="p"/>
              </m:rPr>
              <w:rPr>
                <w:rFonts w:ascii="Cambria Math" w:eastAsia="Times New Roman" w:hAnsi="Cambria Math" w:cs="Times New Roman"/>
                <w:lang w:eastAsia="sv-SE"/>
              </w:rPr>
              <m:t>periodens högsta värde</m:t>
            </m:r>
          </m:den>
        </m:f>
      </m:oMath>
    </w:p>
    <w:p w14:paraId="3A1C2B0F" w14:textId="77777777" w:rsidR="00EC79BD" w:rsidRPr="000E63B0" w:rsidRDefault="00EC79BD" w:rsidP="00EC79BD">
      <w:pPr>
        <w:numPr>
          <w:ilvl w:val="0"/>
          <w:numId w:val="74"/>
        </w:numPr>
        <w:shd w:val="clear" w:color="auto" w:fill="FFFFFF"/>
        <w:tabs>
          <w:tab w:val="clear" w:pos="284"/>
        </w:tabs>
        <w:spacing w:before="100" w:beforeAutospacing="1" w:after="100" w:afterAutospacing="1" w:line="240" w:lineRule="auto"/>
        <w:rPr>
          <w:rFonts w:asciiTheme="minorHAnsi" w:eastAsia="Times New Roman" w:hAnsiTheme="minorHAnsi" w:cs="Times New Roman"/>
          <w:szCs w:val="24"/>
          <w:lang w:eastAsia="sv-SE"/>
        </w:rPr>
      </w:pPr>
      <w:r w:rsidRPr="000E63B0">
        <w:rPr>
          <w:rFonts w:asciiTheme="minorHAnsi" w:eastAsia="Times New Roman" w:hAnsiTheme="minorHAnsi" w:cs="Times New Roman"/>
          <w:szCs w:val="24"/>
          <w:lang w:eastAsia="sv-SE"/>
        </w:rPr>
        <w:t xml:space="preserve">PEF-reversibilitet med beta-2-stimulerare på minst 15% talar för astma </w:t>
      </w:r>
    </w:p>
    <w:p w14:paraId="65ACABEC" w14:textId="77777777" w:rsidR="00EC79BD" w:rsidRPr="000E63B0" w:rsidRDefault="00EC79BD" w:rsidP="00EC79BD">
      <w:pPr>
        <w:pStyle w:val="Liststycke"/>
        <w:numPr>
          <w:ilvl w:val="1"/>
          <w:numId w:val="74"/>
        </w:numPr>
        <w:shd w:val="clear" w:color="auto" w:fill="FFFFFF"/>
        <w:tabs>
          <w:tab w:val="clear" w:pos="284"/>
        </w:tabs>
        <w:spacing w:before="100" w:beforeAutospacing="1" w:after="100" w:afterAutospacing="1" w:line="240" w:lineRule="auto"/>
        <w:rPr>
          <w:rFonts w:asciiTheme="minorHAnsi" w:eastAsia="Times New Roman" w:hAnsiTheme="minorHAnsi" w:cs="Times New Roman"/>
          <w:szCs w:val="24"/>
          <w:lang w:eastAsia="sv-SE"/>
        </w:rPr>
      </w:pPr>
      <w:r w:rsidRPr="000E63B0">
        <w:rPr>
          <w:rFonts w:asciiTheme="minorHAnsi" w:eastAsia="Times New Roman" w:hAnsiTheme="minorHAnsi" w:cs="Times New Roman"/>
          <w:szCs w:val="24"/>
          <w:lang w:eastAsia="sv-SE"/>
        </w:rPr>
        <w:t>Mätningar med bronkvidgare görs lämpligast på morgonen före och efter inhalation</w:t>
      </w:r>
    </w:p>
    <w:p w14:paraId="2C4C75E5" w14:textId="77777777" w:rsidR="00EC79BD" w:rsidRPr="000E63B0" w:rsidRDefault="00EC79BD" w:rsidP="00EC79BD">
      <w:pPr>
        <w:numPr>
          <w:ilvl w:val="1"/>
          <w:numId w:val="74"/>
        </w:numPr>
        <w:shd w:val="clear" w:color="auto" w:fill="FFFFFF"/>
        <w:tabs>
          <w:tab w:val="clear" w:pos="284"/>
        </w:tabs>
        <w:spacing w:before="100" w:beforeAutospacing="1" w:after="100" w:afterAutospacing="1" w:line="240" w:lineRule="auto"/>
        <w:rPr>
          <w:rFonts w:asciiTheme="minorHAnsi" w:eastAsia="Times New Roman" w:hAnsiTheme="minorHAnsi" w:cs="Times New Roman"/>
          <w:szCs w:val="24"/>
          <w:lang w:eastAsia="sv-SE"/>
        </w:rPr>
      </w:pPr>
      <w:r w:rsidRPr="000E63B0">
        <w:rPr>
          <w:rFonts w:asciiTheme="minorHAnsi" w:eastAsia="Times New Roman" w:hAnsiTheme="minorHAnsi" w:cs="Times New Roman"/>
          <w:szCs w:val="24"/>
          <w:lang w:eastAsia="sv-SE"/>
        </w:rPr>
        <w:t>Kan även göras situationsbaserad (till exempel före och efter ansträngning eller exponering till allergen)</w:t>
      </w:r>
    </w:p>
    <w:p w14:paraId="0C53A105" w14:textId="77777777" w:rsidR="00EC79BD" w:rsidRPr="000E63B0" w:rsidRDefault="00EC79BD" w:rsidP="00EC79BD">
      <w:pPr>
        <w:numPr>
          <w:ilvl w:val="1"/>
          <w:numId w:val="74"/>
        </w:numPr>
        <w:shd w:val="clear" w:color="auto" w:fill="FFFFFF"/>
        <w:tabs>
          <w:tab w:val="clear" w:pos="284"/>
        </w:tabs>
        <w:spacing w:line="240" w:lineRule="auto"/>
        <w:rPr>
          <w:rFonts w:asciiTheme="minorHAnsi" w:eastAsia="Times New Roman" w:hAnsiTheme="minorHAnsi" w:cs="Times New Roman"/>
          <w:szCs w:val="24"/>
          <w:lang w:eastAsia="sv-SE"/>
        </w:rPr>
      </w:pPr>
      <w:r w:rsidRPr="000E63B0">
        <w:rPr>
          <w:rFonts w:asciiTheme="minorHAnsi" w:eastAsia="Times New Roman" w:hAnsiTheme="minorHAnsi" w:cs="Times New Roman"/>
          <w:szCs w:val="24"/>
          <w:lang w:eastAsia="sv-SE"/>
        </w:rPr>
        <w:t>PEF-värdet före och vanligen 15 minuter efter inhalationen dokumenteras. Effekten av läkemedlet utvärderas</w:t>
      </w:r>
    </w:p>
    <w:p w14:paraId="7F54F396" w14:textId="77777777" w:rsidR="00EC79BD" w:rsidRPr="000E63B0" w:rsidRDefault="00000000" w:rsidP="00EC79BD">
      <w:pPr>
        <w:numPr>
          <w:ilvl w:val="1"/>
          <w:numId w:val="74"/>
        </w:numPr>
        <w:shd w:val="clear" w:color="auto" w:fill="FFFFFF"/>
        <w:tabs>
          <w:tab w:val="clear" w:pos="284"/>
        </w:tabs>
        <w:spacing w:line="240" w:lineRule="auto"/>
        <w:rPr>
          <w:rFonts w:asciiTheme="minorHAnsi" w:eastAsia="Times New Roman" w:hAnsiTheme="minorHAnsi" w:cs="Times New Roman"/>
          <w:lang w:eastAsia="sv-SE"/>
        </w:rPr>
      </w:pPr>
      <m:oMath>
        <m:f>
          <m:fPr>
            <m:ctrlPr>
              <w:rPr>
                <w:rFonts w:ascii="Cambria Math" w:eastAsia="Times New Roman" w:hAnsi="Cambria Math" w:cs="Times New Roman"/>
                <w:iCs/>
                <w:lang w:eastAsia="sv-SE"/>
              </w:rPr>
            </m:ctrlPr>
          </m:fPr>
          <m:num>
            <m:d>
              <m:dPr>
                <m:ctrlPr>
                  <w:rPr>
                    <w:rFonts w:ascii="Cambria Math" w:eastAsia="Times New Roman" w:hAnsi="Cambria Math" w:cs="Times New Roman"/>
                    <w:iCs/>
                    <w:lang w:eastAsia="sv-SE"/>
                  </w:rPr>
                </m:ctrlPr>
              </m:dPr>
              <m:e>
                <m:r>
                  <m:rPr>
                    <m:sty m:val="p"/>
                  </m:rPr>
                  <w:rPr>
                    <w:rFonts w:ascii="Cambria Math" w:eastAsia="Times New Roman" w:hAnsi="Cambria Math" w:cs="Times New Roman"/>
                    <w:lang w:eastAsia="sv-SE"/>
                  </w:rPr>
                  <m:t>(högst värde efter bronkvidgare-lägsta värde före bronkvidgare)x100</m:t>
                </m:r>
              </m:e>
            </m:d>
          </m:num>
          <m:den>
            <m:r>
              <m:rPr>
                <m:sty m:val="p"/>
              </m:rPr>
              <w:rPr>
                <w:rFonts w:ascii="Cambria Math" w:eastAsia="Times New Roman" w:hAnsi="Cambria Math" w:cs="Times New Roman"/>
                <w:lang w:eastAsia="sv-SE"/>
              </w:rPr>
              <m:t>medelvärde för alla uppmätta värden</m:t>
            </m:r>
          </m:den>
        </m:f>
      </m:oMath>
    </w:p>
    <w:p w14:paraId="7911B939" w14:textId="77777777" w:rsidR="00EC79BD" w:rsidRPr="0091194E" w:rsidRDefault="00EC79BD" w:rsidP="00EC79BD">
      <w:pPr>
        <w:pStyle w:val="Liststycke"/>
        <w:numPr>
          <w:ilvl w:val="2"/>
          <w:numId w:val="72"/>
        </w:numPr>
        <w:shd w:val="clear" w:color="auto" w:fill="FFFFFF"/>
        <w:tabs>
          <w:tab w:val="clear" w:pos="284"/>
        </w:tabs>
        <w:spacing w:line="276" w:lineRule="auto"/>
        <w:rPr>
          <w:rFonts w:asciiTheme="minorHAnsi" w:eastAsia="Times New Roman" w:hAnsiTheme="minorHAnsi" w:cs="Times New Roman"/>
          <w:szCs w:val="24"/>
          <w:lang w:eastAsia="sv-SE"/>
        </w:rPr>
      </w:pPr>
      <w:r w:rsidRPr="0091194E">
        <w:rPr>
          <w:rFonts w:asciiTheme="minorHAnsi" w:hAnsiTheme="minorHAnsi" w:cs="Calibri"/>
          <w:color w:val="000000" w:themeColor="text1"/>
          <w:szCs w:val="24"/>
        </w:rPr>
        <w:t xml:space="preserve">Utvidgad spirometri (oftast barnklinik) </w:t>
      </w:r>
    </w:p>
    <w:p w14:paraId="37FBCA1A" w14:textId="77777777" w:rsidR="00EC79BD" w:rsidRPr="00A91B7B" w:rsidRDefault="00EC79BD" w:rsidP="00EC79BD">
      <w:pPr>
        <w:pStyle w:val="Liststycke"/>
        <w:numPr>
          <w:ilvl w:val="0"/>
          <w:numId w:val="75"/>
        </w:numPr>
        <w:shd w:val="clear" w:color="auto" w:fill="FFFFFF"/>
        <w:tabs>
          <w:tab w:val="clear" w:pos="284"/>
        </w:tabs>
        <w:spacing w:line="276" w:lineRule="auto"/>
        <w:rPr>
          <w:rFonts w:asciiTheme="minorHAnsi" w:eastAsia="Times New Roman" w:hAnsiTheme="minorHAnsi" w:cs="Calibri"/>
          <w:color w:val="000000" w:themeColor="text1"/>
          <w:szCs w:val="24"/>
          <w:lang w:eastAsia="sv-SE"/>
        </w:rPr>
      </w:pPr>
      <w:r w:rsidRPr="00513389">
        <w:rPr>
          <w:rFonts w:asciiTheme="minorHAnsi" w:hAnsiTheme="minorHAnsi" w:cs="Calibri"/>
          <w:color w:val="000000" w:themeColor="text1"/>
          <w:szCs w:val="24"/>
        </w:rPr>
        <w:t>Inkluderar inspirations- och exspirationskurvor via Klinisk fysiologi</w:t>
      </w:r>
    </w:p>
    <w:p w14:paraId="51850DCD" w14:textId="77777777" w:rsidR="00EC79BD" w:rsidRPr="00A91B7B" w:rsidRDefault="00EC79BD" w:rsidP="00EC79BD">
      <w:pPr>
        <w:pStyle w:val="Liststycke"/>
        <w:numPr>
          <w:ilvl w:val="2"/>
          <w:numId w:val="72"/>
        </w:numPr>
        <w:shd w:val="clear" w:color="auto" w:fill="FFFFFF"/>
        <w:tabs>
          <w:tab w:val="clear" w:pos="284"/>
        </w:tabs>
        <w:spacing w:line="276" w:lineRule="auto"/>
        <w:rPr>
          <w:rFonts w:asciiTheme="minorHAnsi" w:eastAsia="Times New Roman" w:hAnsiTheme="minorHAnsi" w:cs="Calibri"/>
          <w:color w:val="000000" w:themeColor="text1"/>
          <w:szCs w:val="24"/>
          <w:lang w:eastAsia="sv-SE"/>
        </w:rPr>
      </w:pPr>
      <w:r w:rsidRPr="00A91B7B">
        <w:rPr>
          <w:rFonts w:asciiTheme="minorHAnsi" w:hAnsiTheme="minorHAnsi" w:cs="Calibri"/>
          <w:color w:val="000000" w:themeColor="text1"/>
          <w:szCs w:val="24"/>
        </w:rPr>
        <w:t>Ansträngningsprovokation (barnkliniken)</w:t>
      </w:r>
    </w:p>
    <w:p w14:paraId="786F60D0" w14:textId="77777777" w:rsidR="00EC79BD" w:rsidRPr="005E1522" w:rsidRDefault="00EC79BD" w:rsidP="00EC79BD">
      <w:pPr>
        <w:pStyle w:val="Liststycke"/>
        <w:numPr>
          <w:ilvl w:val="0"/>
          <w:numId w:val="76"/>
        </w:numPr>
        <w:shd w:val="clear" w:color="auto" w:fill="FFFFFF"/>
        <w:tabs>
          <w:tab w:val="clear" w:pos="284"/>
        </w:tabs>
        <w:spacing w:line="276" w:lineRule="auto"/>
        <w:rPr>
          <w:rFonts w:asciiTheme="minorHAnsi" w:eastAsia="Times New Roman" w:hAnsiTheme="minorHAnsi" w:cs="Calibri"/>
          <w:color w:val="000000" w:themeColor="text1"/>
          <w:szCs w:val="24"/>
          <w:lang w:eastAsia="sv-SE"/>
        </w:rPr>
      </w:pPr>
      <w:r w:rsidRPr="005E1522">
        <w:rPr>
          <w:rFonts w:asciiTheme="minorHAnsi" w:hAnsiTheme="minorHAnsi" w:cs="Calibri"/>
          <w:color w:val="000000" w:themeColor="text1"/>
          <w:szCs w:val="24"/>
        </w:rPr>
        <w:t xml:space="preserve">Görs hos fysioterapeut (minskning av </w:t>
      </w:r>
      <w:hyperlink w:anchor="_ORDLISTA" w:history="1">
        <w:r w:rsidRPr="005E1522">
          <w:rPr>
            <w:rStyle w:val="Hyperlnk"/>
            <w:rFonts w:asciiTheme="minorHAnsi" w:hAnsiTheme="minorHAnsi" w:cs="Calibri"/>
            <w:color w:val="B46400" w:themeColor="accent6" w:themeShade="BF"/>
            <w:szCs w:val="24"/>
          </w:rPr>
          <w:t>FEV1</w:t>
        </w:r>
      </w:hyperlink>
      <w:r w:rsidRPr="005E1522">
        <w:rPr>
          <w:rFonts w:asciiTheme="minorHAnsi" w:hAnsiTheme="minorHAnsi" w:cs="Calibri"/>
          <w:color w:val="000000" w:themeColor="text1"/>
          <w:szCs w:val="24"/>
        </w:rPr>
        <w:t xml:space="preserve"> på minst 10% talar för astma)</w:t>
      </w:r>
    </w:p>
    <w:p w14:paraId="63E2089E" w14:textId="77777777" w:rsidR="00EC79BD" w:rsidRPr="005E1522" w:rsidRDefault="00EC79BD" w:rsidP="00EC79BD">
      <w:pPr>
        <w:pStyle w:val="Liststycke"/>
        <w:numPr>
          <w:ilvl w:val="0"/>
          <w:numId w:val="76"/>
        </w:numPr>
        <w:shd w:val="clear" w:color="auto" w:fill="FFFFFF"/>
        <w:tabs>
          <w:tab w:val="clear" w:pos="284"/>
        </w:tabs>
        <w:spacing w:line="276" w:lineRule="auto"/>
        <w:rPr>
          <w:rFonts w:asciiTheme="minorHAnsi" w:eastAsia="Times New Roman" w:hAnsiTheme="minorHAnsi" w:cs="Calibri"/>
          <w:color w:val="000000" w:themeColor="text1"/>
          <w:szCs w:val="24"/>
          <w:lang w:eastAsia="sv-SE"/>
        </w:rPr>
      </w:pPr>
      <w:r w:rsidRPr="005E1522">
        <w:rPr>
          <w:rFonts w:asciiTheme="minorHAnsi" w:hAnsiTheme="minorHAnsi" w:cs="Calibri"/>
          <w:color w:val="000000" w:themeColor="text1"/>
          <w:szCs w:val="24"/>
        </w:rPr>
        <w:t xml:space="preserve">Även tecken på </w:t>
      </w:r>
      <w:hyperlink w:anchor="_ORDLISTA" w:history="1">
        <w:r w:rsidRPr="005E1522">
          <w:rPr>
            <w:rStyle w:val="Hyperlnk"/>
            <w:rFonts w:asciiTheme="minorHAnsi" w:hAnsiTheme="minorHAnsi" w:cs="Calibri"/>
            <w:color w:val="B46400" w:themeColor="accent6" w:themeShade="BF"/>
            <w:szCs w:val="24"/>
          </w:rPr>
          <w:t>EILO</w:t>
        </w:r>
      </w:hyperlink>
      <w:r w:rsidRPr="005E1522">
        <w:rPr>
          <w:rFonts w:asciiTheme="minorHAnsi" w:hAnsiTheme="minorHAnsi" w:cs="Calibri"/>
          <w:color w:val="000000" w:themeColor="text1"/>
          <w:szCs w:val="24"/>
        </w:rPr>
        <w:t>/ogynnsamt andningsmönster kan upptäckas och behandlas</w:t>
      </w:r>
      <w:r>
        <w:rPr>
          <w:rFonts w:asciiTheme="minorHAnsi" w:hAnsiTheme="minorHAnsi" w:cs="Calibri"/>
          <w:color w:val="000000" w:themeColor="text1"/>
          <w:szCs w:val="24"/>
        </w:rPr>
        <w:tab/>
      </w:r>
    </w:p>
    <w:p w14:paraId="71717561" w14:textId="77777777" w:rsidR="00EC79BD" w:rsidRPr="005E1522" w:rsidRDefault="00EC79BD" w:rsidP="00EC79BD">
      <w:pPr>
        <w:pStyle w:val="Liststycke"/>
        <w:shd w:val="clear" w:color="auto" w:fill="FFFFFF"/>
        <w:tabs>
          <w:tab w:val="clear" w:pos="284"/>
        </w:tabs>
        <w:spacing w:line="276" w:lineRule="auto"/>
        <w:ind w:left="2880"/>
        <w:rPr>
          <w:rFonts w:asciiTheme="minorHAnsi" w:eastAsia="Times New Roman" w:hAnsiTheme="minorHAnsi" w:cs="Calibri"/>
          <w:color w:val="000000" w:themeColor="text1"/>
          <w:szCs w:val="24"/>
          <w:lang w:eastAsia="sv-SE"/>
        </w:rPr>
      </w:pPr>
      <w:r w:rsidRPr="005E1522">
        <w:rPr>
          <w:rFonts w:asciiTheme="minorHAnsi" w:hAnsiTheme="minorHAnsi" w:cs="Calibri"/>
          <w:color w:val="000000" w:themeColor="text1"/>
          <w:szCs w:val="24"/>
        </w:rPr>
        <w:t>Samtidig astma är inte ovanlig vid EILO</w:t>
      </w:r>
    </w:p>
    <w:p w14:paraId="28B0FE3B" w14:textId="77777777" w:rsidR="00EC79BD" w:rsidRDefault="00EC79BD" w:rsidP="00EC79BD">
      <w:pPr>
        <w:pStyle w:val="Normal4"/>
        <w:numPr>
          <w:ilvl w:val="2"/>
          <w:numId w:val="72"/>
        </w:numPr>
        <w:spacing w:before="0" w:beforeAutospacing="0" w:after="0" w:afterAutospacing="0"/>
        <w:rPr>
          <w:rFonts w:asciiTheme="minorHAnsi" w:hAnsiTheme="minorHAnsi" w:cs="Calibri"/>
          <w:color w:val="000000" w:themeColor="text1"/>
        </w:rPr>
      </w:pPr>
      <w:hyperlink w:anchor="_ORDLISTA" w:history="1">
        <w:r w:rsidRPr="00EC3286">
          <w:rPr>
            <w:rStyle w:val="Hyperlnk"/>
            <w:rFonts w:asciiTheme="minorHAnsi" w:hAnsiTheme="minorHAnsi" w:cs="Calibri"/>
            <w:color w:val="B46400" w:themeColor="accent6" w:themeShade="BF"/>
          </w:rPr>
          <w:t>IOS</w:t>
        </w:r>
      </w:hyperlink>
      <w:r w:rsidRPr="00EC3286">
        <w:rPr>
          <w:rFonts w:asciiTheme="minorHAnsi" w:hAnsiTheme="minorHAnsi" w:cs="Calibri"/>
          <w:color w:val="00A6E2" w:themeColor="accent1"/>
        </w:rPr>
        <w:t xml:space="preserve"> </w:t>
      </w:r>
      <w:r w:rsidRPr="00EC3286">
        <w:rPr>
          <w:rFonts w:asciiTheme="minorHAnsi" w:hAnsiTheme="minorHAnsi" w:cs="Calibri"/>
          <w:color w:val="000000" w:themeColor="text1"/>
        </w:rPr>
        <w:t xml:space="preserve">(barnkliniken) </w:t>
      </w:r>
    </w:p>
    <w:p w14:paraId="2915D7CE" w14:textId="77777777" w:rsidR="00EC79BD" w:rsidRDefault="00EC79BD" w:rsidP="00EC79BD">
      <w:pPr>
        <w:pStyle w:val="Normal4"/>
        <w:numPr>
          <w:ilvl w:val="3"/>
          <w:numId w:val="72"/>
        </w:numPr>
        <w:spacing w:before="0" w:beforeAutospacing="0" w:after="0" w:afterAutospacing="0"/>
        <w:rPr>
          <w:rFonts w:asciiTheme="minorHAnsi" w:hAnsiTheme="minorHAnsi" w:cs="Calibri"/>
          <w:color w:val="000000" w:themeColor="text1"/>
        </w:rPr>
      </w:pPr>
      <w:r w:rsidRPr="00B863AE">
        <w:rPr>
          <w:rFonts w:asciiTheme="minorHAnsi" w:hAnsiTheme="minorHAnsi" w:cs="Calibri"/>
          <w:color w:val="000000" w:themeColor="text1"/>
        </w:rPr>
        <w:t>Utförs på Klinisk fysiologi</w:t>
      </w:r>
    </w:p>
    <w:p w14:paraId="4604C06B" w14:textId="77777777" w:rsidR="00EC79BD" w:rsidRDefault="00EC79BD" w:rsidP="00EC79BD">
      <w:pPr>
        <w:pStyle w:val="Normal4"/>
        <w:numPr>
          <w:ilvl w:val="3"/>
          <w:numId w:val="72"/>
        </w:numPr>
        <w:spacing w:before="0" w:beforeAutospacing="0" w:after="0" w:afterAutospacing="0"/>
        <w:rPr>
          <w:rFonts w:asciiTheme="minorHAnsi" w:hAnsiTheme="minorHAnsi" w:cs="Calibri"/>
          <w:color w:val="000000" w:themeColor="text1"/>
        </w:rPr>
      </w:pPr>
      <w:r w:rsidRPr="00B863AE">
        <w:rPr>
          <w:rFonts w:asciiTheme="minorHAnsi" w:hAnsiTheme="minorHAnsi" w:cs="Calibri"/>
          <w:color w:val="000000" w:themeColor="text1"/>
        </w:rPr>
        <w:t>Kan påvisa reversibilitet avseende resistans och reaktans efter bronkdilatation</w:t>
      </w:r>
    </w:p>
    <w:p w14:paraId="3F56A6C2" w14:textId="77777777" w:rsidR="00EC79BD" w:rsidRPr="00B863AE" w:rsidRDefault="00EC79BD" w:rsidP="00EC79BD">
      <w:pPr>
        <w:pStyle w:val="Normal4"/>
        <w:numPr>
          <w:ilvl w:val="3"/>
          <w:numId w:val="72"/>
        </w:numPr>
        <w:spacing w:before="0" w:beforeAutospacing="0" w:after="0" w:afterAutospacing="0"/>
        <w:rPr>
          <w:rFonts w:asciiTheme="minorHAnsi" w:hAnsiTheme="minorHAnsi" w:cs="Calibri"/>
          <w:color w:val="000000" w:themeColor="text1"/>
        </w:rPr>
      </w:pPr>
      <w:r w:rsidRPr="00B863AE">
        <w:rPr>
          <w:rFonts w:asciiTheme="minorHAnsi" w:hAnsiTheme="minorHAnsi" w:cs="Calibri"/>
          <w:color w:val="000000" w:themeColor="text1"/>
        </w:rPr>
        <w:t>Möjligt komplement exempelvis hos yngre barn</w:t>
      </w:r>
    </w:p>
    <w:p w14:paraId="7A482ACD" w14:textId="77777777" w:rsidR="00EC79BD" w:rsidRDefault="00EC79BD" w:rsidP="00EC79BD">
      <w:pPr>
        <w:pStyle w:val="Normal4"/>
        <w:numPr>
          <w:ilvl w:val="2"/>
          <w:numId w:val="72"/>
        </w:numPr>
        <w:spacing w:before="0" w:beforeAutospacing="0" w:after="0" w:afterAutospacing="0"/>
        <w:rPr>
          <w:rFonts w:asciiTheme="minorHAnsi" w:hAnsiTheme="minorHAnsi" w:cs="Calibri"/>
          <w:color w:val="000000" w:themeColor="text1"/>
        </w:rPr>
      </w:pPr>
      <w:hyperlink w:anchor="_ORDLISTA" w:history="1">
        <w:r w:rsidRPr="00EC3286">
          <w:rPr>
            <w:rStyle w:val="Hyperlnk"/>
            <w:rFonts w:asciiTheme="minorHAnsi" w:hAnsiTheme="minorHAnsi" w:cs="Calibri"/>
            <w:color w:val="B46400" w:themeColor="accent6" w:themeShade="BF"/>
          </w:rPr>
          <w:t>FeNO</w:t>
        </w:r>
      </w:hyperlink>
      <w:r w:rsidRPr="00EC3286">
        <w:rPr>
          <w:rFonts w:asciiTheme="minorHAnsi" w:hAnsiTheme="minorHAnsi" w:cs="Calibri"/>
          <w:color w:val="000000" w:themeColor="text1"/>
        </w:rPr>
        <w:t xml:space="preserve"> -utandad kväveoxid (barnkliniken) </w:t>
      </w:r>
    </w:p>
    <w:p w14:paraId="3D9F01DE" w14:textId="77777777" w:rsidR="00EC79BD" w:rsidRPr="00DF232B" w:rsidRDefault="00EC79BD" w:rsidP="00EC79BD">
      <w:pPr>
        <w:pStyle w:val="Normal4"/>
        <w:numPr>
          <w:ilvl w:val="3"/>
          <w:numId w:val="72"/>
        </w:numPr>
        <w:spacing w:before="0" w:beforeAutospacing="0" w:after="0" w:afterAutospacing="0"/>
        <w:rPr>
          <w:rFonts w:asciiTheme="minorHAnsi" w:hAnsiTheme="minorHAnsi" w:cs="Calibri"/>
          <w:color w:val="000000" w:themeColor="text1"/>
        </w:rPr>
      </w:pPr>
      <w:r w:rsidRPr="00DF232B">
        <w:rPr>
          <w:rFonts w:asciiTheme="minorHAnsi" w:hAnsiTheme="minorHAnsi" w:cs="Calibri"/>
          <w:color w:val="000000" w:themeColor="text1"/>
        </w:rPr>
        <w:lastRenderedPageBreak/>
        <w:t>Ett förhöjt värde talar för eosinofil inflammation i luftvägarna och stärker misstanke om astma</w:t>
      </w:r>
    </w:p>
    <w:p w14:paraId="219AC656" w14:textId="7359811C" w:rsidR="00EC79BD" w:rsidRPr="007E0573" w:rsidRDefault="00EC79BD" w:rsidP="007E0573">
      <w:pPr>
        <w:pStyle w:val="Normal4"/>
        <w:numPr>
          <w:ilvl w:val="3"/>
          <w:numId w:val="72"/>
        </w:numPr>
        <w:spacing w:before="0" w:beforeAutospacing="0" w:after="0" w:afterAutospacing="0"/>
        <w:rPr>
          <w:rStyle w:val="Hyperlnk"/>
          <w:rFonts w:asciiTheme="minorHAnsi" w:hAnsiTheme="minorHAnsi" w:cs="Calibri"/>
          <w:color w:val="B46400" w:themeColor="accent6" w:themeShade="BF"/>
        </w:rPr>
      </w:pPr>
      <w:r w:rsidRPr="00EC3286">
        <w:rPr>
          <w:rFonts w:asciiTheme="minorHAnsi" w:hAnsiTheme="minorHAnsi" w:cs="Calibri"/>
          <w:color w:val="000000" w:themeColor="text1"/>
        </w:rPr>
        <w:t xml:space="preserve">Normalvärde hos barn är 5-20 </w:t>
      </w:r>
      <w:r w:rsidRPr="007E0573">
        <w:rPr>
          <w:rFonts w:asciiTheme="minorHAnsi" w:hAnsiTheme="minorHAnsi" w:cs="Calibri"/>
        </w:rPr>
        <w:t>ppb</w:t>
      </w:r>
    </w:p>
    <w:p w14:paraId="49B7A490" w14:textId="77777777" w:rsidR="00EC79BD" w:rsidRPr="00692470" w:rsidRDefault="00EC79BD" w:rsidP="007E0573">
      <w:pPr>
        <w:pStyle w:val="Normal4"/>
        <w:spacing w:before="0" w:beforeAutospacing="0" w:after="0" w:afterAutospacing="0"/>
        <w:ind w:left="2160"/>
        <w:rPr>
          <w:rFonts w:asciiTheme="minorHAnsi" w:hAnsiTheme="minorHAnsi" w:cs="Calibri"/>
          <w:color w:val="000000" w:themeColor="text1"/>
        </w:rPr>
      </w:pPr>
      <w:r w:rsidRPr="00692470">
        <w:rPr>
          <w:rFonts w:asciiTheme="minorHAnsi" w:hAnsiTheme="minorHAnsi" w:cs="Calibri"/>
          <w:color w:val="000000" w:themeColor="text1"/>
        </w:rPr>
        <w:t>Röntgen (barnkliniken eller i samråd med barnkliniken)</w:t>
      </w:r>
    </w:p>
    <w:p w14:paraId="2531018E" w14:textId="77777777" w:rsidR="00EC79BD" w:rsidRPr="000C17EB" w:rsidRDefault="00EC79BD" w:rsidP="00EC79BD">
      <w:pPr>
        <w:pStyle w:val="Normal4"/>
        <w:numPr>
          <w:ilvl w:val="3"/>
          <w:numId w:val="72"/>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Lungröntgen</w:t>
      </w:r>
    </w:p>
    <w:p w14:paraId="641564DF" w14:textId="77777777" w:rsidR="00EC79BD" w:rsidRPr="000C17EB" w:rsidRDefault="00EC79BD" w:rsidP="00EC79BD">
      <w:pPr>
        <w:pStyle w:val="Normal4"/>
        <w:numPr>
          <w:ilvl w:val="4"/>
          <w:numId w:val="72"/>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Astma hos barn &lt; 6 mån</w:t>
      </w:r>
    </w:p>
    <w:p w14:paraId="23CBB95F" w14:textId="77777777" w:rsidR="00EC79BD" w:rsidRPr="000C17EB" w:rsidRDefault="00EC79BD" w:rsidP="00EC79BD">
      <w:pPr>
        <w:pStyle w:val="Normal4"/>
        <w:numPr>
          <w:ilvl w:val="4"/>
          <w:numId w:val="72"/>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Frikostigt vid astma hos barn &lt;12 mån</w:t>
      </w:r>
    </w:p>
    <w:p w14:paraId="59933CBD" w14:textId="77777777" w:rsidR="00EC79BD" w:rsidRPr="000C17EB" w:rsidRDefault="00EC79BD" w:rsidP="00EC79BD">
      <w:pPr>
        <w:pStyle w:val="Normal4"/>
        <w:numPr>
          <w:ilvl w:val="4"/>
          <w:numId w:val="72"/>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Svår astma</w:t>
      </w:r>
    </w:p>
    <w:p w14:paraId="008E0697" w14:textId="77777777" w:rsidR="00EC79BD" w:rsidRPr="000C17EB" w:rsidRDefault="00EC79BD" w:rsidP="00EC79BD">
      <w:pPr>
        <w:pStyle w:val="Normal4"/>
        <w:numPr>
          <w:ilvl w:val="4"/>
          <w:numId w:val="72"/>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Dåligt behandlingssvar</w:t>
      </w:r>
    </w:p>
    <w:p w14:paraId="639F7FDB" w14:textId="77777777" w:rsidR="00EC79BD" w:rsidRPr="000C17EB" w:rsidRDefault="00EC79BD" w:rsidP="00EC79BD">
      <w:pPr>
        <w:pStyle w:val="Normal4"/>
        <w:numPr>
          <w:ilvl w:val="4"/>
          <w:numId w:val="72"/>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Oklara fall</w:t>
      </w:r>
    </w:p>
    <w:p w14:paraId="78F8ECD1" w14:textId="77777777" w:rsidR="00EC79BD" w:rsidRPr="000C17EB" w:rsidRDefault="00EC79BD" w:rsidP="00EC79BD">
      <w:pPr>
        <w:pStyle w:val="Normal4"/>
        <w:numPr>
          <w:ilvl w:val="3"/>
          <w:numId w:val="72"/>
        </w:numPr>
        <w:spacing w:before="0" w:beforeAutospacing="0" w:after="0" w:afterAutospacing="0"/>
        <w:rPr>
          <w:rFonts w:asciiTheme="minorHAnsi" w:hAnsiTheme="minorHAnsi" w:cs="Calibri"/>
          <w:color w:val="000000" w:themeColor="text1"/>
        </w:rPr>
      </w:pPr>
      <w:hyperlink w:anchor="_ORDLISTA" w:history="1">
        <w:r w:rsidRPr="000C17EB">
          <w:rPr>
            <w:rStyle w:val="Hyperlnk"/>
            <w:rFonts w:asciiTheme="minorHAnsi" w:hAnsiTheme="minorHAnsi" w:cs="Calibri"/>
            <w:color w:val="B46400" w:themeColor="accent6" w:themeShade="BF"/>
          </w:rPr>
          <w:t>HRCT</w:t>
        </w:r>
      </w:hyperlink>
      <w:r w:rsidRPr="000C17EB">
        <w:rPr>
          <w:rFonts w:asciiTheme="minorHAnsi" w:hAnsiTheme="minorHAnsi" w:cs="Calibri"/>
          <w:color w:val="000000" w:themeColor="text1"/>
        </w:rPr>
        <w:t xml:space="preserve"> lungor</w:t>
      </w:r>
    </w:p>
    <w:p w14:paraId="00A207B0" w14:textId="77777777" w:rsidR="00EC79BD" w:rsidRPr="000C17EB" w:rsidRDefault="00EC79BD" w:rsidP="00EC79BD">
      <w:pPr>
        <w:pStyle w:val="Normal4"/>
        <w:numPr>
          <w:ilvl w:val="4"/>
          <w:numId w:val="72"/>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Ibland aktuellt av differentialdiagnostiska skäl</w:t>
      </w:r>
    </w:p>
    <w:p w14:paraId="630DA4DB" w14:textId="77777777" w:rsidR="00EC79BD" w:rsidRPr="000C17EB" w:rsidRDefault="00EC79BD" w:rsidP="00EC79BD">
      <w:pPr>
        <w:pStyle w:val="Normal4"/>
        <w:numPr>
          <w:ilvl w:val="2"/>
          <w:numId w:val="72"/>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 xml:space="preserve">Bronkoskopi (via barnkliniken) </w:t>
      </w:r>
    </w:p>
    <w:p w14:paraId="1D7A4F10" w14:textId="77777777" w:rsidR="00EC79BD" w:rsidRDefault="00EC79BD" w:rsidP="00EC79BD">
      <w:pPr>
        <w:pStyle w:val="Normal4"/>
        <w:numPr>
          <w:ilvl w:val="3"/>
          <w:numId w:val="72"/>
        </w:numPr>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Ibland aktuellt av differentialdiagnostiska skäl</w:t>
      </w:r>
    </w:p>
    <w:p w14:paraId="7837CE29" w14:textId="77777777" w:rsidR="00EC79BD" w:rsidRPr="001F551E" w:rsidRDefault="00EC79BD" w:rsidP="00EC79BD">
      <w:pPr>
        <w:tabs>
          <w:tab w:val="clear" w:pos="284"/>
        </w:tabs>
        <w:spacing w:after="120" w:line="260" w:lineRule="atLeast"/>
        <w:rPr>
          <w:rStyle w:val="Stark"/>
        </w:rPr>
      </w:pPr>
      <w:r w:rsidRPr="00421F30">
        <w:rPr>
          <w:rStyle w:val="Stark"/>
          <w:noProof/>
          <w:sz w:val="24"/>
          <w:szCs w:val="24"/>
        </w:rPr>
        <mc:AlternateContent>
          <mc:Choice Requires="wps">
            <w:drawing>
              <wp:anchor distT="0" distB="0" distL="114300" distR="114300" simplePos="0" relativeHeight="251752448" behindDoc="1" locked="0" layoutInCell="1" allowOverlap="1" wp14:anchorId="02573EC4" wp14:editId="680F8831">
                <wp:simplePos x="0" y="0"/>
                <wp:positionH relativeFrom="margin">
                  <wp:posOffset>-78352</wp:posOffset>
                </wp:positionH>
                <wp:positionV relativeFrom="paragraph">
                  <wp:posOffset>278204</wp:posOffset>
                </wp:positionV>
                <wp:extent cx="6614555" cy="967839"/>
                <wp:effectExtent l="0" t="0" r="15240" b="22860"/>
                <wp:wrapNone/>
                <wp:docPr id="43" name="Rektangel: rundade hörn 43"/>
                <wp:cNvGraphicFramePr/>
                <a:graphic xmlns:a="http://schemas.openxmlformats.org/drawingml/2006/main">
                  <a:graphicData uri="http://schemas.microsoft.com/office/word/2010/wordprocessingShape">
                    <wps:wsp>
                      <wps:cNvSpPr/>
                      <wps:spPr>
                        <a:xfrm>
                          <a:off x="0" y="0"/>
                          <a:ext cx="6614555" cy="967839"/>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txbx>
                        <w:txbxContent>
                          <w:p w14:paraId="177498F0" w14:textId="77777777" w:rsidR="00EC79BD" w:rsidRDefault="00EC79BD" w:rsidP="00EC79B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573EC4" id="Rektangel: rundade hörn 43" o:spid="_x0000_s1035" style="position:absolute;margin-left:-6.15pt;margin-top:21.9pt;width:520.85pt;height:76.2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" fillcolor="#86cdff" strokecolor="#0079a6" strokeweight="2pt">
                <v:fill color2="#dceeff" rotate="t" angle="45" colors="0 #86cdff;.5 #b7deff;1 #dceeff" focus="100%" type="gradient"/>
                <v:textbox>
                  <w:txbxContent>
                    <w:p w14:paraId="177498F0" w14:textId="77777777" w:rsidR="00EC79BD" w:rsidRDefault="00EC79BD" w:rsidP="00EC79BD">
                      <w:pPr>
                        <w:jc w:val="center"/>
                      </w:pPr>
                      <w:r>
                        <w:t xml:space="preserve"> </w:t>
                      </w:r>
                    </w:p>
                  </w:txbxContent>
                </v:textbox>
                <w10:wrap anchorx="margin"/>
              </v:roundrect>
            </w:pict>
          </mc:Fallback>
        </mc:AlternateContent>
      </w:r>
      <w:r w:rsidRPr="00421F30">
        <w:rPr>
          <w:rStyle w:val="Stark"/>
          <w:sz w:val="24"/>
          <w:szCs w:val="24"/>
        </w:rPr>
        <w:t>Röda flaggor</w:t>
      </w:r>
      <w:r w:rsidRPr="00421F30">
        <w:rPr>
          <w:rStyle w:val="Stark"/>
        </w:rPr>
        <w:br/>
      </w:r>
    </w:p>
    <w:p w14:paraId="0FECE153" w14:textId="77777777" w:rsidR="00EC79BD" w:rsidRPr="00797499" w:rsidRDefault="00EC79BD" w:rsidP="00EC79BD">
      <w:pPr>
        <w:pStyle w:val="Normal4"/>
        <w:spacing w:before="0" w:beforeAutospacing="0" w:after="240" w:afterAutospacing="0"/>
        <w:ind w:left="60"/>
        <w:rPr>
          <w:rFonts w:asciiTheme="minorHAnsi" w:hAnsiTheme="minorHAnsi" w:cs="Calibri"/>
          <w:color w:val="003D7C" w:themeColor="text2"/>
        </w:rPr>
      </w:pPr>
      <w:r w:rsidRPr="00797499">
        <w:rPr>
          <w:rFonts w:asciiTheme="minorHAnsi" w:hAnsiTheme="minorHAnsi" w:cs="Calibri"/>
          <w:noProof/>
          <w:color w:val="003D7C" w:themeColor="text2"/>
        </w:rPr>
        <mc:AlternateContent>
          <mc:Choice Requires="wps">
            <w:drawing>
              <wp:anchor distT="0" distB="0" distL="114300" distR="114300" simplePos="0" relativeHeight="251753472" behindDoc="0" locked="0" layoutInCell="1" allowOverlap="1" wp14:anchorId="36E8B956" wp14:editId="191AFA8D">
                <wp:simplePos x="0" y="0"/>
                <wp:positionH relativeFrom="column">
                  <wp:posOffset>1157324</wp:posOffset>
                </wp:positionH>
                <wp:positionV relativeFrom="paragraph">
                  <wp:posOffset>613155</wp:posOffset>
                </wp:positionV>
                <wp:extent cx="325369" cy="11220"/>
                <wp:effectExtent l="0" t="57150" r="36830" b="84455"/>
                <wp:wrapNone/>
                <wp:docPr id="44" name="Rak pilkoppling 44"/>
                <wp:cNvGraphicFramePr/>
                <a:graphic xmlns:a="http://schemas.openxmlformats.org/drawingml/2006/main">
                  <a:graphicData uri="http://schemas.microsoft.com/office/word/2010/wordprocessingShape">
                    <wps:wsp>
                      <wps:cNvCnPr/>
                      <wps:spPr>
                        <a:xfrm>
                          <a:off x="0" y="0"/>
                          <a:ext cx="325369" cy="11220"/>
                        </a:xfrm>
                        <a:prstGeom prst="straightConnector1">
                          <a:avLst/>
                        </a:prstGeom>
                        <a:noFill/>
                        <a:ln w="9525" cap="flat" cmpd="sng" algn="ctr">
                          <a:solidFill>
                            <a:srgbClr val="00A6E2">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20E43F8" id="_x0000_t32" coordsize="21600,21600" o:spt="32" o:oned="t" path="m,l21600,21600e" filled="f">
                <v:path arrowok="t" fillok="f" o:connecttype="none"/>
                <o:lock v:ext="edit" shapetype="t"/>
              </v:shapetype>
              <v:shape id="Rak pilkoppling 44" o:spid="_x0000_s1026" type="#_x0000_t32" style="position:absolute;margin-left:91.15pt;margin-top:48.3pt;width:25.6pt;height:.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" strokecolor="#00a5e2">
                <v:stroke endarrow="block"/>
              </v:shape>
            </w:pict>
          </mc:Fallback>
        </mc:AlternateContent>
      </w:r>
      <w:r w:rsidRPr="00797499">
        <w:rPr>
          <w:rFonts w:asciiTheme="minorHAnsi" w:hAnsiTheme="minorHAnsi" w:cs="Calibri"/>
          <w:color w:val="003D7C" w:themeColor="text2"/>
        </w:rPr>
        <w:t xml:space="preserve">Symtom/kliniska fynd enligt nedan bör alltid föranleda differentialdiagnostiska överväganden </w:t>
      </w:r>
      <w:r>
        <w:rPr>
          <w:rFonts w:asciiTheme="minorHAnsi" w:hAnsiTheme="minorHAnsi" w:cs="Calibri"/>
          <w:color w:val="003D7C" w:themeColor="text2"/>
        </w:rPr>
        <w:br/>
      </w:r>
      <w:r w:rsidRPr="00797499">
        <w:rPr>
          <w:rFonts w:asciiTheme="minorHAnsi" w:hAnsiTheme="minorHAnsi" w:cs="Calibri"/>
          <w:color w:val="003D7C" w:themeColor="text2"/>
        </w:rPr>
        <w:t xml:space="preserve">(hjärtfel, kärlanomalier, främmande kropp, missbildningar i trakea/bronker, </w:t>
      </w:r>
      <w:hyperlink w:anchor="_ORDLISTA" w:history="1">
        <w:r w:rsidRPr="00797499">
          <w:rPr>
            <w:rStyle w:val="Hyperlnk"/>
            <w:rFonts w:asciiTheme="minorHAnsi" w:hAnsiTheme="minorHAnsi" w:cs="Calibri"/>
            <w:color w:val="003D7C" w:themeColor="text2"/>
          </w:rPr>
          <w:t>EILO</w:t>
        </w:r>
      </w:hyperlink>
      <w:r w:rsidRPr="00797499">
        <w:rPr>
          <w:rFonts w:asciiTheme="minorHAnsi" w:hAnsiTheme="minorHAnsi" w:cs="Calibri"/>
          <w:color w:val="003D7C" w:themeColor="text2"/>
        </w:rPr>
        <w:t xml:space="preserve">, immunbrist, cystisk fibros med flera) </w:t>
      </w:r>
      <w:r w:rsidRPr="00797499">
        <w:rPr>
          <w:rFonts w:asciiTheme="minorHAnsi" w:hAnsiTheme="minorHAnsi" w:cs="Calibri"/>
          <w:color w:val="003D7C" w:themeColor="text2"/>
        </w:rPr>
        <w:br/>
      </w:r>
      <w:r w:rsidRPr="00797499">
        <w:rPr>
          <w:rFonts w:asciiTheme="minorHAnsi" w:hAnsiTheme="minorHAnsi" w:cs="Calibri"/>
          <w:b/>
          <w:bCs/>
          <w:color w:val="003D7C" w:themeColor="text2"/>
        </w:rPr>
        <w:t xml:space="preserve">    </w:t>
      </w:r>
      <w:r>
        <w:rPr>
          <w:rFonts w:asciiTheme="minorHAnsi" w:hAnsiTheme="minorHAnsi" w:cs="Calibri"/>
          <w:b/>
          <w:bCs/>
          <w:color w:val="003D7C" w:themeColor="text2"/>
        </w:rPr>
        <w:tab/>
      </w:r>
      <w:r>
        <w:rPr>
          <w:rFonts w:asciiTheme="minorHAnsi" w:hAnsiTheme="minorHAnsi" w:cs="Calibri"/>
          <w:b/>
          <w:bCs/>
          <w:color w:val="003D7C" w:themeColor="text2"/>
        </w:rPr>
        <w:tab/>
      </w:r>
      <w:r w:rsidRPr="00797499">
        <w:rPr>
          <w:rFonts w:asciiTheme="minorHAnsi" w:hAnsiTheme="minorHAnsi" w:cs="Calibri"/>
          <w:b/>
          <w:bCs/>
          <w:color w:val="003D7C" w:themeColor="text2"/>
        </w:rPr>
        <w:t>Remiss till barnklinik</w:t>
      </w:r>
      <w:r>
        <w:rPr>
          <w:rFonts w:asciiTheme="minorHAnsi" w:hAnsiTheme="minorHAnsi" w:cs="Calibri"/>
          <w:b/>
          <w:bCs/>
          <w:color w:val="003D7C" w:themeColor="text2"/>
        </w:rPr>
        <w:br/>
      </w:r>
    </w:p>
    <w:p w14:paraId="0D8CEC52" w14:textId="77777777" w:rsidR="00EC79BD" w:rsidRPr="000C17EB" w:rsidRDefault="00EC79BD" w:rsidP="00EC79BD">
      <w:pPr>
        <w:pStyle w:val="Normal4"/>
        <w:spacing w:before="0" w:beforeAutospacing="0" w:after="0" w:afterAutospacing="0"/>
        <w:rPr>
          <w:rFonts w:asciiTheme="minorHAnsi" w:hAnsiTheme="minorHAnsi" w:cs="Calibri"/>
          <w:color w:val="000000" w:themeColor="text1"/>
        </w:rPr>
      </w:pPr>
    </w:p>
    <w:p w14:paraId="7252BDFC" w14:textId="77777777" w:rsidR="00EC79BD" w:rsidRPr="000C17EB" w:rsidRDefault="00EC79BD" w:rsidP="00EC79BD">
      <w:pPr>
        <w:pStyle w:val="Normal4"/>
        <w:numPr>
          <w:ilvl w:val="0"/>
          <w:numId w:val="77"/>
        </w:numPr>
        <w:spacing w:before="0" w:beforeAutospacing="0" w:after="0" w:afterAutospacing="0" w:line="360" w:lineRule="auto"/>
        <w:rPr>
          <w:rFonts w:asciiTheme="minorHAnsi" w:hAnsiTheme="minorHAnsi" w:cs="Calibri"/>
          <w:color w:val="000000" w:themeColor="text1"/>
          <w:u w:val="single"/>
        </w:rPr>
      </w:pPr>
      <w:r w:rsidRPr="000C17EB">
        <w:rPr>
          <w:rFonts w:asciiTheme="minorHAnsi" w:hAnsiTheme="minorHAnsi" w:cs="Calibri"/>
          <w:color w:val="000000" w:themeColor="text1"/>
        </w:rPr>
        <w:t>Symtom från mycket tidig ålder (&lt;6 mån)</w:t>
      </w:r>
    </w:p>
    <w:p w14:paraId="6B4F4F3A" w14:textId="77777777" w:rsidR="00EC79BD" w:rsidRPr="000C17EB" w:rsidRDefault="00EC79BD" w:rsidP="00EC79BD">
      <w:pPr>
        <w:pStyle w:val="Normal4"/>
        <w:numPr>
          <w:ilvl w:val="0"/>
          <w:numId w:val="77"/>
        </w:numPr>
        <w:spacing w:before="0" w:beforeAutospacing="0" w:after="0" w:afterAutospacing="0" w:line="360" w:lineRule="auto"/>
        <w:rPr>
          <w:rFonts w:asciiTheme="minorHAnsi" w:hAnsiTheme="minorHAnsi" w:cs="Calibri"/>
          <w:color w:val="000000" w:themeColor="text1"/>
          <w:u w:val="single"/>
        </w:rPr>
      </w:pPr>
      <w:r w:rsidRPr="0032485D">
        <w:rPr>
          <w:rFonts w:asciiTheme="minorHAnsi" w:hAnsiTheme="minorHAnsi" w:cs="Calibri"/>
          <w:color w:val="000000" w:themeColor="text1"/>
        </w:rPr>
        <w:t>S</w:t>
      </w:r>
      <w:r w:rsidRPr="000C17EB">
        <w:rPr>
          <w:rFonts w:asciiTheme="minorHAnsi" w:hAnsiTheme="minorHAnsi" w:cs="Calibri"/>
          <w:color w:val="000000" w:themeColor="text1"/>
        </w:rPr>
        <w:t>inuiter, svåra infektioner och återkommande otiter</w:t>
      </w:r>
    </w:p>
    <w:p w14:paraId="5C9F4673" w14:textId="77777777" w:rsidR="00EC79BD" w:rsidRPr="000C17EB" w:rsidRDefault="00EC79BD" w:rsidP="00EC79BD">
      <w:pPr>
        <w:pStyle w:val="Normal4"/>
        <w:numPr>
          <w:ilvl w:val="0"/>
          <w:numId w:val="77"/>
        </w:numPr>
        <w:spacing w:before="0" w:beforeAutospacing="0" w:after="0" w:afterAutospacing="0" w:line="360" w:lineRule="auto"/>
        <w:rPr>
          <w:rFonts w:asciiTheme="minorHAnsi" w:hAnsiTheme="minorHAnsi" w:cs="Calibri"/>
          <w:color w:val="000000" w:themeColor="text1"/>
          <w:u w:val="single"/>
        </w:rPr>
      </w:pPr>
      <w:r w:rsidRPr="000C17EB">
        <w:rPr>
          <w:rFonts w:asciiTheme="minorHAnsi" w:hAnsiTheme="minorHAnsi" w:cs="Calibri"/>
          <w:color w:val="000000" w:themeColor="text1"/>
        </w:rPr>
        <w:t>Långdragen produktiv hosta (&gt;4-6 veckor)</w:t>
      </w:r>
    </w:p>
    <w:p w14:paraId="655E96A5" w14:textId="77777777" w:rsidR="00EC79BD" w:rsidRPr="000C17EB" w:rsidRDefault="00EC79BD" w:rsidP="00EC79BD">
      <w:pPr>
        <w:pStyle w:val="Normal4"/>
        <w:numPr>
          <w:ilvl w:val="0"/>
          <w:numId w:val="77"/>
        </w:numPr>
        <w:spacing w:before="0" w:beforeAutospacing="0" w:after="0" w:afterAutospacing="0" w:line="360" w:lineRule="auto"/>
        <w:rPr>
          <w:rFonts w:asciiTheme="minorHAnsi" w:hAnsiTheme="minorHAnsi" w:cs="Calibri"/>
          <w:color w:val="000000" w:themeColor="text1"/>
          <w:u w:val="single"/>
        </w:rPr>
      </w:pPr>
      <w:r w:rsidRPr="000C17EB">
        <w:rPr>
          <w:rFonts w:asciiTheme="minorHAnsi" w:hAnsiTheme="minorHAnsi" w:cs="Calibri"/>
          <w:color w:val="000000" w:themeColor="text1"/>
        </w:rPr>
        <w:t>Urakut symtomdebut</w:t>
      </w:r>
    </w:p>
    <w:p w14:paraId="78C63538" w14:textId="77777777" w:rsidR="00EC79BD" w:rsidRPr="000C17EB" w:rsidRDefault="00EC79BD" w:rsidP="00EC79BD">
      <w:pPr>
        <w:pStyle w:val="Normal4"/>
        <w:numPr>
          <w:ilvl w:val="0"/>
          <w:numId w:val="77"/>
        </w:numPr>
        <w:spacing w:before="0" w:beforeAutospacing="0" w:after="0" w:afterAutospacing="0" w:line="360" w:lineRule="auto"/>
        <w:rPr>
          <w:rFonts w:asciiTheme="minorHAnsi" w:hAnsiTheme="minorHAnsi" w:cs="Calibri"/>
          <w:color w:val="000000" w:themeColor="text1"/>
          <w:u w:val="single"/>
        </w:rPr>
      </w:pPr>
      <w:r w:rsidRPr="000C17EB">
        <w:rPr>
          <w:rFonts w:asciiTheme="minorHAnsi" w:hAnsiTheme="minorHAnsi" w:cs="Calibri"/>
          <w:color w:val="000000" w:themeColor="text1"/>
        </w:rPr>
        <w:t>”failure to thrive”</w:t>
      </w:r>
    </w:p>
    <w:p w14:paraId="66F49A28" w14:textId="77777777" w:rsidR="00EC79BD" w:rsidRPr="000C17EB" w:rsidRDefault="00EC79BD" w:rsidP="00EC79BD">
      <w:pPr>
        <w:pStyle w:val="Normal4"/>
        <w:numPr>
          <w:ilvl w:val="0"/>
          <w:numId w:val="77"/>
        </w:numPr>
        <w:spacing w:before="0" w:beforeAutospacing="0" w:after="0" w:afterAutospacing="0" w:line="360" w:lineRule="auto"/>
        <w:rPr>
          <w:rFonts w:asciiTheme="minorHAnsi" w:hAnsiTheme="minorHAnsi" w:cs="Calibri"/>
          <w:color w:val="000000" w:themeColor="text1"/>
          <w:u w:val="single"/>
        </w:rPr>
      </w:pPr>
      <w:r w:rsidRPr="000C17EB">
        <w:rPr>
          <w:rFonts w:asciiTheme="minorHAnsi" w:hAnsiTheme="minorHAnsi" w:cs="Calibri"/>
          <w:color w:val="000000" w:themeColor="text1"/>
        </w:rPr>
        <w:t>Svår astma i alla åldrar</w:t>
      </w:r>
    </w:p>
    <w:p w14:paraId="50CAD143" w14:textId="77777777" w:rsidR="00EC79BD" w:rsidRPr="000C17EB" w:rsidRDefault="00EC79BD" w:rsidP="00EC79BD">
      <w:pPr>
        <w:pStyle w:val="Normal4"/>
        <w:numPr>
          <w:ilvl w:val="0"/>
          <w:numId w:val="77"/>
        </w:numPr>
        <w:spacing w:before="0" w:beforeAutospacing="0" w:after="0" w:afterAutospacing="0" w:line="360" w:lineRule="auto"/>
        <w:rPr>
          <w:rFonts w:asciiTheme="minorHAnsi" w:hAnsiTheme="minorHAnsi" w:cs="Calibri"/>
          <w:color w:val="000000" w:themeColor="text1"/>
          <w:u w:val="single"/>
        </w:rPr>
      </w:pPr>
      <w:r w:rsidRPr="000C17EB">
        <w:rPr>
          <w:rFonts w:asciiTheme="minorHAnsi" w:hAnsiTheme="minorHAnsi" w:cs="Calibri"/>
          <w:color w:val="000000" w:themeColor="text1"/>
        </w:rPr>
        <w:t>Ihållande eller tilltagande symtom trots god följsamhet</w:t>
      </w:r>
    </w:p>
    <w:p w14:paraId="0FCAE44A" w14:textId="77777777" w:rsidR="00EC79BD" w:rsidRDefault="00EC79BD" w:rsidP="00EC79BD">
      <w:pPr>
        <w:pStyle w:val="Normal4"/>
        <w:numPr>
          <w:ilvl w:val="0"/>
          <w:numId w:val="77"/>
        </w:numPr>
        <w:spacing w:before="0" w:beforeAutospacing="0" w:after="120" w:afterAutospacing="0" w:line="260" w:lineRule="atLeast"/>
        <w:rPr>
          <w:rStyle w:val="Stark"/>
        </w:rPr>
      </w:pPr>
      <w:r w:rsidRPr="009D2086">
        <w:rPr>
          <w:rFonts w:asciiTheme="minorHAnsi" w:hAnsiTheme="minorHAnsi" w:cs="Calibri"/>
          <w:color w:val="000000" w:themeColor="text1"/>
        </w:rPr>
        <w:t>Skolbarn med uttalade besvär utan allergisk läggning</w:t>
      </w:r>
    </w:p>
    <w:p w14:paraId="75A4A267" w14:textId="77777777" w:rsidR="00EC79BD" w:rsidRPr="00421F30" w:rsidRDefault="00EC79BD" w:rsidP="00EC79BD">
      <w:pPr>
        <w:pStyle w:val="Rubrik3"/>
        <w:rPr>
          <w:rStyle w:val="Stark"/>
          <w:b/>
        </w:rPr>
      </w:pPr>
      <w:bookmarkStart w:id="16" w:name="_Hlk149034061"/>
      <w:bookmarkEnd w:id="15"/>
      <w:r w:rsidRPr="00421F30">
        <w:rPr>
          <w:rStyle w:val="Stark"/>
          <w:b/>
          <w:szCs w:val="24"/>
        </w:rPr>
        <w:t>Bedömning av astmans svårighetsgrad</w:t>
      </w:r>
    </w:p>
    <w:p w14:paraId="47F73A1C" w14:textId="77777777" w:rsidR="00EC79BD" w:rsidRPr="00421F30" w:rsidRDefault="00EC79BD" w:rsidP="00EC79BD">
      <w:pPr>
        <w:rPr>
          <w:rStyle w:val="Stark"/>
          <w:rFonts w:asciiTheme="minorHAnsi" w:hAnsiTheme="minorHAnsi"/>
          <w:b w:val="0"/>
          <w:bCs/>
          <w:sz w:val="24"/>
          <w:szCs w:val="24"/>
        </w:rPr>
      </w:pPr>
      <w:r w:rsidRPr="00421F30">
        <w:rPr>
          <w:rStyle w:val="Stark"/>
          <w:rFonts w:asciiTheme="minorHAnsi" w:hAnsiTheme="minorHAnsi"/>
          <w:b w:val="0"/>
          <w:bCs/>
          <w:sz w:val="24"/>
          <w:szCs w:val="24"/>
        </w:rPr>
        <w:t>Astmans svårighetsgrad graderas i fem steg utifrån graden av behandling (steg i behandlingstrappan) senaste 4-veckorsperioden</w:t>
      </w:r>
    </w:p>
    <w:p w14:paraId="727D2534" w14:textId="77777777" w:rsidR="00EC79BD" w:rsidRPr="00421F30" w:rsidRDefault="00EC79BD" w:rsidP="00EC79BD">
      <w:pPr>
        <w:rPr>
          <w:rStyle w:val="Stark"/>
          <w:rFonts w:asciiTheme="minorHAnsi" w:hAnsiTheme="minorHAnsi"/>
          <w:b w:val="0"/>
          <w:bCs/>
          <w:sz w:val="24"/>
          <w:szCs w:val="24"/>
        </w:rPr>
      </w:pPr>
      <w:r w:rsidRPr="00421F30">
        <w:rPr>
          <w:rStyle w:val="Stark"/>
          <w:rFonts w:asciiTheme="minorHAnsi" w:hAnsiTheme="minorHAnsi"/>
          <w:b w:val="0"/>
          <w:bCs/>
          <w:sz w:val="24"/>
          <w:szCs w:val="24"/>
        </w:rPr>
        <w:t xml:space="preserve"> Steg 1 = Lindrig astma och steg 5 = mycket svår astma </w:t>
      </w:r>
    </w:p>
    <w:p w14:paraId="46091E59" w14:textId="77777777" w:rsidR="00EC79BD" w:rsidRPr="00421F30" w:rsidRDefault="00EC79BD" w:rsidP="00EC79BD">
      <w:pPr>
        <w:rPr>
          <w:rStyle w:val="Stark"/>
          <w:rFonts w:asciiTheme="minorHAnsi" w:hAnsiTheme="minorHAnsi"/>
          <w:b w:val="0"/>
          <w:bCs/>
          <w:sz w:val="24"/>
          <w:szCs w:val="24"/>
        </w:rPr>
      </w:pPr>
    </w:p>
    <w:p w14:paraId="66DE09E1" w14:textId="77777777" w:rsidR="00EC79BD" w:rsidRPr="00421F30" w:rsidRDefault="00EC79BD" w:rsidP="00EC79BD">
      <w:pPr>
        <w:rPr>
          <w:rStyle w:val="Stark"/>
          <w:rFonts w:asciiTheme="minorHAnsi" w:hAnsiTheme="minorHAnsi"/>
          <w:b w:val="0"/>
          <w:bCs/>
          <w:sz w:val="24"/>
          <w:szCs w:val="24"/>
        </w:rPr>
      </w:pPr>
      <w:r w:rsidRPr="00421F30">
        <w:rPr>
          <w:rStyle w:val="Stark"/>
          <w:rFonts w:asciiTheme="minorHAnsi" w:hAnsiTheme="minorHAnsi"/>
          <w:b w:val="0"/>
          <w:bCs/>
          <w:sz w:val="24"/>
          <w:szCs w:val="24"/>
        </w:rPr>
        <w:t xml:space="preserve">Astmakontroll baseras på resultaten från </w:t>
      </w:r>
      <w:hyperlink r:id="rId21" w:history="1">
        <w:r w:rsidRPr="00421F30">
          <w:rPr>
            <w:rStyle w:val="Stark"/>
            <w:rFonts w:asciiTheme="minorHAnsi" w:hAnsiTheme="minorHAnsi"/>
            <w:b w:val="0"/>
            <w:bCs/>
            <w:sz w:val="24"/>
            <w:szCs w:val="24"/>
          </w:rPr>
          <w:t>Astma Kontroll Test</w:t>
        </w:r>
      </w:hyperlink>
      <w:r w:rsidRPr="00421F30">
        <w:rPr>
          <w:rStyle w:val="Stark"/>
          <w:rFonts w:asciiTheme="minorHAnsi" w:hAnsiTheme="minorHAnsi"/>
          <w:b w:val="0"/>
          <w:bCs/>
          <w:sz w:val="24"/>
          <w:szCs w:val="24"/>
        </w:rPr>
        <w:t xml:space="preserve"> (AKT) för senaste 4-veckorsperioden</w:t>
      </w:r>
      <w:r>
        <w:rPr>
          <w:rStyle w:val="Stark"/>
          <w:rFonts w:asciiTheme="minorHAnsi" w:hAnsiTheme="minorHAnsi"/>
          <w:b w:val="0"/>
          <w:bCs/>
          <w:sz w:val="24"/>
          <w:szCs w:val="24"/>
        </w:rPr>
        <w:t>.</w:t>
      </w:r>
    </w:p>
    <w:p w14:paraId="6F2DFCDD" w14:textId="77777777" w:rsidR="00EC79BD" w:rsidRPr="00421F30" w:rsidRDefault="00EC79BD" w:rsidP="00EC79BD">
      <w:pPr>
        <w:rPr>
          <w:rStyle w:val="Stark"/>
          <w:rFonts w:asciiTheme="minorHAnsi" w:hAnsiTheme="minorHAnsi"/>
          <w:b w:val="0"/>
          <w:bCs/>
          <w:sz w:val="24"/>
          <w:szCs w:val="24"/>
        </w:rPr>
      </w:pPr>
      <w:r w:rsidRPr="00421F30">
        <w:rPr>
          <w:rStyle w:val="Stark"/>
          <w:rFonts w:asciiTheme="minorHAnsi" w:hAnsiTheme="minorHAnsi"/>
          <w:b w:val="0"/>
          <w:bCs/>
          <w:sz w:val="24"/>
          <w:szCs w:val="24"/>
        </w:rPr>
        <w:t>A = God kontroll (AKT ≥25)</w:t>
      </w:r>
    </w:p>
    <w:p w14:paraId="524A9B5A" w14:textId="77777777" w:rsidR="00EC79BD" w:rsidRPr="00421F30" w:rsidRDefault="00EC79BD" w:rsidP="00EC79BD">
      <w:pPr>
        <w:rPr>
          <w:rStyle w:val="Stark"/>
          <w:rFonts w:asciiTheme="minorHAnsi" w:hAnsiTheme="minorHAnsi"/>
          <w:b w:val="0"/>
          <w:bCs/>
          <w:sz w:val="24"/>
          <w:szCs w:val="24"/>
        </w:rPr>
      </w:pPr>
      <w:r w:rsidRPr="00421F30">
        <w:rPr>
          <w:rStyle w:val="Stark"/>
          <w:rFonts w:asciiTheme="minorHAnsi" w:hAnsiTheme="minorHAnsi"/>
          <w:b w:val="0"/>
          <w:bCs/>
          <w:sz w:val="24"/>
          <w:szCs w:val="24"/>
        </w:rPr>
        <w:t>B = Acceptabel kontroll (AKT 20-24)</w:t>
      </w:r>
    </w:p>
    <w:p w14:paraId="1336A949" w14:textId="77777777" w:rsidR="00EC79BD" w:rsidRPr="00421F30" w:rsidRDefault="00EC79BD" w:rsidP="00EC79BD">
      <w:pPr>
        <w:rPr>
          <w:rStyle w:val="Stark"/>
          <w:rFonts w:asciiTheme="minorHAnsi" w:hAnsiTheme="minorHAnsi"/>
          <w:b w:val="0"/>
          <w:bCs/>
          <w:sz w:val="24"/>
          <w:szCs w:val="24"/>
        </w:rPr>
      </w:pPr>
      <w:r w:rsidRPr="00421F30">
        <w:rPr>
          <w:rStyle w:val="Stark"/>
          <w:rFonts w:asciiTheme="minorHAnsi" w:hAnsiTheme="minorHAnsi"/>
          <w:b w:val="0"/>
          <w:bCs/>
          <w:sz w:val="24"/>
          <w:szCs w:val="24"/>
        </w:rPr>
        <w:t>C = otillräcklig kontroll (AKT &lt; 20)</w:t>
      </w:r>
    </w:p>
    <w:p w14:paraId="330903FA" w14:textId="77777777" w:rsidR="00EC79BD" w:rsidRPr="0032485D" w:rsidRDefault="00EC79BD" w:rsidP="00EC79BD">
      <w:pPr>
        <w:rPr>
          <w:rStyle w:val="Stark"/>
          <w:rFonts w:asciiTheme="minorHAnsi" w:hAnsiTheme="minorHAnsi"/>
        </w:rPr>
      </w:pPr>
    </w:p>
    <w:p w14:paraId="7BEA58F8" w14:textId="77777777" w:rsidR="00EC79BD" w:rsidRPr="00421F30" w:rsidRDefault="00EC79BD" w:rsidP="00EC79BD">
      <w:pPr>
        <w:rPr>
          <w:rStyle w:val="Stark"/>
          <w:rFonts w:asciiTheme="minorHAnsi" w:hAnsiTheme="minorHAnsi"/>
          <w:b w:val="0"/>
          <w:bCs/>
          <w:sz w:val="24"/>
          <w:szCs w:val="24"/>
        </w:rPr>
      </w:pPr>
      <w:r w:rsidRPr="00421F30">
        <w:rPr>
          <w:rStyle w:val="Stark"/>
          <w:rFonts w:asciiTheme="minorHAnsi" w:hAnsiTheme="minorHAnsi"/>
          <w:b w:val="0"/>
          <w:bCs/>
          <w:sz w:val="24"/>
          <w:szCs w:val="24"/>
        </w:rPr>
        <w:t>Genom att kombinera astmans underliggande svårighetsgrad med grad av astmakontroll (AKT) f</w:t>
      </w:r>
      <w:r>
        <w:rPr>
          <w:rStyle w:val="Stark"/>
          <w:rFonts w:asciiTheme="minorHAnsi" w:hAnsiTheme="minorHAnsi"/>
          <w:b w:val="0"/>
          <w:bCs/>
          <w:sz w:val="24"/>
          <w:szCs w:val="24"/>
        </w:rPr>
        <w:br/>
      </w:r>
      <w:r w:rsidRPr="00421F30">
        <w:rPr>
          <w:rStyle w:val="Stark"/>
          <w:rFonts w:asciiTheme="minorHAnsi" w:hAnsiTheme="minorHAnsi"/>
          <w:b w:val="0"/>
          <w:bCs/>
          <w:sz w:val="24"/>
          <w:szCs w:val="24"/>
        </w:rPr>
        <w:t xml:space="preserve">år man ett kombinerat mått, en astmaklassificering, som beskriver såväl svårighetsgrad som kontroll </w:t>
      </w:r>
    </w:p>
    <w:p w14:paraId="6864296A" w14:textId="77777777" w:rsidR="00EC79BD" w:rsidRDefault="00EC79BD" w:rsidP="00EC79BD">
      <w:pPr>
        <w:rPr>
          <w:rStyle w:val="Stark"/>
          <w:rFonts w:asciiTheme="minorHAnsi" w:hAnsiTheme="minorHAnsi"/>
          <w:b w:val="0"/>
          <w:bCs/>
          <w:sz w:val="24"/>
          <w:szCs w:val="24"/>
        </w:rPr>
      </w:pPr>
      <w:r w:rsidRPr="00421F30">
        <w:rPr>
          <w:rStyle w:val="Stark"/>
          <w:rFonts w:asciiTheme="minorHAnsi" w:hAnsiTheme="minorHAnsi"/>
          <w:b w:val="0"/>
          <w:bCs/>
          <w:sz w:val="24"/>
          <w:szCs w:val="24"/>
        </w:rPr>
        <w:lastRenderedPageBreak/>
        <w:t>Astmaklassificeringen anges med en siffra och en bokstav, och förs med fördel in i journalen vid varje besök</w:t>
      </w:r>
      <w:r>
        <w:rPr>
          <w:rStyle w:val="Stark"/>
          <w:rFonts w:asciiTheme="minorHAnsi" w:hAnsiTheme="minorHAnsi"/>
          <w:b w:val="0"/>
          <w:bCs/>
          <w:sz w:val="24"/>
          <w:szCs w:val="24"/>
        </w:rPr>
        <w:t>.</w:t>
      </w:r>
    </w:p>
    <w:p w14:paraId="2C77C4F3" w14:textId="77777777" w:rsidR="007E0573" w:rsidRDefault="007E0573" w:rsidP="007E0573">
      <w:pPr>
        <w:tabs>
          <w:tab w:val="clear" w:pos="284"/>
        </w:tabs>
        <w:spacing w:after="120" w:line="260" w:lineRule="atLeast"/>
        <w:rPr>
          <w:rStyle w:val="Stark"/>
          <w:rFonts w:asciiTheme="minorHAnsi" w:hAnsiTheme="minorHAnsi"/>
          <w:b w:val="0"/>
          <w:bCs/>
          <w:sz w:val="24"/>
          <w:szCs w:val="24"/>
        </w:rPr>
      </w:pPr>
      <w:bookmarkStart w:id="17" w:name="_Hlk149034471"/>
      <w:bookmarkEnd w:id="16"/>
    </w:p>
    <w:p w14:paraId="2FA96F35" w14:textId="09CB59A0" w:rsidR="00EC79BD" w:rsidRPr="007E0573" w:rsidRDefault="00EC79BD" w:rsidP="007E0573">
      <w:pPr>
        <w:tabs>
          <w:tab w:val="clear" w:pos="284"/>
        </w:tabs>
        <w:spacing w:after="120" w:line="260" w:lineRule="atLeast"/>
        <w:rPr>
          <w:rStyle w:val="Stark"/>
          <w:rFonts w:asciiTheme="minorHAnsi" w:hAnsiTheme="minorHAnsi"/>
          <w:b w:val="0"/>
          <w:bCs/>
          <w:sz w:val="24"/>
          <w:szCs w:val="24"/>
        </w:rPr>
      </w:pPr>
      <w:r w:rsidRPr="00421F30">
        <w:rPr>
          <w:rStyle w:val="Rubrik3Char"/>
        </w:rPr>
        <w:t>Behandling</w:t>
      </w:r>
      <w:bookmarkStart w:id="18" w:name="_Övergripande_behandlingsmål"/>
      <w:bookmarkStart w:id="19" w:name="_Toc150457957"/>
      <w:bookmarkEnd w:id="18"/>
      <w:r w:rsidRPr="00421F30">
        <w:rPr>
          <w:rStyle w:val="Rubrik3Char"/>
        </w:rPr>
        <w:br/>
      </w:r>
      <w:r w:rsidRPr="00421F30">
        <w:rPr>
          <w:rFonts w:cs="Calibri"/>
          <w:b/>
          <w:bCs/>
          <w:szCs w:val="24"/>
        </w:rPr>
        <w:t>Övergripande behandlingsmål</w:t>
      </w:r>
      <w:bookmarkEnd w:id="19"/>
    </w:p>
    <w:p w14:paraId="121C0838" w14:textId="77777777" w:rsidR="00EC79BD" w:rsidRPr="00421F30" w:rsidRDefault="00EC79BD" w:rsidP="00EC79BD">
      <w:pPr>
        <w:rPr>
          <w:rStyle w:val="Stark"/>
          <w:rFonts w:asciiTheme="minorHAnsi" w:hAnsiTheme="minorHAnsi"/>
          <w:b w:val="0"/>
          <w:bCs/>
          <w:sz w:val="24"/>
          <w:szCs w:val="24"/>
        </w:rPr>
      </w:pPr>
      <w:r w:rsidRPr="00421F30">
        <w:rPr>
          <w:rStyle w:val="Stark"/>
          <w:rFonts w:asciiTheme="minorHAnsi" w:hAnsiTheme="minorHAnsi"/>
          <w:b w:val="0"/>
          <w:bCs/>
          <w:sz w:val="24"/>
          <w:szCs w:val="24"/>
        </w:rPr>
        <w:t>Behandlingsmålen vid astma hos barn är ambitiösa</w:t>
      </w:r>
      <w:r>
        <w:rPr>
          <w:rStyle w:val="Stark"/>
          <w:rFonts w:asciiTheme="minorHAnsi" w:hAnsiTheme="minorHAnsi"/>
          <w:b w:val="0"/>
          <w:bCs/>
          <w:sz w:val="24"/>
          <w:szCs w:val="24"/>
        </w:rPr>
        <w:t>.</w:t>
      </w:r>
    </w:p>
    <w:p w14:paraId="5873F627" w14:textId="77777777" w:rsidR="00EC79BD" w:rsidRPr="00421F30" w:rsidRDefault="00EC79BD" w:rsidP="00EC79BD">
      <w:pPr>
        <w:rPr>
          <w:rStyle w:val="Stark"/>
          <w:rFonts w:asciiTheme="minorHAnsi" w:hAnsiTheme="minorHAnsi"/>
          <w:b w:val="0"/>
          <w:bCs/>
          <w:sz w:val="24"/>
          <w:szCs w:val="24"/>
        </w:rPr>
      </w:pPr>
      <w:r w:rsidRPr="00421F30">
        <w:rPr>
          <w:rStyle w:val="Stark"/>
          <w:rFonts w:asciiTheme="minorHAnsi" w:hAnsiTheme="minorHAnsi"/>
          <w:b w:val="0"/>
          <w:bCs/>
          <w:sz w:val="24"/>
          <w:szCs w:val="24"/>
        </w:rPr>
        <w:t xml:space="preserve">Endast vid kraftig ansträngning, luftvägsinfektion eller ofrivillig allergen-exposition kan </w:t>
      </w:r>
      <w:r>
        <w:rPr>
          <w:rStyle w:val="Stark"/>
          <w:rFonts w:asciiTheme="minorHAnsi" w:hAnsiTheme="minorHAnsi"/>
          <w:b w:val="0"/>
          <w:bCs/>
          <w:sz w:val="24"/>
          <w:szCs w:val="24"/>
        </w:rPr>
        <w:br/>
      </w:r>
      <w:r w:rsidRPr="00421F30">
        <w:rPr>
          <w:rStyle w:val="Stark"/>
          <w:rFonts w:asciiTheme="minorHAnsi" w:hAnsiTheme="minorHAnsi"/>
          <w:b w:val="0"/>
          <w:bCs/>
          <w:sz w:val="24"/>
          <w:szCs w:val="24"/>
        </w:rPr>
        <w:t>lindriga besvär accepteras</w:t>
      </w:r>
      <w:r>
        <w:rPr>
          <w:rStyle w:val="Stark"/>
          <w:rFonts w:asciiTheme="minorHAnsi" w:hAnsiTheme="minorHAnsi"/>
          <w:b w:val="0"/>
          <w:bCs/>
          <w:sz w:val="24"/>
          <w:szCs w:val="24"/>
        </w:rPr>
        <w:t>.</w:t>
      </w:r>
    </w:p>
    <w:p w14:paraId="73B71DA4" w14:textId="77777777" w:rsidR="00EC79BD" w:rsidRPr="00421F30" w:rsidRDefault="00EC79BD" w:rsidP="00EC79BD">
      <w:pPr>
        <w:rPr>
          <w:rStyle w:val="Stark"/>
          <w:rFonts w:asciiTheme="minorHAnsi" w:hAnsiTheme="minorHAnsi"/>
          <w:b w:val="0"/>
          <w:bCs/>
          <w:sz w:val="24"/>
          <w:szCs w:val="24"/>
        </w:rPr>
      </w:pPr>
    </w:p>
    <w:p w14:paraId="52F916DC" w14:textId="77777777" w:rsidR="00EC79BD" w:rsidRPr="00421F30" w:rsidRDefault="00EC79BD" w:rsidP="00EC79BD">
      <w:pPr>
        <w:numPr>
          <w:ilvl w:val="0"/>
          <w:numId w:val="79"/>
        </w:numPr>
        <w:shd w:val="clear" w:color="auto" w:fill="FFFFFF"/>
        <w:tabs>
          <w:tab w:val="clear" w:pos="284"/>
        </w:tabs>
        <w:spacing w:after="100" w:afterAutospacing="1" w:line="276" w:lineRule="auto"/>
        <w:rPr>
          <w:rStyle w:val="Stark"/>
          <w:rFonts w:asciiTheme="minorHAnsi" w:hAnsiTheme="minorHAnsi"/>
          <w:b w:val="0"/>
          <w:bCs/>
          <w:sz w:val="24"/>
          <w:szCs w:val="24"/>
        </w:rPr>
      </w:pPr>
      <w:r w:rsidRPr="00421F30">
        <w:rPr>
          <w:rStyle w:val="Stark"/>
          <w:rFonts w:asciiTheme="minorHAnsi" w:hAnsiTheme="minorHAnsi"/>
          <w:b w:val="0"/>
          <w:bCs/>
          <w:sz w:val="24"/>
          <w:szCs w:val="24"/>
        </w:rPr>
        <w:t>Vardagsaktiviteter/fysisk aktivitet ska kunna utföras utan besvär</w:t>
      </w:r>
    </w:p>
    <w:p w14:paraId="38EEE08C" w14:textId="77777777" w:rsidR="00EC79BD" w:rsidRPr="00421F30" w:rsidRDefault="00EC79BD" w:rsidP="00EC79BD">
      <w:pPr>
        <w:numPr>
          <w:ilvl w:val="0"/>
          <w:numId w:val="79"/>
        </w:numPr>
        <w:shd w:val="clear" w:color="auto" w:fill="FFFFFF"/>
        <w:tabs>
          <w:tab w:val="clear" w:pos="284"/>
        </w:tabs>
        <w:spacing w:after="100" w:afterAutospacing="1" w:line="276" w:lineRule="auto"/>
        <w:rPr>
          <w:rStyle w:val="Stark"/>
          <w:rFonts w:asciiTheme="minorHAnsi" w:hAnsiTheme="minorHAnsi"/>
          <w:b w:val="0"/>
          <w:bCs/>
          <w:sz w:val="24"/>
          <w:szCs w:val="24"/>
        </w:rPr>
      </w:pPr>
      <w:hyperlink w:anchor="_ORDLISTA" w:history="1">
        <w:r w:rsidRPr="00421F30">
          <w:rPr>
            <w:rStyle w:val="Stark"/>
            <w:rFonts w:asciiTheme="minorHAnsi" w:hAnsiTheme="minorHAnsi"/>
            <w:b w:val="0"/>
            <w:bCs/>
            <w:sz w:val="24"/>
            <w:szCs w:val="24"/>
          </w:rPr>
          <w:t>SABA</w:t>
        </w:r>
      </w:hyperlink>
      <w:r w:rsidRPr="00421F30">
        <w:rPr>
          <w:rStyle w:val="Stark"/>
          <w:rFonts w:asciiTheme="minorHAnsi" w:hAnsiTheme="minorHAnsi"/>
          <w:b w:val="0"/>
          <w:bCs/>
          <w:sz w:val="24"/>
          <w:szCs w:val="24"/>
        </w:rPr>
        <w:t>/</w:t>
      </w:r>
      <w:hyperlink w:anchor="_ORDLISTA" w:history="1">
        <w:r w:rsidRPr="00421F30">
          <w:rPr>
            <w:rStyle w:val="Stark"/>
            <w:rFonts w:asciiTheme="minorHAnsi" w:hAnsiTheme="minorHAnsi"/>
            <w:b w:val="0"/>
            <w:bCs/>
            <w:sz w:val="24"/>
            <w:szCs w:val="24"/>
          </w:rPr>
          <w:t>FABA</w:t>
        </w:r>
      </w:hyperlink>
      <w:r w:rsidRPr="00421F30">
        <w:rPr>
          <w:rStyle w:val="Stark"/>
          <w:rFonts w:asciiTheme="minorHAnsi" w:hAnsiTheme="minorHAnsi"/>
          <w:b w:val="0"/>
          <w:bCs/>
          <w:sz w:val="24"/>
          <w:szCs w:val="24"/>
        </w:rPr>
        <w:t xml:space="preserve"> vid behov max 2 ggr per månad</w:t>
      </w:r>
    </w:p>
    <w:p w14:paraId="3F29208B" w14:textId="77777777" w:rsidR="00EC79BD" w:rsidRPr="00421F30" w:rsidRDefault="00EC79BD" w:rsidP="00EC79BD">
      <w:pPr>
        <w:numPr>
          <w:ilvl w:val="0"/>
          <w:numId w:val="79"/>
        </w:numPr>
        <w:shd w:val="clear" w:color="auto" w:fill="FFFFFF"/>
        <w:tabs>
          <w:tab w:val="clear" w:pos="284"/>
        </w:tabs>
        <w:spacing w:after="100" w:afterAutospacing="1" w:line="276" w:lineRule="auto"/>
        <w:rPr>
          <w:rStyle w:val="Stark"/>
          <w:rFonts w:asciiTheme="minorHAnsi" w:hAnsiTheme="minorHAnsi"/>
          <w:b w:val="0"/>
          <w:bCs/>
          <w:sz w:val="24"/>
          <w:szCs w:val="24"/>
        </w:rPr>
      </w:pPr>
      <w:hyperlink w:anchor="_ORDLISTA" w:history="1">
        <w:r w:rsidRPr="00421F30">
          <w:rPr>
            <w:rStyle w:val="Stark"/>
            <w:rFonts w:asciiTheme="minorHAnsi" w:hAnsiTheme="minorHAnsi"/>
            <w:b w:val="0"/>
            <w:bCs/>
            <w:sz w:val="24"/>
            <w:szCs w:val="24"/>
          </w:rPr>
          <w:t>AKT</w:t>
        </w:r>
      </w:hyperlink>
      <w:r w:rsidRPr="00421F30">
        <w:rPr>
          <w:rStyle w:val="Stark"/>
          <w:rFonts w:asciiTheme="minorHAnsi" w:hAnsiTheme="minorHAnsi"/>
          <w:b w:val="0"/>
          <w:bCs/>
          <w:sz w:val="24"/>
          <w:szCs w:val="24"/>
        </w:rPr>
        <w:t xml:space="preserve"> minst 20 poäng</w:t>
      </w:r>
    </w:p>
    <w:p w14:paraId="27D24B7D" w14:textId="77777777" w:rsidR="00EC79BD" w:rsidRPr="00421F30" w:rsidRDefault="00EC79BD" w:rsidP="00EC79BD">
      <w:pPr>
        <w:numPr>
          <w:ilvl w:val="0"/>
          <w:numId w:val="79"/>
        </w:numPr>
        <w:shd w:val="clear" w:color="auto" w:fill="FFFFFF"/>
        <w:tabs>
          <w:tab w:val="clear" w:pos="284"/>
        </w:tabs>
        <w:spacing w:after="100" w:afterAutospacing="1" w:line="276" w:lineRule="auto"/>
        <w:rPr>
          <w:rStyle w:val="Stark"/>
          <w:rFonts w:asciiTheme="minorHAnsi" w:hAnsiTheme="minorHAnsi"/>
          <w:b w:val="0"/>
          <w:bCs/>
          <w:sz w:val="24"/>
          <w:szCs w:val="24"/>
        </w:rPr>
      </w:pPr>
      <w:r w:rsidRPr="00421F30">
        <w:rPr>
          <w:rStyle w:val="Stark"/>
          <w:rFonts w:asciiTheme="minorHAnsi" w:hAnsiTheme="minorHAnsi"/>
          <w:b w:val="0"/>
          <w:bCs/>
          <w:sz w:val="24"/>
          <w:szCs w:val="24"/>
        </w:rPr>
        <w:t>Bibehållen lungfunktion</w:t>
      </w:r>
    </w:p>
    <w:p w14:paraId="49A6CFD4" w14:textId="77777777" w:rsidR="00EC79BD" w:rsidRPr="00421F30" w:rsidRDefault="00EC79BD" w:rsidP="00EC79BD">
      <w:pPr>
        <w:numPr>
          <w:ilvl w:val="0"/>
          <w:numId w:val="79"/>
        </w:numPr>
        <w:shd w:val="clear" w:color="auto" w:fill="FFFFFF"/>
        <w:tabs>
          <w:tab w:val="clear" w:pos="284"/>
        </w:tabs>
        <w:spacing w:after="100" w:afterAutospacing="1" w:line="276" w:lineRule="auto"/>
        <w:rPr>
          <w:rStyle w:val="Stark"/>
          <w:rFonts w:asciiTheme="minorHAnsi" w:hAnsiTheme="minorHAnsi"/>
          <w:b w:val="0"/>
          <w:bCs/>
          <w:sz w:val="24"/>
          <w:szCs w:val="24"/>
        </w:rPr>
      </w:pPr>
      <w:r w:rsidRPr="00421F30">
        <w:rPr>
          <w:rStyle w:val="Stark"/>
          <w:rFonts w:asciiTheme="minorHAnsi" w:hAnsiTheme="minorHAnsi"/>
          <w:b w:val="0"/>
          <w:bCs/>
          <w:sz w:val="24"/>
          <w:szCs w:val="24"/>
        </w:rPr>
        <w:t xml:space="preserve">Inga vårdkrävande exacerbationer                       </w:t>
      </w:r>
      <w:r w:rsidRPr="00421F30">
        <w:rPr>
          <w:rStyle w:val="Stark"/>
          <w:rFonts w:asciiTheme="minorHAnsi" w:hAnsiTheme="minorHAnsi"/>
          <w:b w:val="0"/>
          <w:bCs/>
          <w:sz w:val="24"/>
          <w:szCs w:val="24"/>
        </w:rPr>
        <w:tab/>
      </w:r>
    </w:p>
    <w:p w14:paraId="1F7FD48E" w14:textId="77777777" w:rsidR="00EC79BD" w:rsidRPr="00421F30" w:rsidRDefault="00EC79BD" w:rsidP="00EC79BD">
      <w:pPr>
        <w:pStyle w:val="Rubrik3"/>
      </w:pPr>
      <w:bookmarkStart w:id="20" w:name="_Toc150457958"/>
      <w:r w:rsidRPr="00421F30">
        <w:t>Icke-farmakologisk behandling</w:t>
      </w:r>
      <w:bookmarkEnd w:id="20"/>
    </w:p>
    <w:p w14:paraId="060A0B94" w14:textId="77777777" w:rsidR="00EC79BD" w:rsidRPr="00E05713" w:rsidRDefault="00EC79BD" w:rsidP="00EC79BD">
      <w:pPr>
        <w:numPr>
          <w:ilvl w:val="0"/>
          <w:numId w:val="78"/>
        </w:numPr>
        <w:shd w:val="clear" w:color="auto" w:fill="FFFFFF"/>
        <w:tabs>
          <w:tab w:val="clear" w:pos="284"/>
          <w:tab w:val="num" w:pos="644"/>
        </w:tabs>
        <w:spacing w:before="100" w:beforeAutospacing="1" w:after="100" w:afterAutospacing="1" w:line="240" w:lineRule="auto"/>
        <w:ind w:left="644"/>
        <w:rPr>
          <w:rStyle w:val="Hyperlnk"/>
          <w:rFonts w:asciiTheme="minorHAnsi" w:hAnsiTheme="minorHAnsi" w:cs="Calibri"/>
          <w:b/>
          <w:bCs/>
          <w:sz w:val="28"/>
          <w:szCs w:val="28"/>
        </w:rPr>
      </w:pPr>
      <w:hyperlink w:anchor="_Rökavvänjning" w:history="1">
        <w:r w:rsidRPr="00E05713">
          <w:rPr>
            <w:rStyle w:val="Stark"/>
            <w:rFonts w:asciiTheme="minorHAnsi" w:hAnsiTheme="minorHAnsi"/>
            <w:b w:val="0"/>
            <w:bCs/>
            <w:iCs/>
            <w:sz w:val="24"/>
            <w:szCs w:val="24"/>
          </w:rPr>
          <w:t>Rökstopp</w:t>
        </w:r>
      </w:hyperlink>
      <w:r w:rsidRPr="00E05713">
        <w:rPr>
          <w:rStyle w:val="Hyperlnk"/>
          <w:rFonts w:asciiTheme="minorHAnsi" w:hAnsiTheme="minorHAnsi" w:cs="Calibri"/>
          <w:b/>
          <w:bCs/>
          <w:sz w:val="28"/>
          <w:szCs w:val="28"/>
        </w:rPr>
        <w:t xml:space="preserve"> </w:t>
      </w:r>
    </w:p>
    <w:p w14:paraId="4A6AE4E3" w14:textId="77777777" w:rsidR="00EC79BD" w:rsidRPr="0013523B" w:rsidRDefault="00EC79BD" w:rsidP="00EC79BD">
      <w:pPr>
        <w:numPr>
          <w:ilvl w:val="1"/>
          <w:numId w:val="78"/>
        </w:numPr>
        <w:shd w:val="clear" w:color="auto" w:fill="FFFFFF"/>
        <w:tabs>
          <w:tab w:val="clear" w:pos="284"/>
        </w:tabs>
        <w:spacing w:before="100" w:beforeAutospacing="1" w:after="100" w:afterAutospacing="1" w:line="240" w:lineRule="auto"/>
        <w:rPr>
          <w:rStyle w:val="Stark"/>
          <w:b w:val="0"/>
          <w:bCs/>
        </w:rPr>
      </w:pPr>
      <w:r w:rsidRPr="0013523B">
        <w:rPr>
          <w:rStyle w:val="Stark"/>
          <w:b w:val="0"/>
          <w:bCs/>
        </w:rPr>
        <w:t>Gäller både ungdom och anhöriga</w:t>
      </w:r>
    </w:p>
    <w:p w14:paraId="01DBB42E" w14:textId="77777777" w:rsidR="00EC79BD" w:rsidRPr="0013523B" w:rsidRDefault="00EC79BD" w:rsidP="00EC79BD">
      <w:pPr>
        <w:numPr>
          <w:ilvl w:val="1"/>
          <w:numId w:val="78"/>
        </w:numPr>
        <w:shd w:val="clear" w:color="auto" w:fill="FFFFFF"/>
        <w:tabs>
          <w:tab w:val="clear" w:pos="284"/>
        </w:tabs>
        <w:spacing w:before="100" w:beforeAutospacing="1" w:after="100" w:afterAutospacing="1" w:line="240" w:lineRule="auto"/>
        <w:rPr>
          <w:rStyle w:val="Stark"/>
          <w:b w:val="0"/>
          <w:bCs/>
        </w:rPr>
      </w:pPr>
      <w:r w:rsidRPr="0013523B">
        <w:rPr>
          <w:rStyle w:val="Stark"/>
          <w:b w:val="0"/>
          <w:bCs/>
        </w:rPr>
        <w:t>Ger förbättrad prognos, livskvalitet, ökad effekt av inhalerade läkemedel och minskad risk för exacerbationer</w:t>
      </w:r>
      <w:r>
        <w:rPr>
          <w:rStyle w:val="Stark"/>
          <w:b w:val="0"/>
          <w:bCs/>
        </w:rPr>
        <w:br/>
      </w:r>
    </w:p>
    <w:p w14:paraId="649C08C6" w14:textId="77777777" w:rsidR="00EC79BD" w:rsidRPr="0013523B" w:rsidRDefault="00EC79BD" w:rsidP="00EC79BD">
      <w:pPr>
        <w:numPr>
          <w:ilvl w:val="0"/>
          <w:numId w:val="78"/>
        </w:numPr>
        <w:shd w:val="clear" w:color="auto" w:fill="FFFFFF"/>
        <w:tabs>
          <w:tab w:val="clear" w:pos="284"/>
          <w:tab w:val="num" w:pos="644"/>
        </w:tabs>
        <w:spacing w:before="100" w:beforeAutospacing="1" w:after="100" w:afterAutospacing="1" w:line="240" w:lineRule="auto"/>
        <w:ind w:left="644"/>
        <w:rPr>
          <w:rStyle w:val="Stark"/>
          <w:rFonts w:asciiTheme="minorHAnsi" w:hAnsiTheme="minorHAnsi"/>
          <w:b w:val="0"/>
          <w:iCs/>
          <w:sz w:val="24"/>
          <w:szCs w:val="24"/>
        </w:rPr>
      </w:pPr>
      <w:r w:rsidRPr="0013523B">
        <w:rPr>
          <w:rStyle w:val="Stark"/>
          <w:rFonts w:asciiTheme="minorHAnsi" w:hAnsiTheme="minorHAnsi"/>
          <w:b w:val="0"/>
          <w:iCs/>
          <w:sz w:val="24"/>
          <w:szCs w:val="24"/>
        </w:rPr>
        <w:t xml:space="preserve">Patientutbildning </w:t>
      </w:r>
    </w:p>
    <w:p w14:paraId="51097962"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Inhalationsteknik</w:t>
      </w:r>
    </w:p>
    <w:p w14:paraId="73829331"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Sjukdomskunskap</w:t>
      </w:r>
    </w:p>
    <w:p w14:paraId="7355C2E6"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Information inför yrkesval och utbildning (</w:t>
      </w:r>
      <w:hyperlink r:id="rId22" w:history="1">
        <w:r w:rsidRPr="00421F30">
          <w:rPr>
            <w:rStyle w:val="Stark"/>
            <w:rFonts w:asciiTheme="minorHAnsi" w:hAnsiTheme="minorHAnsi"/>
            <w:b w:val="0"/>
            <w:sz w:val="24"/>
            <w:szCs w:val="24"/>
          </w:rPr>
          <w:t>jobbafrisk.se</w:t>
        </w:r>
      </w:hyperlink>
      <w:r w:rsidRPr="00421F30">
        <w:rPr>
          <w:rStyle w:val="Stark"/>
          <w:rFonts w:asciiTheme="minorHAnsi" w:hAnsiTheme="minorHAnsi"/>
          <w:b w:val="0"/>
          <w:sz w:val="24"/>
          <w:szCs w:val="24"/>
        </w:rPr>
        <w:t xml:space="preserve"> med mera)</w:t>
      </w:r>
    </w:p>
    <w:p w14:paraId="3C22D463"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Anpassas efter barnets ålder och förutsättningar</w:t>
      </w:r>
    </w:p>
    <w:p w14:paraId="1F3AA3EC"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Ökad sjukdomskunskap bidrar till bättre astmakontroll</w:t>
      </w:r>
      <w:r>
        <w:rPr>
          <w:rStyle w:val="Stark"/>
          <w:rFonts w:asciiTheme="minorHAnsi" w:hAnsiTheme="minorHAnsi"/>
          <w:b w:val="0"/>
          <w:sz w:val="24"/>
          <w:szCs w:val="24"/>
        </w:rPr>
        <w:br/>
      </w:r>
    </w:p>
    <w:p w14:paraId="27AF52ED" w14:textId="77777777" w:rsidR="00EC79BD" w:rsidRPr="0013523B" w:rsidRDefault="00EC79BD" w:rsidP="00EC79BD">
      <w:pPr>
        <w:numPr>
          <w:ilvl w:val="0"/>
          <w:numId w:val="78"/>
        </w:numPr>
        <w:shd w:val="clear" w:color="auto" w:fill="FFFFFF"/>
        <w:tabs>
          <w:tab w:val="clear" w:pos="284"/>
          <w:tab w:val="num" w:pos="644"/>
        </w:tabs>
        <w:spacing w:before="100" w:beforeAutospacing="1" w:after="100" w:afterAutospacing="1" w:line="240" w:lineRule="auto"/>
        <w:ind w:left="644"/>
        <w:rPr>
          <w:rStyle w:val="Stark"/>
          <w:rFonts w:asciiTheme="minorHAnsi" w:hAnsiTheme="minorHAnsi"/>
          <w:b w:val="0"/>
          <w:iCs/>
          <w:sz w:val="24"/>
          <w:szCs w:val="24"/>
        </w:rPr>
      </w:pPr>
      <w:r w:rsidRPr="0013523B">
        <w:rPr>
          <w:rStyle w:val="Stark"/>
          <w:rFonts w:asciiTheme="minorHAnsi" w:hAnsiTheme="minorHAnsi"/>
          <w:b w:val="0"/>
          <w:iCs/>
          <w:sz w:val="24"/>
          <w:szCs w:val="24"/>
        </w:rPr>
        <w:t xml:space="preserve">Skriftlig behandlingsplan </w:t>
      </w:r>
    </w:p>
    <w:p w14:paraId="0C0D1ECD"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Till alla patienter</w:t>
      </w:r>
    </w:p>
    <w:p w14:paraId="6E6343A2"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 xml:space="preserve">Exempel finns i barnklinikens astma-PM, från SKR, läkemedelsverket  </w:t>
      </w:r>
      <w:r>
        <w:rPr>
          <w:rStyle w:val="Stark"/>
          <w:rFonts w:asciiTheme="minorHAnsi" w:hAnsiTheme="minorHAnsi"/>
          <w:b w:val="0"/>
          <w:sz w:val="24"/>
          <w:szCs w:val="24"/>
        </w:rPr>
        <w:br/>
      </w:r>
    </w:p>
    <w:p w14:paraId="7126A1A6" w14:textId="77777777" w:rsidR="00EC79BD" w:rsidRPr="0013523B" w:rsidRDefault="00EC79BD" w:rsidP="00EC79BD">
      <w:pPr>
        <w:numPr>
          <w:ilvl w:val="0"/>
          <w:numId w:val="78"/>
        </w:numPr>
        <w:shd w:val="clear" w:color="auto" w:fill="FFFFFF"/>
        <w:tabs>
          <w:tab w:val="clear" w:pos="284"/>
          <w:tab w:val="num" w:pos="644"/>
        </w:tabs>
        <w:spacing w:before="100" w:beforeAutospacing="1" w:after="100" w:afterAutospacing="1" w:line="240" w:lineRule="auto"/>
        <w:ind w:left="644"/>
        <w:rPr>
          <w:rStyle w:val="Stark"/>
          <w:rFonts w:asciiTheme="minorHAnsi" w:hAnsiTheme="minorHAnsi"/>
          <w:b w:val="0"/>
          <w:iCs/>
          <w:sz w:val="24"/>
          <w:szCs w:val="24"/>
        </w:rPr>
      </w:pPr>
      <w:r w:rsidRPr="0013523B">
        <w:rPr>
          <w:rStyle w:val="Stark"/>
          <w:rFonts w:asciiTheme="minorHAnsi" w:hAnsiTheme="minorHAnsi"/>
          <w:b w:val="0"/>
          <w:iCs/>
          <w:sz w:val="24"/>
          <w:szCs w:val="24"/>
        </w:rPr>
        <w:t xml:space="preserve">Fysisk aktivitet </w:t>
      </w:r>
    </w:p>
    <w:p w14:paraId="72144A9F"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Ökar astmakontroll</w:t>
      </w:r>
    </w:p>
    <w:p w14:paraId="0F7FB691"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Bibehåller lungfunktion</w:t>
      </w:r>
    </w:p>
    <w:p w14:paraId="318B9572"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Ger bättre livskvalitet/kondition</w:t>
      </w:r>
    </w:p>
    <w:p w14:paraId="52F0F5CD"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Minskar skolfrånvaro</w:t>
      </w:r>
    </w:p>
    <w:p w14:paraId="0112ACF1"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Undvik ansträngning när det är mycket kallt eller vid hög allergenexponering.</w:t>
      </w:r>
      <w:r>
        <w:rPr>
          <w:rStyle w:val="Stark"/>
          <w:rFonts w:asciiTheme="minorHAnsi" w:hAnsiTheme="minorHAnsi"/>
          <w:b w:val="0"/>
          <w:sz w:val="24"/>
          <w:szCs w:val="24"/>
        </w:rPr>
        <w:br/>
      </w:r>
    </w:p>
    <w:p w14:paraId="44814981" w14:textId="77777777" w:rsidR="00EC79BD" w:rsidRPr="0013523B" w:rsidRDefault="00EC79BD" w:rsidP="00EC79BD">
      <w:pPr>
        <w:numPr>
          <w:ilvl w:val="0"/>
          <w:numId w:val="78"/>
        </w:numPr>
        <w:shd w:val="clear" w:color="auto" w:fill="FFFFFF"/>
        <w:tabs>
          <w:tab w:val="clear" w:pos="284"/>
          <w:tab w:val="num" w:pos="644"/>
        </w:tabs>
        <w:spacing w:before="100" w:beforeAutospacing="1" w:after="100" w:afterAutospacing="1" w:line="240" w:lineRule="auto"/>
        <w:ind w:left="644"/>
        <w:rPr>
          <w:rStyle w:val="Stark"/>
          <w:rFonts w:asciiTheme="minorHAnsi" w:hAnsiTheme="minorHAnsi"/>
          <w:b w:val="0"/>
          <w:iCs/>
          <w:sz w:val="24"/>
          <w:szCs w:val="24"/>
        </w:rPr>
      </w:pPr>
      <w:r w:rsidRPr="0013523B">
        <w:rPr>
          <w:rStyle w:val="Stark"/>
          <w:rFonts w:asciiTheme="minorHAnsi" w:hAnsiTheme="minorHAnsi"/>
          <w:b w:val="0"/>
          <w:iCs/>
          <w:sz w:val="24"/>
          <w:szCs w:val="24"/>
        </w:rPr>
        <w:t>Allergenreducerande åtgärder</w:t>
      </w:r>
    </w:p>
    <w:p w14:paraId="2EEDBD4C"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Kan ge minskade symtom och bättre livskvalitet</w:t>
      </w:r>
      <w:r>
        <w:rPr>
          <w:rStyle w:val="Stark"/>
          <w:rFonts w:asciiTheme="minorHAnsi" w:hAnsiTheme="minorHAnsi"/>
          <w:b w:val="0"/>
          <w:sz w:val="24"/>
          <w:szCs w:val="24"/>
        </w:rPr>
        <w:br/>
      </w:r>
    </w:p>
    <w:p w14:paraId="7183CCF8" w14:textId="77777777" w:rsidR="00EC79BD" w:rsidRPr="0013523B" w:rsidRDefault="00EC79BD" w:rsidP="00EC79BD">
      <w:pPr>
        <w:numPr>
          <w:ilvl w:val="0"/>
          <w:numId w:val="78"/>
        </w:numPr>
        <w:shd w:val="clear" w:color="auto" w:fill="FFFFFF"/>
        <w:tabs>
          <w:tab w:val="clear" w:pos="284"/>
          <w:tab w:val="num" w:pos="644"/>
        </w:tabs>
        <w:spacing w:before="100" w:beforeAutospacing="1" w:after="100" w:afterAutospacing="1" w:line="240" w:lineRule="auto"/>
        <w:ind w:left="644"/>
        <w:rPr>
          <w:rStyle w:val="Stark"/>
          <w:rFonts w:asciiTheme="minorHAnsi" w:hAnsiTheme="minorHAnsi"/>
          <w:b w:val="0"/>
          <w:iCs/>
          <w:sz w:val="24"/>
          <w:szCs w:val="24"/>
        </w:rPr>
      </w:pPr>
      <w:r w:rsidRPr="0013523B">
        <w:rPr>
          <w:rStyle w:val="Stark"/>
          <w:rFonts w:asciiTheme="minorHAnsi" w:hAnsiTheme="minorHAnsi"/>
          <w:b w:val="0"/>
          <w:iCs/>
          <w:sz w:val="24"/>
          <w:szCs w:val="24"/>
        </w:rPr>
        <w:t>Nutritionsinsatser</w:t>
      </w:r>
    </w:p>
    <w:p w14:paraId="685B476B"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Minskad övervikt kan bidra till ökad astmakontroll</w:t>
      </w:r>
      <w:r>
        <w:rPr>
          <w:rStyle w:val="Stark"/>
          <w:rFonts w:asciiTheme="minorHAnsi" w:hAnsiTheme="minorHAnsi"/>
          <w:b w:val="0"/>
          <w:sz w:val="24"/>
          <w:szCs w:val="24"/>
        </w:rPr>
        <w:br/>
      </w:r>
    </w:p>
    <w:p w14:paraId="10CFC17F" w14:textId="77777777" w:rsidR="00EC79BD" w:rsidRPr="0013523B" w:rsidRDefault="00EC79BD" w:rsidP="00EC79BD">
      <w:pPr>
        <w:numPr>
          <w:ilvl w:val="0"/>
          <w:numId w:val="78"/>
        </w:numPr>
        <w:shd w:val="clear" w:color="auto" w:fill="FFFFFF"/>
        <w:tabs>
          <w:tab w:val="clear" w:pos="284"/>
          <w:tab w:val="num" w:pos="644"/>
        </w:tabs>
        <w:spacing w:before="100" w:beforeAutospacing="1" w:after="100" w:afterAutospacing="1" w:line="240" w:lineRule="auto"/>
        <w:ind w:left="644"/>
        <w:rPr>
          <w:rStyle w:val="Stark"/>
          <w:rFonts w:asciiTheme="minorHAnsi" w:hAnsiTheme="minorHAnsi"/>
          <w:b w:val="0"/>
          <w:iCs/>
          <w:sz w:val="24"/>
          <w:szCs w:val="24"/>
        </w:rPr>
      </w:pPr>
      <w:r w:rsidRPr="0013523B">
        <w:rPr>
          <w:rStyle w:val="Stark"/>
          <w:rFonts w:asciiTheme="minorHAnsi" w:hAnsiTheme="minorHAnsi"/>
          <w:b w:val="0"/>
          <w:iCs/>
          <w:sz w:val="24"/>
          <w:szCs w:val="24"/>
        </w:rPr>
        <w:t>Andningsträning</w:t>
      </w:r>
    </w:p>
    <w:p w14:paraId="0D3ECEA7"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lastRenderedPageBreak/>
        <w:t>Andningsteknik och motståndsandning kan ge minskad dyspné</w:t>
      </w:r>
      <w:r>
        <w:rPr>
          <w:rStyle w:val="Stark"/>
          <w:rFonts w:asciiTheme="minorHAnsi" w:hAnsiTheme="minorHAnsi"/>
          <w:b w:val="0"/>
          <w:sz w:val="24"/>
          <w:szCs w:val="24"/>
        </w:rPr>
        <w:br/>
      </w:r>
    </w:p>
    <w:p w14:paraId="3D8A81E8" w14:textId="77777777" w:rsidR="00EC79BD" w:rsidRPr="0013523B" w:rsidRDefault="00EC79BD" w:rsidP="00EC79BD">
      <w:pPr>
        <w:numPr>
          <w:ilvl w:val="0"/>
          <w:numId w:val="78"/>
        </w:numPr>
        <w:shd w:val="clear" w:color="auto" w:fill="FFFFFF"/>
        <w:tabs>
          <w:tab w:val="clear" w:pos="284"/>
          <w:tab w:val="num" w:pos="644"/>
        </w:tabs>
        <w:spacing w:before="100" w:beforeAutospacing="1" w:after="100" w:afterAutospacing="1" w:line="240" w:lineRule="auto"/>
        <w:ind w:left="644"/>
        <w:rPr>
          <w:rStyle w:val="Stark"/>
          <w:rFonts w:asciiTheme="minorHAnsi" w:hAnsiTheme="minorHAnsi"/>
          <w:b w:val="0"/>
          <w:sz w:val="24"/>
          <w:szCs w:val="24"/>
        </w:rPr>
      </w:pPr>
      <w:r w:rsidRPr="0013523B">
        <w:rPr>
          <w:rStyle w:val="Stark"/>
          <w:rFonts w:asciiTheme="minorHAnsi" w:hAnsiTheme="minorHAnsi"/>
          <w:b w:val="0"/>
          <w:sz w:val="24"/>
          <w:szCs w:val="24"/>
        </w:rPr>
        <w:t xml:space="preserve"> </w:t>
      </w:r>
      <w:hyperlink w:anchor="_ORDLISTA" w:history="1">
        <w:r w:rsidRPr="0013523B">
          <w:rPr>
            <w:rStyle w:val="Stark"/>
            <w:rFonts w:asciiTheme="minorHAnsi" w:hAnsiTheme="minorHAnsi"/>
            <w:b w:val="0"/>
            <w:sz w:val="24"/>
            <w:szCs w:val="24"/>
          </w:rPr>
          <w:t>TLA</w:t>
        </w:r>
      </w:hyperlink>
      <w:r w:rsidRPr="0013523B">
        <w:rPr>
          <w:rStyle w:val="Stark"/>
          <w:rFonts w:asciiTheme="minorHAnsi" w:hAnsiTheme="minorHAnsi"/>
          <w:b w:val="0"/>
          <w:sz w:val="24"/>
          <w:szCs w:val="24"/>
        </w:rPr>
        <w:t xml:space="preserve">  </w:t>
      </w:r>
    </w:p>
    <w:p w14:paraId="606373B2" w14:textId="041D2325" w:rsidR="00EC79BD" w:rsidRPr="007E0573" w:rsidRDefault="00EC79BD" w:rsidP="007E0573">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Minskad partikelexponering nattetid (via barnklinik</w:t>
      </w:r>
      <w:r w:rsidR="007E0573">
        <w:rPr>
          <w:rStyle w:val="Stark"/>
          <w:rFonts w:asciiTheme="minorHAnsi" w:hAnsiTheme="minorHAnsi"/>
          <w:b w:val="0"/>
          <w:sz w:val="24"/>
          <w:szCs w:val="24"/>
        </w:rPr>
        <w:t>)</w:t>
      </w:r>
      <w:r w:rsidRPr="007E0573">
        <w:rPr>
          <w:rStyle w:val="Stark"/>
          <w:rFonts w:asciiTheme="minorHAnsi" w:hAnsiTheme="minorHAnsi"/>
          <w:b w:val="0"/>
          <w:sz w:val="24"/>
          <w:szCs w:val="24"/>
        </w:rPr>
        <w:br/>
      </w:r>
    </w:p>
    <w:p w14:paraId="625A6DCC" w14:textId="77777777" w:rsidR="00EC79BD" w:rsidRPr="0013523B" w:rsidRDefault="00EC79BD" w:rsidP="00EC79BD">
      <w:pPr>
        <w:numPr>
          <w:ilvl w:val="0"/>
          <w:numId w:val="78"/>
        </w:numPr>
        <w:shd w:val="clear" w:color="auto" w:fill="FFFFFF"/>
        <w:tabs>
          <w:tab w:val="clear" w:pos="284"/>
          <w:tab w:val="num" w:pos="644"/>
        </w:tabs>
        <w:spacing w:before="100" w:beforeAutospacing="1" w:after="100" w:afterAutospacing="1" w:line="240" w:lineRule="auto"/>
        <w:ind w:left="644"/>
        <w:rPr>
          <w:rStyle w:val="Stark"/>
          <w:rFonts w:asciiTheme="minorHAnsi" w:hAnsiTheme="minorHAnsi"/>
          <w:b w:val="0"/>
          <w:iCs/>
          <w:sz w:val="24"/>
          <w:szCs w:val="24"/>
        </w:rPr>
      </w:pPr>
      <w:r w:rsidRPr="0013523B">
        <w:rPr>
          <w:rStyle w:val="Stark"/>
          <w:rFonts w:asciiTheme="minorHAnsi" w:hAnsiTheme="minorHAnsi"/>
          <w:b w:val="0"/>
          <w:iCs/>
          <w:sz w:val="24"/>
          <w:szCs w:val="24"/>
        </w:rPr>
        <w:t xml:space="preserve">Strukturerad uppvärmning </w:t>
      </w:r>
    </w:p>
    <w:p w14:paraId="423307CC"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 xml:space="preserve">Kan vara mer effektiv än läkemedel! </w:t>
      </w:r>
    </w:p>
    <w:p w14:paraId="3ABEEB09"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10-12 intervall som varar cirka 15-30 sekunder med omväxlande vila i 60-90 sekunder</w:t>
      </w:r>
      <w:r>
        <w:rPr>
          <w:rStyle w:val="Stark"/>
          <w:rFonts w:asciiTheme="minorHAnsi" w:hAnsiTheme="minorHAnsi"/>
          <w:b w:val="0"/>
          <w:sz w:val="24"/>
          <w:szCs w:val="24"/>
        </w:rPr>
        <w:t>.</w:t>
      </w:r>
    </w:p>
    <w:p w14:paraId="494B8E83"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 xml:space="preserve">Intervallerna ska vara lätt till ganska ansträngande   </w:t>
      </w:r>
    </w:p>
    <w:p w14:paraId="72A7140C" w14:textId="77777777" w:rsidR="00EC79BD" w:rsidRPr="00421F30"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sz w:val="24"/>
          <w:szCs w:val="24"/>
        </w:rPr>
      </w:pPr>
      <w:r w:rsidRPr="00421F30">
        <w:rPr>
          <w:rStyle w:val="Stark"/>
          <w:rFonts w:asciiTheme="minorHAnsi" w:hAnsiTheme="minorHAnsi"/>
          <w:b w:val="0"/>
          <w:sz w:val="24"/>
          <w:szCs w:val="24"/>
        </w:rPr>
        <w:t>Avsluta uppvärmning med några minuters joggning</w:t>
      </w:r>
    </w:p>
    <w:p w14:paraId="0EB9161C" w14:textId="77777777" w:rsidR="00EC79BD" w:rsidRDefault="00EC79BD" w:rsidP="00EC79BD">
      <w:pPr>
        <w:numPr>
          <w:ilvl w:val="1"/>
          <w:numId w:val="78"/>
        </w:numPr>
        <w:shd w:val="clear" w:color="auto" w:fill="FFFFFF"/>
        <w:tabs>
          <w:tab w:val="clear" w:pos="284"/>
        </w:tabs>
        <w:spacing w:before="100" w:beforeAutospacing="1" w:after="100" w:afterAutospacing="1" w:line="240" w:lineRule="auto"/>
        <w:rPr>
          <w:rStyle w:val="Stark"/>
          <w:rFonts w:asciiTheme="minorHAnsi" w:hAnsiTheme="minorHAnsi"/>
          <w:b w:val="0"/>
        </w:rPr>
      </w:pPr>
      <w:r w:rsidRPr="009D2086">
        <w:rPr>
          <w:rStyle w:val="Stark"/>
          <w:rFonts w:asciiTheme="minorHAnsi" w:hAnsiTheme="minorHAnsi"/>
          <w:b w:val="0"/>
          <w:sz w:val="24"/>
          <w:szCs w:val="24"/>
        </w:rPr>
        <w:t xml:space="preserve">Vad som är lämplig ansträngningsnivå för intervallen måste </w:t>
      </w:r>
      <w:r w:rsidRPr="009D2086">
        <w:rPr>
          <w:rStyle w:val="Stark"/>
          <w:rFonts w:asciiTheme="minorHAnsi" w:hAnsiTheme="minorHAnsi"/>
          <w:b w:val="0"/>
        </w:rPr>
        <w:t>anpassas efter individen</w:t>
      </w:r>
    </w:p>
    <w:p w14:paraId="6D91EC7D" w14:textId="77777777" w:rsidR="00EC79BD" w:rsidRPr="001F551E" w:rsidRDefault="00EC79BD" w:rsidP="00EC79BD">
      <w:pPr>
        <w:pStyle w:val="Rubrik3"/>
        <w:rPr>
          <w:rFonts w:eastAsia="Times New Roman" w:cs="Calibri"/>
          <w:szCs w:val="24"/>
          <w:lang w:eastAsia="sv-SE"/>
        </w:rPr>
      </w:pPr>
      <w:bookmarkStart w:id="21" w:name="_Toc150457959"/>
      <w:bookmarkEnd w:id="17"/>
      <w:r w:rsidRPr="001F551E">
        <w:rPr>
          <w:rFonts w:eastAsia="Times New Roman" w:cs="Calibri"/>
          <w:szCs w:val="24"/>
          <w:lang w:eastAsia="sv-SE"/>
        </w:rPr>
        <w:t>Farmakologisk behandling</w:t>
      </w:r>
      <w:bookmarkEnd w:id="21"/>
    </w:p>
    <w:p w14:paraId="122A59B8" w14:textId="77777777" w:rsidR="00EC79BD" w:rsidRPr="001F551E" w:rsidRDefault="00EC79BD" w:rsidP="00EC79BD">
      <w:pPr>
        <w:rPr>
          <w:rStyle w:val="Stark"/>
        </w:rPr>
      </w:pPr>
      <w:bookmarkStart w:id="22" w:name="_Toc150455941"/>
      <w:bookmarkStart w:id="23" w:name="_Toc150457960"/>
      <w:r w:rsidRPr="001F551E">
        <w:rPr>
          <w:rFonts w:cs="Calibri"/>
          <w:b/>
          <w:bCs/>
          <w:noProof/>
          <w:color w:val="404040"/>
          <w:szCs w:val="24"/>
        </w:rPr>
        <mc:AlternateContent>
          <mc:Choice Requires="wps">
            <w:drawing>
              <wp:anchor distT="0" distB="0" distL="114300" distR="114300" simplePos="0" relativeHeight="251754496" behindDoc="1" locked="0" layoutInCell="1" allowOverlap="1" wp14:anchorId="3B0AB2B0" wp14:editId="2475DE02">
                <wp:simplePos x="0" y="0"/>
                <wp:positionH relativeFrom="margin">
                  <wp:align>right</wp:align>
                </wp:positionH>
                <wp:positionV relativeFrom="paragraph">
                  <wp:posOffset>45959</wp:posOffset>
                </wp:positionV>
                <wp:extent cx="5979226" cy="1194891"/>
                <wp:effectExtent l="0" t="0" r="21590" b="24765"/>
                <wp:wrapNone/>
                <wp:docPr id="28" name="Rektangel: rundade hörn 28"/>
                <wp:cNvGraphicFramePr/>
                <a:graphic xmlns:a="http://schemas.openxmlformats.org/drawingml/2006/main">
                  <a:graphicData uri="http://schemas.microsoft.com/office/word/2010/wordprocessingShape">
                    <wps:wsp>
                      <wps:cNvSpPr/>
                      <wps:spPr>
                        <a:xfrm>
                          <a:off x="0" y="0"/>
                          <a:ext cx="5979226" cy="1194891"/>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txbx>
                        <w:txbxContent>
                          <w:p w14:paraId="6F1BF312" w14:textId="77777777" w:rsidR="00EC79BD" w:rsidRPr="002077A2" w:rsidRDefault="00EC79BD" w:rsidP="00EC79BD">
                            <w:pPr>
                              <w:jc w:val="center"/>
                              <w:rPr>
                                <w:rFonts w:asciiTheme="minorHAnsi" w:hAnsiTheme="minorHAnsi" w:cs="Calibri"/>
                                <w:color w:val="003D7C" w:themeColor="text2"/>
                                <w:szCs w:val="24"/>
                                <w:lang w:eastAsia="sv-SE"/>
                              </w:rPr>
                            </w:pPr>
                            <w:r w:rsidRPr="002077A2">
                              <w:rPr>
                                <w:rFonts w:asciiTheme="minorHAnsi" w:hAnsiTheme="minorHAnsi" w:cs="Calibri"/>
                                <w:color w:val="003D7C" w:themeColor="text2"/>
                                <w:szCs w:val="24"/>
                              </w:rPr>
                              <w:t xml:space="preserve">Lägsta effektiva behandlingssteg i behandlingstrappan eftersträvas </w:t>
                            </w:r>
                            <w:r w:rsidRPr="002077A2">
                              <w:rPr>
                                <w:rFonts w:asciiTheme="minorHAnsi" w:hAnsiTheme="minorHAnsi" w:cs="Calibri"/>
                                <w:color w:val="003D7C" w:themeColor="text2"/>
                                <w:szCs w:val="24"/>
                              </w:rPr>
                              <w:br/>
                              <w:t>Barn ska generellt sett ha inhalationssteroider i sin behandling</w:t>
                            </w:r>
                          </w:p>
                          <w:p w14:paraId="1E48E91C" w14:textId="77777777" w:rsidR="00EC79BD" w:rsidRPr="002077A2" w:rsidRDefault="00EC79BD" w:rsidP="00EC79BD">
                            <w:pPr>
                              <w:jc w:val="center"/>
                              <w:rPr>
                                <w:rFonts w:asciiTheme="minorHAnsi" w:hAnsiTheme="minorHAnsi" w:cs="Calibri"/>
                                <w:b/>
                                <w:bCs/>
                                <w:color w:val="003D7C" w:themeColor="text2"/>
                                <w:szCs w:val="24"/>
                              </w:rPr>
                            </w:pPr>
                            <w:r w:rsidRPr="002077A2">
                              <w:rPr>
                                <w:rFonts w:asciiTheme="minorHAnsi" w:hAnsiTheme="minorHAnsi" w:cs="Calibri"/>
                                <w:b/>
                                <w:bCs/>
                                <w:color w:val="003D7C" w:themeColor="text2"/>
                                <w:szCs w:val="24"/>
                              </w:rPr>
                              <w:t xml:space="preserve">Det är farligare med underbehandlad astma än med långvarig </w:t>
                            </w:r>
                            <w:hyperlink w:anchor="_ORDLISTA" w:history="1">
                              <w:r w:rsidRPr="002077A2">
                                <w:rPr>
                                  <w:rStyle w:val="Hyperlnk"/>
                                  <w:rFonts w:asciiTheme="minorHAnsi" w:hAnsiTheme="minorHAnsi" w:cs="Calibri"/>
                                  <w:b/>
                                  <w:bCs/>
                                  <w:color w:val="003D7C" w:themeColor="text2"/>
                                  <w:szCs w:val="24"/>
                                </w:rPr>
                                <w:t>ICS</w:t>
                              </w:r>
                            </w:hyperlink>
                            <w:r w:rsidRPr="002077A2">
                              <w:rPr>
                                <w:rFonts w:asciiTheme="minorHAnsi" w:hAnsiTheme="minorHAnsi" w:cs="Calibri"/>
                                <w:b/>
                                <w:bCs/>
                                <w:color w:val="003D7C" w:themeColor="text2"/>
                                <w:szCs w:val="24"/>
                              </w:rPr>
                              <w:t xml:space="preserve">-behandling – jämfört med placebo minskar ICS-behandling mortalitet samt risken för allvarliga exacerbationer och sjukhusinläggningar! </w:t>
                            </w:r>
                          </w:p>
                          <w:p w14:paraId="6E239C7A" w14:textId="77777777" w:rsidR="00EC79BD" w:rsidRPr="00A35F30" w:rsidRDefault="00EC79BD" w:rsidP="00EC79BD">
                            <w:pPr>
                              <w:rPr>
                                <w:rFonts w:ascii="Calibri" w:hAnsi="Calibri" w:cs="Calibri"/>
                                <w:b/>
                                <w:bCs/>
                                <w:color w:val="000000" w:themeColor="text1"/>
                                <w:szCs w:val="24"/>
                              </w:rPr>
                            </w:pPr>
                          </w:p>
                          <w:p w14:paraId="6736F532" w14:textId="77777777" w:rsidR="00EC79BD" w:rsidRPr="0037622C" w:rsidRDefault="00EC79BD" w:rsidP="00EC79BD">
                            <w:pPr>
                              <w:rPr>
                                <w:rFonts w:ascii="Calibri" w:hAnsi="Calibri" w:cs="Calibri"/>
                                <w:b/>
                                <w:bCs/>
                                <w:szCs w:val="24"/>
                              </w:rPr>
                            </w:pPr>
                          </w:p>
                          <w:p w14:paraId="42696930" w14:textId="77777777" w:rsidR="00EC79BD" w:rsidRDefault="00EC79BD" w:rsidP="00EC79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0AB2B0" id="Rektangel: rundade hörn 28" o:spid="_x0000_s1036" style="position:absolute;margin-left:419.6pt;margin-top:3.6pt;width:470.8pt;height:94.1pt;z-index:-251561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" fillcolor="#86cdff" strokecolor="#0079a6" strokeweight="2pt">
                <v:fill color2="#dceeff" rotate="t" angle="45" colors="0 #86cdff;.5 #b7deff;1 #dceeff" focus="100%" type="gradient"/>
                <v:textbox>
                  <w:txbxContent>
                    <w:p w14:paraId="6F1BF312" w14:textId="77777777" w:rsidR="00EC79BD" w:rsidRPr="002077A2" w:rsidRDefault="00EC79BD" w:rsidP="00EC79BD">
                      <w:pPr>
                        <w:jc w:val="center"/>
                        <w:rPr>
                          <w:rFonts w:asciiTheme="minorHAnsi" w:hAnsiTheme="minorHAnsi" w:cs="Calibri"/>
                          <w:color w:val="003D7C" w:themeColor="text2"/>
                          <w:szCs w:val="24"/>
                          <w:lang w:eastAsia="sv-SE"/>
                        </w:rPr>
                      </w:pPr>
                      <w:r w:rsidRPr="002077A2">
                        <w:rPr>
                          <w:rFonts w:asciiTheme="minorHAnsi" w:hAnsiTheme="minorHAnsi" w:cs="Calibri"/>
                          <w:color w:val="003D7C" w:themeColor="text2"/>
                          <w:szCs w:val="24"/>
                        </w:rPr>
                        <w:t xml:space="preserve">Lägsta effektiva behandlingssteg i behandlingstrappan eftersträvas </w:t>
                      </w:r>
                      <w:r w:rsidRPr="002077A2">
                        <w:rPr>
                          <w:rFonts w:asciiTheme="minorHAnsi" w:hAnsiTheme="minorHAnsi" w:cs="Calibri"/>
                          <w:color w:val="003D7C" w:themeColor="text2"/>
                          <w:szCs w:val="24"/>
                        </w:rPr>
                        <w:br/>
                        <w:t>Barn ska generellt sett ha inhalationssteroider i sin behandling</w:t>
                      </w:r>
                    </w:p>
                    <w:p w14:paraId="1E48E91C" w14:textId="77777777" w:rsidR="00EC79BD" w:rsidRPr="002077A2" w:rsidRDefault="00EC79BD" w:rsidP="00EC79BD">
                      <w:pPr>
                        <w:jc w:val="center"/>
                        <w:rPr>
                          <w:rFonts w:asciiTheme="minorHAnsi" w:hAnsiTheme="minorHAnsi" w:cs="Calibri"/>
                          <w:b/>
                          <w:bCs/>
                          <w:color w:val="003D7C" w:themeColor="text2"/>
                          <w:szCs w:val="24"/>
                        </w:rPr>
                      </w:pPr>
                      <w:r w:rsidRPr="002077A2">
                        <w:rPr>
                          <w:rFonts w:asciiTheme="minorHAnsi" w:hAnsiTheme="minorHAnsi" w:cs="Calibri"/>
                          <w:b/>
                          <w:bCs/>
                          <w:color w:val="003D7C" w:themeColor="text2"/>
                          <w:szCs w:val="24"/>
                        </w:rPr>
                        <w:t xml:space="preserve">Det är farligare med underbehandlad astma än med långvarig </w:t>
                      </w:r>
                      <w:hyperlink w:anchor="_ORDLISTA" w:history="1">
                        <w:r w:rsidRPr="002077A2">
                          <w:rPr>
                            <w:rStyle w:val="Hyperlnk"/>
                            <w:rFonts w:asciiTheme="minorHAnsi" w:hAnsiTheme="minorHAnsi" w:cs="Calibri"/>
                            <w:b/>
                            <w:bCs/>
                            <w:color w:val="003D7C" w:themeColor="text2"/>
                            <w:szCs w:val="24"/>
                          </w:rPr>
                          <w:t>ICS</w:t>
                        </w:r>
                      </w:hyperlink>
                      <w:r w:rsidRPr="002077A2">
                        <w:rPr>
                          <w:rFonts w:asciiTheme="minorHAnsi" w:hAnsiTheme="minorHAnsi" w:cs="Calibri"/>
                          <w:b/>
                          <w:bCs/>
                          <w:color w:val="003D7C" w:themeColor="text2"/>
                          <w:szCs w:val="24"/>
                        </w:rPr>
                        <w:t xml:space="preserve">-behandling – jämfört med placebo minskar ICS-behandling mortalitet samt risken för allvarliga exacerbationer och sjukhusinläggningar! </w:t>
                      </w:r>
                    </w:p>
                    <w:p w14:paraId="6E239C7A" w14:textId="77777777" w:rsidR="00EC79BD" w:rsidRPr="00A35F30" w:rsidRDefault="00EC79BD" w:rsidP="00EC79BD">
                      <w:pPr>
                        <w:rPr>
                          <w:rFonts w:ascii="Calibri" w:hAnsi="Calibri" w:cs="Calibri"/>
                          <w:b/>
                          <w:bCs/>
                          <w:color w:val="000000" w:themeColor="text1"/>
                          <w:szCs w:val="24"/>
                        </w:rPr>
                      </w:pPr>
                    </w:p>
                    <w:p w14:paraId="6736F532" w14:textId="77777777" w:rsidR="00EC79BD" w:rsidRPr="0037622C" w:rsidRDefault="00EC79BD" w:rsidP="00EC79BD">
                      <w:pPr>
                        <w:rPr>
                          <w:rFonts w:ascii="Calibri" w:hAnsi="Calibri" w:cs="Calibri"/>
                          <w:b/>
                          <w:bCs/>
                          <w:szCs w:val="24"/>
                        </w:rPr>
                      </w:pPr>
                    </w:p>
                    <w:p w14:paraId="42696930" w14:textId="77777777" w:rsidR="00EC79BD" w:rsidRDefault="00EC79BD" w:rsidP="00EC79BD">
                      <w:pPr>
                        <w:jc w:val="center"/>
                      </w:pPr>
                    </w:p>
                  </w:txbxContent>
                </v:textbox>
                <w10:wrap anchorx="margin"/>
              </v:roundrect>
            </w:pict>
          </mc:Fallback>
        </mc:AlternateContent>
      </w:r>
      <w:bookmarkEnd w:id="22"/>
      <w:bookmarkEnd w:id="23"/>
    </w:p>
    <w:p w14:paraId="7DC0A74E" w14:textId="77777777" w:rsidR="00EC79BD" w:rsidRPr="001F551E" w:rsidRDefault="00EC79BD" w:rsidP="00EC79BD">
      <w:pPr>
        <w:pStyle w:val="Rubrik3"/>
        <w:rPr>
          <w:rFonts w:cs="Calibri"/>
          <w:b w:val="0"/>
          <w:bCs w:val="0"/>
          <w:szCs w:val="24"/>
        </w:rPr>
      </w:pPr>
      <w:r w:rsidRPr="001F551E">
        <w:rPr>
          <w:rFonts w:eastAsia="Times New Roman" w:cs="Calibri"/>
          <w:szCs w:val="24"/>
          <w:lang w:eastAsia="sv-SE"/>
        </w:rPr>
        <w:t xml:space="preserve"> </w:t>
      </w:r>
    </w:p>
    <w:p w14:paraId="62DF55C4" w14:textId="77777777" w:rsidR="00EC79BD" w:rsidRPr="001F551E" w:rsidRDefault="00EC79BD" w:rsidP="00EC79BD">
      <w:pPr>
        <w:rPr>
          <w:rStyle w:val="Stark"/>
        </w:rPr>
      </w:pPr>
    </w:p>
    <w:p w14:paraId="2CEA38EA" w14:textId="77777777" w:rsidR="00EC79BD" w:rsidRDefault="00EC79BD" w:rsidP="00EC79BD">
      <w:pPr>
        <w:pStyle w:val="Rubrik3"/>
        <w:rPr>
          <w:rStyle w:val="Stark"/>
          <w:rFonts w:cs="Calibri"/>
          <w:bCs w:val="0"/>
          <w:iCs/>
          <w:szCs w:val="24"/>
        </w:rPr>
      </w:pPr>
    </w:p>
    <w:p w14:paraId="30963463" w14:textId="77777777" w:rsidR="00EC79BD" w:rsidRPr="00E11E6F" w:rsidRDefault="00EC79BD" w:rsidP="00EC79BD">
      <w:pPr>
        <w:pStyle w:val="Rubrik3"/>
        <w:rPr>
          <w:rFonts w:cs="Calibri"/>
          <w:b w:val="0"/>
          <w:szCs w:val="24"/>
          <w:u w:val="single"/>
        </w:rPr>
      </w:pPr>
      <w:bookmarkStart w:id="24" w:name="_Toc150457961"/>
      <w:r w:rsidRPr="00E11E6F">
        <w:rPr>
          <w:rStyle w:val="Stark"/>
          <w:rFonts w:cs="Calibri"/>
          <w:b/>
          <w:szCs w:val="24"/>
          <w:u w:val="single"/>
        </w:rPr>
        <w:t>Inhalationsbehandling</w:t>
      </w:r>
      <w:bookmarkEnd w:id="24"/>
      <w:r>
        <w:rPr>
          <w:rStyle w:val="Stark"/>
          <w:rFonts w:cs="Calibri"/>
          <w:b/>
          <w:szCs w:val="24"/>
          <w:u w:val="single"/>
        </w:rPr>
        <w:br/>
      </w:r>
    </w:p>
    <w:tbl>
      <w:tblPr>
        <w:tblStyle w:val="Rutntstabell7frgstarkdekorfrg2"/>
        <w:tblW w:w="100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2007"/>
        <w:gridCol w:w="2147"/>
        <w:gridCol w:w="1439"/>
        <w:gridCol w:w="1435"/>
        <w:gridCol w:w="2146"/>
      </w:tblGrid>
      <w:tr w:rsidR="00EC79BD" w:rsidRPr="000C17EB" w14:paraId="3EA71C8B" w14:textId="77777777" w:rsidTr="00632FCC">
        <w:trPr>
          <w:cnfStyle w:val="100000000000" w:firstRow="1" w:lastRow="0" w:firstColumn="0" w:lastColumn="0" w:oddVBand="0" w:evenVBand="0" w:oddHBand="0" w:evenHBand="0" w:firstRowFirstColumn="0" w:firstRowLastColumn="0" w:lastRowFirstColumn="0" w:lastRowLastColumn="0"/>
          <w:trHeight w:val="396"/>
        </w:trPr>
        <w:tc>
          <w:tcPr>
            <w:cnfStyle w:val="001000000100" w:firstRow="0" w:lastRow="0" w:firstColumn="1" w:lastColumn="0" w:oddVBand="0" w:evenVBand="0" w:oddHBand="0" w:evenHBand="0" w:firstRowFirstColumn="1" w:firstRowLastColumn="0" w:lastRowFirstColumn="0" w:lastRowLastColumn="0"/>
            <w:tcW w:w="866" w:type="dxa"/>
          </w:tcPr>
          <w:p w14:paraId="0D648978" w14:textId="77777777" w:rsidR="00EC79BD" w:rsidRPr="00AA70F3" w:rsidRDefault="00EC79BD" w:rsidP="00632FCC">
            <w:pPr>
              <w:pStyle w:val="Normal4"/>
              <w:spacing w:before="0" w:beforeAutospacing="0" w:after="0" w:afterAutospacing="0"/>
              <w:rPr>
                <w:rStyle w:val="Stark"/>
                <w:rFonts w:asciiTheme="minorHAnsi" w:eastAsiaTheme="minorEastAsia" w:hAnsiTheme="minorHAnsi" w:cs="Calibri"/>
                <w:b/>
                <w:bCs w:val="0"/>
                <w:i w:val="0"/>
                <w:iCs w:val="0"/>
                <w:color w:val="003D7C" w:themeColor="text2"/>
                <w:sz w:val="22"/>
                <w:szCs w:val="22"/>
              </w:rPr>
            </w:pPr>
            <w:r w:rsidRPr="00AA70F3">
              <w:rPr>
                <w:rStyle w:val="Stark"/>
                <w:rFonts w:asciiTheme="minorHAnsi" w:eastAsiaTheme="minorEastAsia" w:hAnsiTheme="minorHAnsi" w:cs="Calibri"/>
                <w:i w:val="0"/>
                <w:color w:val="003D7C" w:themeColor="text2"/>
                <w:sz w:val="22"/>
                <w:szCs w:val="22"/>
              </w:rPr>
              <w:t>Grupp</w:t>
            </w:r>
          </w:p>
        </w:tc>
        <w:tc>
          <w:tcPr>
            <w:tcW w:w="2007" w:type="dxa"/>
          </w:tcPr>
          <w:p w14:paraId="64FA695A" w14:textId="77777777" w:rsidR="00EC79BD" w:rsidRPr="00CB5DA8"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sz w:val="22"/>
                <w:szCs w:val="22"/>
              </w:rPr>
            </w:pPr>
            <w:r w:rsidRPr="00CB5DA8">
              <w:rPr>
                <w:rStyle w:val="Stark"/>
                <w:rFonts w:asciiTheme="minorHAnsi" w:eastAsiaTheme="minorEastAsia" w:hAnsiTheme="minorHAnsi" w:cs="Calibri"/>
                <w:color w:val="003D7C" w:themeColor="text2"/>
                <w:sz w:val="22"/>
                <w:szCs w:val="22"/>
              </w:rPr>
              <w:t xml:space="preserve">Pulver </w:t>
            </w:r>
            <w:r w:rsidRPr="00CB5DA8">
              <w:rPr>
                <w:rFonts w:asciiTheme="minorHAnsi" w:hAnsiTheme="minorHAnsi"/>
                <w:color w:val="2D934F" w:themeColor="accent4"/>
              </w:rPr>
              <w:t>M</w:t>
            </w:r>
          </w:p>
        </w:tc>
        <w:tc>
          <w:tcPr>
            <w:tcW w:w="2147" w:type="dxa"/>
          </w:tcPr>
          <w:p w14:paraId="75A89AB4" w14:textId="77777777" w:rsidR="00EC79BD" w:rsidRPr="00CB5DA8"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color w:val="003D7C" w:themeColor="text2"/>
                <w:sz w:val="22"/>
                <w:szCs w:val="22"/>
              </w:rPr>
            </w:pPr>
            <w:r w:rsidRPr="00CB5DA8">
              <w:rPr>
                <w:rStyle w:val="Stark"/>
                <w:rFonts w:asciiTheme="minorHAnsi" w:eastAsiaTheme="minorEastAsia" w:hAnsiTheme="minorHAnsi" w:cs="Calibri"/>
                <w:color w:val="003D7C" w:themeColor="text2"/>
                <w:sz w:val="22"/>
                <w:szCs w:val="22"/>
              </w:rPr>
              <w:t>Spray</w:t>
            </w:r>
            <w:r>
              <w:rPr>
                <w:rStyle w:val="Stark"/>
                <w:rFonts w:asciiTheme="minorHAnsi" w:eastAsiaTheme="minorEastAsia" w:hAnsiTheme="minorHAnsi" w:cs="Calibri"/>
                <w:color w:val="003D7C" w:themeColor="text2"/>
                <w:sz w:val="22"/>
                <w:szCs w:val="22"/>
              </w:rPr>
              <w:t xml:space="preserve"> </w:t>
            </w:r>
            <w:r w:rsidRPr="00CB5DA8">
              <w:rPr>
                <w:rStyle w:val="Stark"/>
                <w:rFonts w:asciiTheme="minorHAnsi" w:eastAsiaTheme="minorEastAsia" w:hAnsiTheme="minorHAnsi" w:cs="Calibri"/>
                <w:color w:val="003D7C" w:themeColor="text2"/>
                <w:sz w:val="22"/>
                <w:szCs w:val="22"/>
              </w:rPr>
              <w:t xml:space="preserve">Softmist </w:t>
            </w:r>
            <w:r w:rsidRPr="00CB5DA8">
              <w:rPr>
                <w:rFonts w:asciiTheme="minorHAnsi" w:hAnsiTheme="minorHAnsi"/>
                <w:color w:val="2D934F" w:themeColor="accent4"/>
              </w:rPr>
              <w:t>M</w:t>
            </w:r>
          </w:p>
          <w:p w14:paraId="6043D2A4" w14:textId="77777777" w:rsidR="00EC79BD" w:rsidRPr="00CB5DA8"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CB5DA8">
              <w:rPr>
                <w:rStyle w:val="Stark"/>
                <w:rFonts w:asciiTheme="minorHAnsi" w:eastAsiaTheme="minorEastAsia" w:hAnsiTheme="minorHAnsi" w:cs="Calibri"/>
                <w:color w:val="003D7C" w:themeColor="text2"/>
                <w:sz w:val="22"/>
                <w:szCs w:val="22"/>
              </w:rPr>
              <w:t xml:space="preserve">för </w:t>
            </w:r>
            <w:r>
              <w:rPr>
                <w:rStyle w:val="Stark"/>
                <w:rFonts w:asciiTheme="minorHAnsi" w:eastAsiaTheme="minorEastAsia" w:hAnsiTheme="minorHAnsi" w:cs="Calibri"/>
                <w:color w:val="003D7C" w:themeColor="text2"/>
                <w:sz w:val="22"/>
                <w:szCs w:val="22"/>
              </w:rPr>
              <w:t>a</w:t>
            </w:r>
            <w:r w:rsidRPr="00CB5DA8">
              <w:rPr>
                <w:rStyle w:val="Stark"/>
                <w:rFonts w:asciiTheme="minorHAnsi" w:eastAsiaTheme="minorEastAsia" w:hAnsiTheme="minorHAnsi" w:cs="Calibri"/>
                <w:color w:val="003D7C" w:themeColor="text2"/>
                <w:sz w:val="22"/>
                <w:szCs w:val="22"/>
              </w:rPr>
              <w:t>ndningsbehållare</w:t>
            </w:r>
          </w:p>
        </w:tc>
        <w:tc>
          <w:tcPr>
            <w:tcW w:w="1439" w:type="dxa"/>
          </w:tcPr>
          <w:p w14:paraId="24F4C31C" w14:textId="77777777" w:rsidR="00EC79BD" w:rsidRPr="00CB5DA8" w:rsidRDefault="00EC79BD" w:rsidP="00632FCC">
            <w:pPr>
              <w:pStyle w:val="Normal4"/>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sz w:val="22"/>
                <w:szCs w:val="22"/>
              </w:rPr>
            </w:pPr>
            <w:r w:rsidRPr="00CB5DA8">
              <w:rPr>
                <w:rStyle w:val="Stark"/>
                <w:rFonts w:asciiTheme="minorHAnsi" w:eastAsiaTheme="minorEastAsia" w:hAnsiTheme="minorHAnsi" w:cs="Calibri"/>
                <w:color w:val="003D7C" w:themeColor="text2"/>
                <w:sz w:val="22"/>
                <w:szCs w:val="22"/>
              </w:rPr>
              <w:t xml:space="preserve">Låg </w:t>
            </w:r>
            <w:r w:rsidRPr="00CB5DA8">
              <w:rPr>
                <w:rStyle w:val="Stark"/>
                <w:rFonts w:asciiTheme="minorHAnsi" w:eastAsiaTheme="minorEastAsia" w:hAnsiTheme="minorHAnsi" w:cs="Calibri"/>
                <w:color w:val="003D7C" w:themeColor="text2"/>
                <w:sz w:val="22"/>
                <w:szCs w:val="22"/>
              </w:rPr>
              <w:br/>
              <w:t>dos</w:t>
            </w:r>
          </w:p>
        </w:tc>
        <w:tc>
          <w:tcPr>
            <w:tcW w:w="1435" w:type="dxa"/>
          </w:tcPr>
          <w:p w14:paraId="5CEDC15E" w14:textId="77777777" w:rsidR="00EC79BD" w:rsidRPr="00CB5DA8"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Cs w:val="0"/>
                <w:color w:val="003D7C" w:themeColor="text2"/>
                <w:sz w:val="22"/>
                <w:szCs w:val="22"/>
              </w:rPr>
            </w:pPr>
            <w:r w:rsidRPr="00CB5DA8">
              <w:rPr>
                <w:rStyle w:val="Stark"/>
                <w:rFonts w:asciiTheme="minorHAnsi" w:eastAsiaTheme="minorEastAsia" w:hAnsiTheme="minorHAnsi" w:cs="Calibri"/>
                <w:color w:val="003D7C" w:themeColor="text2"/>
                <w:sz w:val="22"/>
                <w:szCs w:val="22"/>
              </w:rPr>
              <w:t>Medel</w:t>
            </w:r>
          </w:p>
          <w:p w14:paraId="282015D5" w14:textId="77777777" w:rsidR="00EC79BD" w:rsidRPr="00CB5DA8"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CB5DA8">
              <w:rPr>
                <w:rStyle w:val="Stark"/>
                <w:rFonts w:asciiTheme="minorHAnsi" w:eastAsiaTheme="minorEastAsia" w:hAnsiTheme="minorHAnsi" w:cs="Calibri"/>
                <w:color w:val="003D7C" w:themeColor="text2"/>
                <w:sz w:val="22"/>
                <w:szCs w:val="22"/>
              </w:rPr>
              <w:t>dos</w:t>
            </w:r>
          </w:p>
        </w:tc>
        <w:tc>
          <w:tcPr>
            <w:tcW w:w="2146" w:type="dxa"/>
          </w:tcPr>
          <w:p w14:paraId="71F24852" w14:textId="77777777" w:rsidR="00EC79BD" w:rsidRPr="00CB5DA8"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Cs w:val="0"/>
                <w:color w:val="003D7C" w:themeColor="text2"/>
                <w:sz w:val="22"/>
                <w:szCs w:val="22"/>
              </w:rPr>
            </w:pPr>
            <w:r w:rsidRPr="00CB5DA8">
              <w:rPr>
                <w:rStyle w:val="Stark"/>
                <w:rFonts w:asciiTheme="minorHAnsi" w:eastAsiaTheme="minorEastAsia" w:hAnsiTheme="minorHAnsi" w:cs="Calibri"/>
                <w:color w:val="003D7C" w:themeColor="text2"/>
                <w:sz w:val="22"/>
                <w:szCs w:val="22"/>
              </w:rPr>
              <w:t>Hög</w:t>
            </w:r>
          </w:p>
          <w:p w14:paraId="76CD579D" w14:textId="77777777" w:rsidR="00EC79BD" w:rsidRPr="00CB5DA8"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CB5DA8">
              <w:rPr>
                <w:rStyle w:val="Stark"/>
                <w:rFonts w:asciiTheme="minorHAnsi" w:eastAsiaTheme="minorEastAsia" w:hAnsiTheme="minorHAnsi" w:cs="Calibri"/>
                <w:color w:val="003D7C" w:themeColor="text2"/>
                <w:sz w:val="22"/>
                <w:szCs w:val="22"/>
              </w:rPr>
              <w:t>dos</w:t>
            </w:r>
          </w:p>
        </w:tc>
      </w:tr>
      <w:tr w:rsidR="00EC79BD" w:rsidRPr="000C17EB" w14:paraId="3803C621" w14:textId="77777777" w:rsidTr="00632FCC">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866" w:type="dxa"/>
          </w:tcPr>
          <w:p w14:paraId="2BFED9BD"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color w:val="003D7C" w:themeColor="text2"/>
              </w:rPr>
            </w:pPr>
            <w:hyperlink w:anchor="_ORDLISTA" w:history="1">
              <w:r w:rsidRPr="000C17EB">
                <w:rPr>
                  <w:rStyle w:val="Hyperlnk"/>
                  <w:rFonts w:asciiTheme="minorHAnsi" w:hAnsiTheme="minorHAnsi" w:cs="Calibri"/>
                  <w:b/>
                  <w:color w:val="B46400" w:themeColor="accent6" w:themeShade="BF"/>
                </w:rPr>
                <w:t>ICS</w:t>
              </w:r>
            </w:hyperlink>
          </w:p>
        </w:tc>
        <w:tc>
          <w:tcPr>
            <w:tcW w:w="2007" w:type="dxa"/>
          </w:tcPr>
          <w:p w14:paraId="6AF3E7F2"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 xml:space="preserve">budesonid </w:t>
            </w:r>
            <w:r w:rsidRPr="000C17EB">
              <w:rPr>
                <w:rStyle w:val="Stark"/>
                <w:rFonts w:asciiTheme="minorHAnsi" w:eastAsiaTheme="minorEastAsia" w:hAnsiTheme="minorHAnsi" w:cs="Calibri"/>
                <w:color w:val="003D7C" w:themeColor="text2"/>
              </w:rPr>
              <w:br/>
              <w:t>Giona Easyhaler</w:t>
            </w:r>
            <w:r w:rsidRPr="000C17EB">
              <w:rPr>
                <w:rStyle w:val="Stark"/>
                <w:rFonts w:asciiTheme="minorHAnsi" w:eastAsiaTheme="minorEastAsia" w:hAnsiTheme="minorHAnsi" w:cs="Calibri"/>
                <w:b w:val="0"/>
                <w:color w:val="003D7C" w:themeColor="text2"/>
              </w:rPr>
              <w:t xml:space="preserve"> </w:t>
            </w:r>
          </w:p>
          <w:p w14:paraId="2A162946"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Novopulmon Novolizer</w:t>
            </w:r>
            <w:r>
              <w:rPr>
                <w:rStyle w:val="Stark"/>
                <w:rFonts w:asciiTheme="minorHAnsi" w:eastAsiaTheme="minorEastAsia" w:hAnsiTheme="minorHAnsi" w:cs="Calibri"/>
                <w:color w:val="003D7C" w:themeColor="text2"/>
              </w:rPr>
              <w:t xml:space="preserve"> </w:t>
            </w:r>
            <w:r w:rsidRPr="00D5747D">
              <w:rPr>
                <w:rFonts w:asciiTheme="minorHAnsi" w:hAnsiTheme="minorHAnsi"/>
                <w:b/>
                <w:bCs/>
                <w:color w:val="2D934F" w:themeColor="accent4"/>
              </w:rPr>
              <w:t>R</w:t>
            </w:r>
          </w:p>
          <w:p w14:paraId="2F3A2DBC"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65F94DD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p>
        </w:tc>
        <w:tc>
          <w:tcPr>
            <w:tcW w:w="2147" w:type="dxa"/>
          </w:tcPr>
          <w:p w14:paraId="282B914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2A70899D"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3A5C1072"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78EFB908"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1F9A5D05"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7FEF5F0E"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Pr>
                <w:rStyle w:val="Stark"/>
                <w:rFonts w:asciiTheme="minorHAnsi" w:eastAsiaTheme="minorEastAsia" w:hAnsiTheme="minorHAnsi" w:cs="Calibri"/>
                <w:b w:val="0"/>
                <w:color w:val="003D7C" w:themeColor="text2"/>
              </w:rPr>
              <w:t>f</w:t>
            </w:r>
            <w:r w:rsidRPr="000C17EB">
              <w:rPr>
                <w:rStyle w:val="Stark"/>
                <w:rFonts w:asciiTheme="minorHAnsi" w:eastAsiaTheme="minorEastAsia" w:hAnsiTheme="minorHAnsi" w:cs="Calibri"/>
                <w:b w:val="0"/>
                <w:color w:val="003D7C" w:themeColor="text2"/>
              </w:rPr>
              <w:t xml:space="preserve">lutikasonpropionat </w:t>
            </w:r>
          </w:p>
          <w:p w14:paraId="1D1E9EEA"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Flutide evohaler</w:t>
            </w:r>
          </w:p>
        </w:tc>
        <w:tc>
          <w:tcPr>
            <w:tcW w:w="1439" w:type="dxa"/>
          </w:tcPr>
          <w:p w14:paraId="3AC3302E"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6-11 år</w:t>
            </w:r>
          </w:p>
          <w:p w14:paraId="6D1C1EE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100-200 µg</w:t>
            </w:r>
          </w:p>
          <w:p w14:paraId="6AD9E3EC"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12-18 år</w:t>
            </w:r>
          </w:p>
          <w:p w14:paraId="4409BF82"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200-400 µg</w:t>
            </w:r>
          </w:p>
          <w:p w14:paraId="4504B1EC"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602A807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0-5 år</w:t>
            </w:r>
          </w:p>
          <w:p w14:paraId="598EB430"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50-100 µg</w:t>
            </w:r>
          </w:p>
          <w:p w14:paraId="52A36B4E"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6-11 år</w:t>
            </w:r>
          </w:p>
          <w:p w14:paraId="62586F5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50-100 µg</w:t>
            </w:r>
          </w:p>
          <w:p w14:paraId="75B36A69"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12-18 år</w:t>
            </w:r>
          </w:p>
          <w:p w14:paraId="7F06453D" w14:textId="77777777" w:rsidR="00EC79BD" w:rsidRPr="007736C0"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100-250 µg</w:t>
            </w:r>
          </w:p>
        </w:tc>
        <w:tc>
          <w:tcPr>
            <w:tcW w:w="1435" w:type="dxa"/>
          </w:tcPr>
          <w:p w14:paraId="2E9B222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6-11 år</w:t>
            </w:r>
          </w:p>
          <w:p w14:paraId="107B23A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&gt;200-400 µg</w:t>
            </w:r>
          </w:p>
          <w:p w14:paraId="5F1317C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12-18 år</w:t>
            </w:r>
          </w:p>
          <w:p w14:paraId="7A832465"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&gt;400-800 µg</w:t>
            </w:r>
          </w:p>
          <w:p w14:paraId="14183C5E"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00D0976D"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0-5 år</w:t>
            </w:r>
          </w:p>
          <w:p w14:paraId="5D4DE9B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&gt;100-250 µg</w:t>
            </w:r>
          </w:p>
          <w:p w14:paraId="110B14E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6-11 år</w:t>
            </w:r>
          </w:p>
          <w:p w14:paraId="712CB80E"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&gt;100-250 µg</w:t>
            </w:r>
          </w:p>
          <w:p w14:paraId="5B9DD36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12-18 år</w:t>
            </w:r>
          </w:p>
          <w:p w14:paraId="50C38928"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&gt;250-500 µg</w:t>
            </w:r>
          </w:p>
        </w:tc>
        <w:tc>
          <w:tcPr>
            <w:tcW w:w="2146" w:type="dxa"/>
          </w:tcPr>
          <w:p w14:paraId="78719799"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6-11 år</w:t>
            </w:r>
          </w:p>
          <w:p w14:paraId="38D1C12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&gt;400 µg</w:t>
            </w:r>
          </w:p>
          <w:p w14:paraId="61EB65F5"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12-18 år</w:t>
            </w:r>
          </w:p>
          <w:p w14:paraId="1EB346B7"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&gt;800 µg</w:t>
            </w:r>
          </w:p>
          <w:p w14:paraId="5EACA4BC"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20389A5D"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0-5 år</w:t>
            </w:r>
          </w:p>
          <w:p w14:paraId="3686A200"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&gt;250 µg</w:t>
            </w:r>
          </w:p>
          <w:p w14:paraId="6601A706"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6-11 år</w:t>
            </w:r>
          </w:p>
          <w:p w14:paraId="687186E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&gt;250 µg</w:t>
            </w:r>
          </w:p>
          <w:p w14:paraId="6650C06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12-18 år</w:t>
            </w:r>
          </w:p>
          <w:p w14:paraId="42F12420"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&gt;500 µg</w:t>
            </w:r>
          </w:p>
        </w:tc>
      </w:tr>
      <w:tr w:rsidR="00EC79BD" w:rsidRPr="000C17EB" w14:paraId="0D8DF730" w14:textId="77777777" w:rsidTr="00632FCC">
        <w:trPr>
          <w:trHeight w:val="3624"/>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single" w:sz="4" w:space="0" w:color="auto"/>
            </w:tcBorders>
          </w:tcPr>
          <w:p w14:paraId="03D4A60D" w14:textId="77777777" w:rsidR="00EC79BD" w:rsidRPr="000C17EB" w:rsidRDefault="00EC79BD" w:rsidP="00632FCC">
            <w:pPr>
              <w:pStyle w:val="Normal4"/>
              <w:spacing w:before="0" w:beforeAutospacing="0" w:after="0" w:afterAutospacing="0"/>
              <w:rPr>
                <w:rFonts w:asciiTheme="minorHAnsi" w:hAnsiTheme="minorHAnsi" w:cs="Calibri"/>
                <w:bCs/>
                <w:i w:val="0"/>
                <w:iCs w:val="0"/>
                <w:color w:val="003D7C" w:themeColor="text2"/>
              </w:rPr>
            </w:pPr>
            <w:hyperlink w:anchor="_ORDLISTA" w:history="1">
              <w:r w:rsidRPr="000C17EB">
                <w:rPr>
                  <w:rStyle w:val="Hyperlnk"/>
                  <w:rFonts w:asciiTheme="minorHAnsi" w:hAnsiTheme="minorHAnsi" w:cs="Calibri"/>
                  <w:b/>
                  <w:i w:val="0"/>
                  <w:iCs w:val="0"/>
                  <w:color w:val="B46400" w:themeColor="accent6" w:themeShade="BF"/>
                </w:rPr>
                <w:t>ICS</w:t>
              </w:r>
            </w:hyperlink>
            <w:r w:rsidRPr="000C17EB">
              <w:rPr>
                <w:rStyle w:val="Stark"/>
                <w:rFonts w:asciiTheme="minorHAnsi" w:eastAsiaTheme="minorEastAsia" w:hAnsiTheme="minorHAnsi" w:cs="Calibri"/>
                <w:b w:val="0"/>
                <w:color w:val="003D7C" w:themeColor="text2"/>
              </w:rPr>
              <w:t>+</w:t>
            </w:r>
            <w:hyperlink w:anchor="_ORDLISTA" w:history="1">
              <w:r w:rsidRPr="000C17EB">
                <w:rPr>
                  <w:rStyle w:val="Hyperlnk"/>
                  <w:rFonts w:asciiTheme="minorHAnsi" w:hAnsiTheme="minorHAnsi" w:cs="Calibri"/>
                  <w:b/>
                  <w:i w:val="0"/>
                  <w:iCs w:val="0"/>
                  <w:color w:val="B46400" w:themeColor="accent6" w:themeShade="BF"/>
                </w:rPr>
                <w:t>FABA</w:t>
              </w:r>
            </w:hyperlink>
          </w:p>
          <w:p w14:paraId="0FF2EDD5"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color w:val="003D7C" w:themeColor="text2"/>
              </w:rPr>
            </w:pPr>
          </w:p>
        </w:tc>
        <w:tc>
          <w:tcPr>
            <w:tcW w:w="2007" w:type="dxa"/>
            <w:tcBorders>
              <w:bottom w:val="single" w:sz="4" w:space="0" w:color="auto"/>
            </w:tcBorders>
          </w:tcPr>
          <w:p w14:paraId="759AC530"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Budesonid+</w:t>
            </w:r>
          </w:p>
          <w:p w14:paraId="4D8BC736"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formoterol</w:t>
            </w:r>
          </w:p>
          <w:p w14:paraId="0666375D"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Bufomix Easyhaler</w:t>
            </w:r>
          </w:p>
          <w:p w14:paraId="1A66AEF9"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color w:val="003D7C" w:themeColor="text2"/>
              </w:rPr>
            </w:pPr>
          </w:p>
          <w:p w14:paraId="7053452B"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color w:val="003D7C" w:themeColor="text2"/>
              </w:rPr>
            </w:pPr>
          </w:p>
          <w:p w14:paraId="4591841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Fonts w:asciiTheme="minorHAnsi" w:hAnsiTheme="minorHAnsi" w:cs="Calibri"/>
                <w:bCs/>
                <w:color w:val="003D7C" w:themeColor="text2"/>
              </w:rPr>
              <w:t>Off-label</w:t>
            </w:r>
            <w:r w:rsidRPr="000C17EB">
              <w:rPr>
                <w:rFonts w:asciiTheme="minorHAnsi" w:hAnsiTheme="minorHAnsi" w:cs="Calibri"/>
                <w:bCs/>
                <w:color w:val="003D7C" w:themeColor="text2"/>
              </w:rPr>
              <w:br/>
              <w:t xml:space="preserve">inte godkänd vid </w:t>
            </w:r>
            <w:r>
              <w:rPr>
                <w:rFonts w:asciiTheme="minorHAnsi" w:hAnsiTheme="minorHAnsi" w:cs="Calibri"/>
                <w:bCs/>
                <w:color w:val="003D7C" w:themeColor="text2"/>
              </w:rPr>
              <w:t xml:space="preserve">mild astma eller som vid </w:t>
            </w:r>
            <w:r w:rsidRPr="000C17EB">
              <w:rPr>
                <w:rFonts w:asciiTheme="minorHAnsi" w:hAnsiTheme="minorHAnsi" w:cs="Calibri"/>
                <w:bCs/>
                <w:color w:val="003D7C" w:themeColor="text2"/>
              </w:rPr>
              <w:t>behov ålder 6-11 år</w:t>
            </w:r>
          </w:p>
        </w:tc>
        <w:tc>
          <w:tcPr>
            <w:tcW w:w="2147" w:type="dxa"/>
            <w:tcBorders>
              <w:bottom w:val="single" w:sz="4" w:space="0" w:color="auto"/>
            </w:tcBorders>
          </w:tcPr>
          <w:p w14:paraId="7A85881F"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6FC413AE"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5033F551"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74570F0C"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4AE92B68"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p>
          <w:p w14:paraId="6E330BEC"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p>
          <w:p w14:paraId="375D4017"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Pr>
                <w:rFonts w:asciiTheme="minorHAnsi" w:hAnsiTheme="minorHAnsi" w:cs="Calibri"/>
                <w:b/>
                <w:bCs/>
                <w:color w:val="003D7C" w:themeColor="text2"/>
              </w:rPr>
              <w:t>f</w:t>
            </w:r>
            <w:r w:rsidRPr="000C17EB">
              <w:rPr>
                <w:rFonts w:asciiTheme="minorHAnsi" w:hAnsiTheme="minorHAnsi" w:cs="Calibri"/>
                <w:b/>
                <w:bCs/>
                <w:color w:val="003D7C" w:themeColor="text2"/>
              </w:rPr>
              <w:t>lutikasonpropionat+</w:t>
            </w:r>
            <w:r>
              <w:rPr>
                <w:rFonts w:asciiTheme="minorHAnsi" w:hAnsiTheme="minorHAnsi" w:cs="Calibri"/>
                <w:b/>
                <w:bCs/>
                <w:color w:val="003D7C" w:themeColor="text2"/>
              </w:rPr>
              <w:t xml:space="preserve"> </w:t>
            </w:r>
            <w:r w:rsidRPr="000C17EB">
              <w:rPr>
                <w:rFonts w:asciiTheme="minorHAnsi" w:hAnsiTheme="minorHAnsi" w:cs="Calibri"/>
                <w:b/>
                <w:bCs/>
                <w:color w:val="003D7C" w:themeColor="text2"/>
              </w:rPr>
              <w:t xml:space="preserve">formoterol </w:t>
            </w:r>
          </w:p>
          <w:p w14:paraId="0F7086CE"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Fonts w:asciiTheme="minorHAnsi" w:hAnsiTheme="minorHAnsi" w:cs="Calibri"/>
                <w:color w:val="003D7C" w:themeColor="text2"/>
              </w:rPr>
              <w:t>Fl</w:t>
            </w:r>
            <w:r>
              <w:rPr>
                <w:rFonts w:asciiTheme="minorHAnsi" w:hAnsiTheme="minorHAnsi" w:cs="Calibri"/>
                <w:color w:val="003D7C" w:themeColor="text2"/>
              </w:rPr>
              <w:t>u</w:t>
            </w:r>
            <w:r w:rsidRPr="000C17EB">
              <w:rPr>
                <w:rFonts w:asciiTheme="minorHAnsi" w:hAnsiTheme="minorHAnsi" w:cs="Calibri"/>
                <w:color w:val="003D7C" w:themeColor="text2"/>
              </w:rPr>
              <w:t>tiform</w:t>
            </w:r>
          </w:p>
        </w:tc>
        <w:tc>
          <w:tcPr>
            <w:tcW w:w="1439" w:type="dxa"/>
            <w:tcBorders>
              <w:bottom w:val="single" w:sz="4" w:space="0" w:color="auto"/>
            </w:tcBorders>
          </w:tcPr>
          <w:p w14:paraId="6AF03525"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6-11 år</w:t>
            </w:r>
          </w:p>
          <w:p w14:paraId="1C33C202"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100-200 µg</w:t>
            </w:r>
          </w:p>
          <w:p w14:paraId="08A67A0E"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12-18 år</w:t>
            </w:r>
          </w:p>
          <w:p w14:paraId="75A52ED1"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200-400 µg</w:t>
            </w:r>
          </w:p>
          <w:p w14:paraId="5D020FEB"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33299E4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5EAA3048"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5-6 år</w:t>
            </w:r>
          </w:p>
          <w:p w14:paraId="420B2B3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50-100 µg</w:t>
            </w:r>
          </w:p>
          <w:p w14:paraId="41860738"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6-11 år</w:t>
            </w:r>
          </w:p>
          <w:p w14:paraId="4DCFBD32"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50-100 µg</w:t>
            </w:r>
          </w:p>
          <w:p w14:paraId="3599F670"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12-18 år</w:t>
            </w:r>
          </w:p>
          <w:p w14:paraId="6E90074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100-250 µg</w:t>
            </w:r>
          </w:p>
        </w:tc>
        <w:tc>
          <w:tcPr>
            <w:tcW w:w="1435" w:type="dxa"/>
            <w:tcBorders>
              <w:bottom w:val="single" w:sz="4" w:space="0" w:color="auto"/>
            </w:tcBorders>
          </w:tcPr>
          <w:p w14:paraId="2673C11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6-11 år</w:t>
            </w:r>
          </w:p>
          <w:p w14:paraId="41C2DC08"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&gt;200-400 µg</w:t>
            </w:r>
          </w:p>
          <w:p w14:paraId="6B7FE87C"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12-18 år</w:t>
            </w:r>
          </w:p>
          <w:p w14:paraId="2506C520"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&gt;400-800 µg</w:t>
            </w:r>
          </w:p>
          <w:p w14:paraId="0FC51BA5"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17C2333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1033167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5-6 år</w:t>
            </w:r>
          </w:p>
          <w:p w14:paraId="12F11B56"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&gt;100-250 µg</w:t>
            </w:r>
          </w:p>
          <w:p w14:paraId="46B278C0"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6-11 år</w:t>
            </w:r>
          </w:p>
          <w:p w14:paraId="47CF34AB"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&gt;100-250 µg</w:t>
            </w:r>
          </w:p>
          <w:p w14:paraId="73245291"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12-18 år</w:t>
            </w:r>
          </w:p>
          <w:p w14:paraId="53808BB2"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&gt;250-500 µg</w:t>
            </w:r>
          </w:p>
        </w:tc>
        <w:tc>
          <w:tcPr>
            <w:tcW w:w="2146" w:type="dxa"/>
            <w:tcBorders>
              <w:bottom w:val="single" w:sz="4" w:space="0" w:color="auto"/>
            </w:tcBorders>
          </w:tcPr>
          <w:p w14:paraId="057C11CC"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6-11 år</w:t>
            </w:r>
          </w:p>
          <w:p w14:paraId="03C3625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&gt;400 µg</w:t>
            </w:r>
          </w:p>
          <w:p w14:paraId="799FF23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12-18 år</w:t>
            </w:r>
          </w:p>
          <w:p w14:paraId="081C8061"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&gt;800 µg</w:t>
            </w:r>
          </w:p>
          <w:p w14:paraId="4875AC88"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6568A616"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7AB87B2C"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5-6 år</w:t>
            </w:r>
          </w:p>
          <w:p w14:paraId="125A3761"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&gt;250 µg</w:t>
            </w:r>
          </w:p>
          <w:p w14:paraId="2A0B4966"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6-11 år</w:t>
            </w:r>
          </w:p>
          <w:p w14:paraId="0E0B9AA3"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&gt;250 µg</w:t>
            </w:r>
          </w:p>
          <w:p w14:paraId="6E3804C0"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12-18 år</w:t>
            </w:r>
          </w:p>
          <w:p w14:paraId="761B3A06"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&gt;500 µg</w:t>
            </w:r>
          </w:p>
        </w:tc>
      </w:tr>
      <w:tr w:rsidR="00EC79BD" w:rsidRPr="000C17EB" w14:paraId="3B39FA37" w14:textId="77777777" w:rsidTr="00632FCC">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866" w:type="dxa"/>
            <w:tcBorders>
              <w:top w:val="single" w:sz="4" w:space="0" w:color="auto"/>
              <w:right w:val="single" w:sz="4" w:space="0" w:color="auto"/>
            </w:tcBorders>
          </w:tcPr>
          <w:p w14:paraId="1A509B6C"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 xml:space="preserve">FABA </w:t>
            </w:r>
            <w:r w:rsidRPr="00757518">
              <w:rPr>
                <w:rStyle w:val="Stark"/>
                <w:rFonts w:asciiTheme="minorHAnsi" w:eastAsiaTheme="minorEastAsia" w:hAnsiTheme="minorHAnsi" w:cs="Calibri"/>
                <w:b w:val="0"/>
                <w:color w:val="003D7C" w:themeColor="text2"/>
                <w:bdr w:val="single" w:sz="4" w:space="0" w:color="auto"/>
              </w:rPr>
              <w:t>-</w:t>
            </w:r>
            <w:r w:rsidRPr="000C17EB">
              <w:rPr>
                <w:rStyle w:val="Stark"/>
                <w:rFonts w:asciiTheme="minorHAnsi" w:eastAsiaTheme="minorEastAsia" w:hAnsiTheme="minorHAnsi" w:cs="Calibri"/>
                <w:b w:val="0"/>
                <w:color w:val="003D7C" w:themeColor="text2"/>
              </w:rPr>
              <w:t xml:space="preserve"> </w:t>
            </w:r>
            <w:hyperlink w:anchor="_ORDLISTA" w:history="1">
              <w:r w:rsidRPr="000C17EB">
                <w:rPr>
                  <w:rStyle w:val="Hyperlnk"/>
                  <w:rFonts w:asciiTheme="minorHAnsi" w:hAnsiTheme="minorHAnsi" w:cs="Calibri"/>
                  <w:b/>
                  <w:i w:val="0"/>
                  <w:iCs w:val="0"/>
                  <w:color w:val="B46400" w:themeColor="accent6" w:themeShade="BF"/>
                </w:rPr>
                <w:t>LABA</w:t>
              </w:r>
            </w:hyperlink>
          </w:p>
        </w:tc>
        <w:tc>
          <w:tcPr>
            <w:tcW w:w="2007" w:type="dxa"/>
            <w:tcBorders>
              <w:top w:val="single" w:sz="4" w:space="0" w:color="auto"/>
              <w:left w:val="single" w:sz="4" w:space="0" w:color="auto"/>
              <w:right w:val="single" w:sz="4" w:space="0" w:color="auto"/>
            </w:tcBorders>
          </w:tcPr>
          <w:p w14:paraId="21672D7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b/>
                <w:bCs/>
                <w:color w:val="003D7C" w:themeColor="text2"/>
              </w:rPr>
              <w:t xml:space="preserve">formoterol </w:t>
            </w:r>
            <w:r w:rsidRPr="000C17EB">
              <w:rPr>
                <w:rFonts w:asciiTheme="minorHAnsi" w:hAnsiTheme="minorHAnsi" w:cs="Calibri"/>
                <w:color w:val="003D7C" w:themeColor="text2"/>
              </w:rPr>
              <w:br/>
              <w:t>Formatris Novolizer</w:t>
            </w:r>
            <w:r>
              <w:rPr>
                <w:rFonts w:asciiTheme="minorHAnsi" w:hAnsiTheme="minorHAnsi" w:cs="Calibri"/>
                <w:color w:val="003D7C" w:themeColor="text2"/>
              </w:rPr>
              <w:t xml:space="preserve"> </w:t>
            </w:r>
            <w:r w:rsidRPr="00D5747D">
              <w:rPr>
                <w:rFonts w:asciiTheme="minorHAnsi" w:hAnsiTheme="minorHAnsi"/>
                <w:b/>
                <w:bCs/>
                <w:color w:val="2D934F" w:themeColor="accent4"/>
              </w:rPr>
              <w:t>R</w:t>
            </w:r>
          </w:p>
          <w:p w14:paraId="0E470C2A"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color w:val="003D7C" w:themeColor="text2"/>
              </w:rPr>
            </w:pPr>
            <w:r w:rsidRPr="000C17EB">
              <w:rPr>
                <w:rStyle w:val="Stark"/>
                <w:rFonts w:asciiTheme="minorHAnsi" w:eastAsiaTheme="minorEastAsia" w:hAnsiTheme="minorHAnsi" w:cs="Calibri"/>
                <w:color w:val="003D7C" w:themeColor="text2"/>
                <w:shd w:val="clear" w:color="auto" w:fill="B1D7FF" w:themeFill="accent2" w:themeFillTint="33"/>
              </w:rPr>
              <w:t xml:space="preserve">6 </w:t>
            </w:r>
            <w:r w:rsidRPr="000C17EB">
              <w:rPr>
                <w:rFonts w:asciiTheme="minorHAnsi" w:hAnsiTheme="minorHAnsi" w:cs="Calibri"/>
                <w:color w:val="003D7C" w:themeColor="text2"/>
                <w:shd w:val="clear" w:color="auto" w:fill="B1D7FF" w:themeFill="accent2" w:themeFillTint="33"/>
              </w:rPr>
              <w:t>µg, 1-2 x 1-2</w:t>
            </w:r>
          </w:p>
        </w:tc>
        <w:tc>
          <w:tcPr>
            <w:tcW w:w="2147" w:type="dxa"/>
            <w:tcBorders>
              <w:top w:val="single" w:sz="4" w:space="0" w:color="auto"/>
              <w:left w:val="single" w:sz="4" w:space="0" w:color="auto"/>
              <w:right w:val="single" w:sz="4" w:space="0" w:color="auto"/>
            </w:tcBorders>
          </w:tcPr>
          <w:p w14:paraId="56AA5F0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Fonts w:asciiTheme="minorHAnsi" w:hAnsiTheme="minorHAnsi" w:cs="Calibri"/>
                <w:color w:val="003D7C" w:themeColor="text2"/>
              </w:rPr>
              <w:t xml:space="preserve"> -</w:t>
            </w:r>
          </w:p>
        </w:tc>
        <w:tc>
          <w:tcPr>
            <w:tcW w:w="1439" w:type="dxa"/>
            <w:tcBorders>
              <w:top w:val="single" w:sz="4" w:space="0" w:color="auto"/>
              <w:left w:val="single" w:sz="4" w:space="0" w:color="auto"/>
              <w:right w:val="single" w:sz="4" w:space="0" w:color="auto"/>
            </w:tcBorders>
          </w:tcPr>
          <w:p w14:paraId="610B8898"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w:t>
            </w:r>
          </w:p>
        </w:tc>
        <w:tc>
          <w:tcPr>
            <w:tcW w:w="1435" w:type="dxa"/>
            <w:tcBorders>
              <w:top w:val="single" w:sz="4" w:space="0" w:color="auto"/>
              <w:left w:val="single" w:sz="4" w:space="0" w:color="auto"/>
              <w:right w:val="single" w:sz="4" w:space="0" w:color="auto"/>
            </w:tcBorders>
          </w:tcPr>
          <w:p w14:paraId="12842A4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w:t>
            </w:r>
          </w:p>
        </w:tc>
        <w:tc>
          <w:tcPr>
            <w:tcW w:w="2146" w:type="dxa"/>
            <w:tcBorders>
              <w:top w:val="single" w:sz="4" w:space="0" w:color="auto"/>
              <w:left w:val="single" w:sz="4" w:space="0" w:color="auto"/>
              <w:right w:val="single" w:sz="4" w:space="0" w:color="auto"/>
            </w:tcBorders>
          </w:tcPr>
          <w:p w14:paraId="7355BCD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w:t>
            </w:r>
          </w:p>
        </w:tc>
      </w:tr>
      <w:tr w:rsidR="00EC79BD" w:rsidRPr="000C17EB" w14:paraId="358F62C8" w14:textId="77777777" w:rsidTr="00632FCC">
        <w:trPr>
          <w:trHeight w:val="623"/>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none" w:sz="0" w:space="0" w:color="auto"/>
            </w:tcBorders>
          </w:tcPr>
          <w:p w14:paraId="3A40EAB8"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 xml:space="preserve">FABA - </w:t>
            </w:r>
            <w:hyperlink w:anchor="_ORDLISTA" w:history="1">
              <w:r w:rsidRPr="000C17EB">
                <w:rPr>
                  <w:rStyle w:val="Hyperlnk"/>
                  <w:rFonts w:asciiTheme="minorHAnsi" w:hAnsiTheme="minorHAnsi" w:cs="Calibri"/>
                  <w:b/>
                  <w:i w:val="0"/>
                  <w:iCs w:val="0"/>
                  <w:color w:val="B46400" w:themeColor="accent6" w:themeShade="BF"/>
                </w:rPr>
                <w:t>SABA</w:t>
              </w:r>
            </w:hyperlink>
          </w:p>
        </w:tc>
        <w:tc>
          <w:tcPr>
            <w:tcW w:w="2007" w:type="dxa"/>
          </w:tcPr>
          <w:p w14:paraId="67796D68"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salbutamol</w:t>
            </w:r>
          </w:p>
          <w:p w14:paraId="38672372"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Buventol Easyhaler</w:t>
            </w:r>
          </w:p>
          <w:p w14:paraId="67C79F22"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color w:val="003D7C" w:themeColor="text2"/>
                <w:shd w:val="clear" w:color="auto" w:fill="F2F2F2" w:themeFill="background1" w:themeFillShade="F2"/>
              </w:rPr>
            </w:pPr>
            <w:r w:rsidRPr="000C17EB">
              <w:rPr>
                <w:rStyle w:val="Stark"/>
                <w:rFonts w:asciiTheme="minorHAnsi" w:eastAsiaTheme="minorEastAsia" w:hAnsiTheme="minorHAnsi" w:cs="Calibri"/>
                <w:color w:val="003D7C" w:themeColor="text2"/>
              </w:rPr>
              <w:t>Ventilastin Novolizer</w:t>
            </w:r>
            <w:r>
              <w:rPr>
                <w:rStyle w:val="Stark"/>
                <w:rFonts w:asciiTheme="minorHAnsi" w:eastAsiaTheme="minorEastAsia" w:hAnsiTheme="minorHAnsi" w:cs="Calibri"/>
                <w:color w:val="003D7C" w:themeColor="text2"/>
              </w:rPr>
              <w:t xml:space="preserve"> </w:t>
            </w:r>
            <w:r w:rsidRPr="00D5747D">
              <w:rPr>
                <w:rFonts w:asciiTheme="minorHAnsi" w:hAnsiTheme="minorHAnsi"/>
                <w:b/>
                <w:bCs/>
                <w:color w:val="2D934F" w:themeColor="accent4"/>
              </w:rPr>
              <w:t>R</w:t>
            </w:r>
          </w:p>
        </w:tc>
        <w:tc>
          <w:tcPr>
            <w:tcW w:w="2147" w:type="dxa"/>
          </w:tcPr>
          <w:p w14:paraId="7030C992"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salbutamol</w:t>
            </w:r>
          </w:p>
          <w:p w14:paraId="1AB1C74C"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 xml:space="preserve">Ventoline </w:t>
            </w:r>
            <w:r>
              <w:rPr>
                <w:rFonts w:asciiTheme="minorHAnsi" w:hAnsiTheme="minorHAnsi" w:cs="Calibri"/>
                <w:color w:val="003D7C" w:themeColor="text2"/>
              </w:rPr>
              <w:t>E</w:t>
            </w:r>
            <w:r w:rsidRPr="000C17EB">
              <w:rPr>
                <w:rFonts w:asciiTheme="minorHAnsi" w:hAnsiTheme="minorHAnsi" w:cs="Calibri"/>
                <w:color w:val="003D7C" w:themeColor="text2"/>
              </w:rPr>
              <w:t>vohaler</w:t>
            </w:r>
          </w:p>
          <w:p w14:paraId="31377FC2"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color w:val="003D7C" w:themeColor="text2"/>
              </w:rPr>
            </w:pPr>
          </w:p>
        </w:tc>
        <w:tc>
          <w:tcPr>
            <w:tcW w:w="1439" w:type="dxa"/>
          </w:tcPr>
          <w:p w14:paraId="392D0474" w14:textId="77777777" w:rsidR="00EC79BD" w:rsidRPr="00314840"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shd w:val="clear" w:color="auto" w:fill="F2F2F2" w:themeFill="background1" w:themeFillShade="F2"/>
              </w:rPr>
            </w:pPr>
            <w:r w:rsidRPr="00314840">
              <w:rPr>
                <w:rFonts w:asciiTheme="minorHAnsi" w:hAnsiTheme="minorHAnsi" w:cs="Calibri"/>
                <w:b/>
                <w:bCs/>
                <w:color w:val="003D7C" w:themeColor="text2"/>
                <w:shd w:val="clear" w:color="auto" w:fill="F2F2F2" w:themeFill="background1" w:themeFillShade="F2"/>
              </w:rPr>
              <w:t>-</w:t>
            </w:r>
          </w:p>
        </w:tc>
        <w:tc>
          <w:tcPr>
            <w:tcW w:w="1435" w:type="dxa"/>
          </w:tcPr>
          <w:p w14:paraId="0F109ADA" w14:textId="77777777" w:rsidR="00EC79BD" w:rsidRPr="00314840"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shd w:val="clear" w:color="auto" w:fill="F2F2F2" w:themeFill="background1" w:themeFillShade="F2"/>
              </w:rPr>
            </w:pPr>
            <w:r w:rsidRPr="00314840">
              <w:rPr>
                <w:rFonts w:asciiTheme="minorHAnsi" w:hAnsiTheme="minorHAnsi" w:cs="Calibri"/>
                <w:b/>
                <w:bCs/>
                <w:color w:val="003D7C" w:themeColor="text2"/>
                <w:shd w:val="clear" w:color="auto" w:fill="F2F2F2" w:themeFill="background1" w:themeFillShade="F2"/>
              </w:rPr>
              <w:t>-</w:t>
            </w:r>
          </w:p>
        </w:tc>
        <w:tc>
          <w:tcPr>
            <w:tcW w:w="2146" w:type="dxa"/>
          </w:tcPr>
          <w:p w14:paraId="0B116654" w14:textId="77777777" w:rsidR="00EC79BD" w:rsidRPr="00314840"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shd w:val="clear" w:color="auto" w:fill="F2F2F2" w:themeFill="background1" w:themeFillShade="F2"/>
              </w:rPr>
            </w:pPr>
            <w:r w:rsidRPr="00314840">
              <w:rPr>
                <w:rFonts w:asciiTheme="minorHAnsi" w:hAnsiTheme="minorHAnsi" w:cs="Calibri"/>
                <w:b/>
                <w:bCs/>
                <w:color w:val="003D7C" w:themeColor="text2"/>
                <w:shd w:val="clear" w:color="auto" w:fill="F2F2F2" w:themeFill="background1" w:themeFillShade="F2"/>
              </w:rPr>
              <w:t>-</w:t>
            </w:r>
          </w:p>
        </w:tc>
      </w:tr>
    </w:tbl>
    <w:p w14:paraId="58CD6A52" w14:textId="77777777" w:rsidR="00EC79BD" w:rsidRDefault="00EC79BD" w:rsidP="00EC79BD">
      <w:pPr>
        <w:rPr>
          <w:rFonts w:asciiTheme="minorHAnsi" w:hAnsiTheme="minorHAnsi"/>
          <w:b/>
          <w:bCs/>
          <w:color w:val="003D7C" w:themeColor="text2"/>
        </w:rPr>
      </w:pPr>
      <w:bookmarkStart w:id="25" w:name="_Toc150457962"/>
      <w:bookmarkStart w:id="26" w:name="_Hlk149035070"/>
      <w:r w:rsidRPr="00480A7D">
        <w:rPr>
          <w:rFonts w:asciiTheme="minorHAnsi" w:hAnsiTheme="minorHAnsi"/>
          <w:b/>
          <w:bCs/>
          <w:color w:val="2D934F" w:themeColor="accent4"/>
        </w:rPr>
        <w:t>M</w:t>
      </w:r>
      <w:r>
        <w:rPr>
          <w:rFonts w:asciiTheme="minorHAnsi" w:hAnsiTheme="minorHAnsi"/>
          <w:b/>
          <w:bCs/>
          <w:color w:val="2D934F" w:themeColor="accent4"/>
        </w:rPr>
        <w:t xml:space="preserve"> </w:t>
      </w:r>
      <w:r>
        <w:rPr>
          <w:rFonts w:asciiTheme="minorHAnsi" w:hAnsiTheme="minorHAnsi"/>
        </w:rPr>
        <w:t>–</w:t>
      </w:r>
      <w:r>
        <w:rPr>
          <w:rFonts w:asciiTheme="minorHAnsi" w:hAnsiTheme="minorHAnsi"/>
          <w:b/>
          <w:bCs/>
          <w:color w:val="2D934F" w:themeColor="accent4"/>
        </w:rPr>
        <w:t xml:space="preserve"> </w:t>
      </w:r>
      <w:r w:rsidRPr="00480A7D">
        <w:rPr>
          <w:rFonts w:asciiTheme="minorHAnsi" w:hAnsiTheme="minorHAnsi"/>
        </w:rPr>
        <w:t>Inneh</w:t>
      </w:r>
      <w:r>
        <w:rPr>
          <w:rFonts w:asciiTheme="minorHAnsi" w:hAnsiTheme="minorHAnsi"/>
        </w:rPr>
        <w:t xml:space="preserve">åller inte </w:t>
      </w:r>
      <w:hyperlink w:anchor="_ORDLISTA" w:history="1">
        <w:r w:rsidRPr="00B949BB">
          <w:rPr>
            <w:rStyle w:val="Hyperlnk"/>
            <w:rFonts w:asciiTheme="minorHAnsi" w:hAnsiTheme="minorHAnsi"/>
            <w:color w:val="B46400" w:themeColor="accent6" w:themeShade="BF"/>
          </w:rPr>
          <w:t>HFC</w:t>
        </w:r>
      </w:hyperlink>
      <w:r>
        <w:rPr>
          <w:rFonts w:asciiTheme="minorHAnsi" w:hAnsiTheme="minorHAnsi"/>
        </w:rPr>
        <w:t xml:space="preserve">, miljömässigt bättre alternativ </w:t>
      </w:r>
      <w:r w:rsidRPr="00D5747D">
        <w:rPr>
          <w:rFonts w:asciiTheme="minorHAnsi" w:hAnsiTheme="minorHAnsi"/>
          <w:b/>
          <w:bCs/>
          <w:color w:val="2D934F" w:themeColor="accent4"/>
        </w:rPr>
        <w:t>R</w:t>
      </w:r>
      <w:r w:rsidRPr="00454967">
        <w:rPr>
          <w:rFonts w:asciiTheme="minorHAnsi" w:hAnsiTheme="minorHAnsi"/>
          <w:b/>
          <w:bCs/>
          <w:color w:val="003D7C" w:themeColor="text2"/>
        </w:rPr>
        <w:t xml:space="preserve"> </w:t>
      </w:r>
      <w:r>
        <w:rPr>
          <w:rFonts w:asciiTheme="minorHAnsi" w:hAnsiTheme="minorHAnsi"/>
          <w:color w:val="000000" w:themeColor="text1"/>
        </w:rPr>
        <w:t>–</w:t>
      </w:r>
      <w:r w:rsidRPr="00454967">
        <w:rPr>
          <w:rFonts w:asciiTheme="minorHAnsi" w:hAnsiTheme="minorHAnsi"/>
          <w:color w:val="000000" w:themeColor="text1"/>
        </w:rPr>
        <w:t xml:space="preserve"> </w:t>
      </w:r>
      <w:r>
        <w:rPr>
          <w:rFonts w:asciiTheme="minorHAnsi" w:hAnsiTheme="minorHAnsi"/>
          <w:color w:val="000000" w:themeColor="text1"/>
        </w:rPr>
        <w:t>Refillalternativ finns</w:t>
      </w:r>
      <w:r>
        <w:rPr>
          <w:rFonts w:asciiTheme="minorHAnsi" w:hAnsiTheme="minorHAnsi"/>
          <w:b/>
          <w:bCs/>
          <w:color w:val="003D7C" w:themeColor="text2"/>
        </w:rPr>
        <w:t xml:space="preserve"> </w:t>
      </w:r>
    </w:p>
    <w:p w14:paraId="5B74B98F" w14:textId="77777777" w:rsidR="00EC79BD" w:rsidRDefault="00EC79BD" w:rsidP="00EC79BD">
      <w:pPr>
        <w:rPr>
          <w:rFonts w:asciiTheme="minorHAnsi" w:hAnsiTheme="minorHAnsi"/>
          <w:b/>
          <w:bCs/>
        </w:rPr>
      </w:pPr>
      <w:r w:rsidRPr="00055DAD">
        <w:rPr>
          <w:rFonts w:asciiTheme="minorHAnsi" w:hAnsiTheme="minorHAnsi"/>
          <w:b/>
          <w:bCs/>
        </w:rPr>
        <w:t xml:space="preserve">Obs! I första hand prioriteras </w:t>
      </w:r>
      <w:r w:rsidRPr="0013523B">
        <w:rPr>
          <w:rFonts w:asciiTheme="minorHAnsi" w:hAnsiTheme="minorHAnsi"/>
          <w:b/>
          <w:bCs/>
          <w:sz w:val="24"/>
          <w:szCs w:val="24"/>
        </w:rPr>
        <w:t>patientens</w:t>
      </w:r>
      <w:r w:rsidRPr="00055DAD">
        <w:rPr>
          <w:rFonts w:asciiTheme="minorHAnsi" w:hAnsiTheme="minorHAnsi"/>
          <w:b/>
          <w:bCs/>
        </w:rPr>
        <w:t xml:space="preserve"> inhalationsförmåga och preferens</w:t>
      </w:r>
    </w:p>
    <w:p w14:paraId="27FF80C3" w14:textId="77777777" w:rsidR="00EC79BD" w:rsidRPr="0013523B" w:rsidRDefault="00EC79BD" w:rsidP="00EC79BD">
      <w:pPr>
        <w:pStyle w:val="Rubrik3"/>
        <w:rPr>
          <w:rFonts w:asciiTheme="minorHAnsi" w:hAnsiTheme="minorHAnsi" w:cs="Calibri"/>
          <w:szCs w:val="24"/>
          <w:u w:val="single"/>
        </w:rPr>
      </w:pPr>
      <w:r w:rsidRPr="0013523B">
        <w:rPr>
          <w:rFonts w:asciiTheme="minorHAnsi" w:hAnsiTheme="minorHAnsi" w:cs="Calibri"/>
          <w:szCs w:val="24"/>
          <w:u w:val="single"/>
        </w:rPr>
        <w:t>Behandlingstrappan 0-5 år</w:t>
      </w:r>
      <w:bookmarkEnd w:id="25"/>
    </w:p>
    <w:p w14:paraId="0FFB7C34" w14:textId="77777777" w:rsidR="00EC79BD" w:rsidRPr="000C17EB" w:rsidRDefault="00EC79BD" w:rsidP="00EC79BD">
      <w:pPr>
        <w:pStyle w:val="Normal4"/>
        <w:spacing w:before="0" w:beforeAutospacing="0" w:after="0" w:afterAutospacing="0"/>
        <w:rPr>
          <w:rFonts w:asciiTheme="minorHAnsi" w:hAnsiTheme="minorHAnsi" w:cs="Calibri"/>
          <w:i/>
          <w:iCs/>
          <w:color w:val="000000" w:themeColor="text1"/>
        </w:rPr>
      </w:pPr>
      <w:r w:rsidRPr="000C17EB">
        <w:rPr>
          <w:rFonts w:asciiTheme="minorHAnsi" w:hAnsiTheme="minorHAnsi" w:cs="Calibri"/>
          <w:i/>
          <w:iCs/>
          <w:color w:val="000000" w:themeColor="text1"/>
          <w:u w:val="single"/>
        </w:rPr>
        <w:t>Steg 1</w:t>
      </w:r>
      <w:r w:rsidRPr="000C17EB">
        <w:rPr>
          <w:rFonts w:asciiTheme="minorHAnsi" w:hAnsiTheme="minorHAnsi" w:cs="Calibri"/>
          <w:i/>
          <w:iCs/>
          <w:color w:val="000000" w:themeColor="text1"/>
        </w:rPr>
        <w:t xml:space="preserve"> Periodiska besvär enbart vid förkylning</w:t>
      </w:r>
    </w:p>
    <w:p w14:paraId="3DD895AE" w14:textId="77777777" w:rsidR="00EC79BD" w:rsidRPr="000C17EB" w:rsidRDefault="00EC79BD" w:rsidP="00EC79BD">
      <w:pPr>
        <w:pStyle w:val="Normal4"/>
        <w:spacing w:before="0" w:beforeAutospacing="0" w:after="0" w:afterAutospacing="0"/>
        <w:rPr>
          <w:rFonts w:asciiTheme="minorHAnsi" w:hAnsiTheme="minorHAnsi" w:cs="Calibri"/>
          <w:i/>
          <w:iCs/>
          <w:color w:val="000000" w:themeColor="text1"/>
        </w:rPr>
      </w:pPr>
      <w:r w:rsidRPr="000C17EB">
        <w:rPr>
          <w:rFonts w:asciiTheme="minorHAnsi" w:hAnsiTheme="minorHAnsi" w:cs="Calibri"/>
          <w:i/>
          <w:iCs/>
          <w:color w:val="000000" w:themeColor="text1"/>
          <w:u w:val="single"/>
        </w:rPr>
        <w:t>Steg 2</w:t>
      </w:r>
      <w:r w:rsidRPr="000C17EB">
        <w:rPr>
          <w:rFonts w:asciiTheme="minorHAnsi" w:hAnsiTheme="minorHAnsi" w:cs="Calibri"/>
          <w:i/>
          <w:iCs/>
          <w:color w:val="000000" w:themeColor="text1"/>
        </w:rPr>
        <w:t xml:space="preserve"> Besvär mellan förkylningar och/eller förkylningsutlöst astma </w:t>
      </w:r>
      <w:r>
        <w:rPr>
          <w:rFonts w:asciiTheme="minorHAnsi" w:hAnsiTheme="minorHAnsi" w:cs="Calibri"/>
          <w:i/>
          <w:iCs/>
          <w:color w:val="000000" w:themeColor="text1"/>
        </w:rPr>
        <w:br/>
      </w:r>
      <w:r w:rsidRPr="000C17EB">
        <w:rPr>
          <w:rFonts w:asciiTheme="minorHAnsi" w:hAnsiTheme="minorHAnsi" w:cs="Calibri"/>
          <w:i/>
          <w:iCs/>
          <w:color w:val="000000" w:themeColor="text1"/>
        </w:rPr>
        <w:t>&gt;1 gång per månad och/eller svåra periodiska besvär</w:t>
      </w:r>
      <w:r>
        <w:rPr>
          <w:rFonts w:asciiTheme="minorHAnsi" w:hAnsiTheme="minorHAnsi" w:cs="Calibri"/>
          <w:i/>
          <w:iCs/>
          <w:color w:val="000000" w:themeColor="text1"/>
        </w:rPr>
        <w:br/>
      </w:r>
    </w:p>
    <w:p w14:paraId="38F3164B" w14:textId="77777777" w:rsidR="00EC79BD" w:rsidRPr="000C17EB" w:rsidRDefault="00EC79BD" w:rsidP="00EC79BD">
      <w:pPr>
        <w:pStyle w:val="Normal4"/>
        <w:spacing w:before="0" w:beforeAutospacing="0" w:after="0" w:afterAutospacing="0"/>
        <w:ind w:left="60"/>
        <w:rPr>
          <w:rFonts w:asciiTheme="minorHAnsi" w:hAnsiTheme="minorHAnsi" w:cs="Calibri"/>
          <w:i/>
          <w:iCs/>
          <w:color w:val="000000" w:themeColor="text1"/>
        </w:rPr>
      </w:pPr>
      <w:r w:rsidRPr="000C17EB">
        <w:rPr>
          <w:rFonts w:asciiTheme="minorHAnsi" w:hAnsiTheme="minorHAnsi" w:cs="Calibri"/>
          <w:i/>
          <w:iCs/>
          <w:color w:val="000000" w:themeColor="text1"/>
          <w:u w:val="single"/>
        </w:rPr>
        <w:t>Steg (2)3-5:</w:t>
      </w:r>
      <w:r w:rsidRPr="000C17EB">
        <w:rPr>
          <w:rFonts w:asciiTheme="minorHAnsi" w:hAnsiTheme="minorHAnsi" w:cs="Calibri"/>
          <w:i/>
          <w:iCs/>
          <w:color w:val="000000" w:themeColor="text1"/>
        </w:rPr>
        <w:t xml:space="preserve"> </w:t>
      </w:r>
      <w:r w:rsidRPr="000C17EB">
        <w:rPr>
          <w:rFonts w:asciiTheme="minorHAnsi" w:hAnsiTheme="minorHAnsi" w:cs="Calibri"/>
          <w:i/>
          <w:iCs/>
          <w:color w:val="000000" w:themeColor="text1"/>
        </w:rPr>
        <w:br/>
        <w:t>Bristande kontroll trots behandling enligt föregående steg behandlas i regel på barnklinik.</w:t>
      </w:r>
    </w:p>
    <w:p w14:paraId="60AB0C2B" w14:textId="77777777" w:rsidR="00EC79BD" w:rsidRPr="000C17EB" w:rsidRDefault="00EC79BD" w:rsidP="00EC79BD">
      <w:pPr>
        <w:pStyle w:val="Normal4"/>
        <w:spacing w:before="0" w:beforeAutospacing="0" w:after="0" w:afterAutospacing="0"/>
        <w:ind w:left="60"/>
        <w:rPr>
          <w:rFonts w:asciiTheme="minorHAnsi" w:hAnsiTheme="minorHAnsi" w:cs="Calibri"/>
          <w:i/>
          <w:iCs/>
          <w:color w:val="000000" w:themeColor="text1"/>
        </w:rPr>
      </w:pPr>
    </w:p>
    <w:p w14:paraId="1CFEAE0E" w14:textId="77777777" w:rsidR="00EC79BD" w:rsidRPr="001F551E" w:rsidRDefault="00EC79BD" w:rsidP="00EC79BD">
      <w:pPr>
        <w:rPr>
          <w:rStyle w:val="Stark"/>
        </w:rPr>
      </w:pPr>
      <w:r>
        <w:rPr>
          <w:bCs/>
          <w:iCs/>
          <w:noProof/>
        </w:rPr>
        <w:lastRenderedPageBreak/>
        <w:drawing>
          <wp:inline distT="0" distB="0" distL="0" distR="0" wp14:anchorId="58D2C4EC" wp14:editId="28D9758A">
            <wp:extent cx="6369050" cy="3930898"/>
            <wp:effectExtent l="0" t="0" r="0" b="0"/>
            <wp:docPr id="52" name="Bildobjekt 52" descr="En bild som visar text, skärmbild, Teckensnitt,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ildobjekt 52" descr="En bild som visar text, skärmbild, Teckensnitt, diagram&#10;&#10;Automatiskt genererad beskrivning"/>
                    <pic:cNvPicPr/>
                  </pic:nvPicPr>
                  <pic:blipFill>
                    <a:blip r:embed="rId23"/>
                    <a:stretch>
                      <a:fillRect/>
                    </a:stretch>
                  </pic:blipFill>
                  <pic:spPr>
                    <a:xfrm>
                      <a:off x="0" y="0"/>
                      <a:ext cx="6389859" cy="3943741"/>
                    </a:xfrm>
                    <a:prstGeom prst="rect">
                      <a:avLst/>
                    </a:prstGeom>
                  </pic:spPr>
                </pic:pic>
              </a:graphicData>
            </a:graphic>
          </wp:inline>
        </w:drawing>
      </w:r>
    </w:p>
    <w:p w14:paraId="71682028" w14:textId="77777777" w:rsidR="00EC79BD" w:rsidRPr="00F44DFD" w:rsidRDefault="00EC79BD" w:rsidP="00EC79BD">
      <w:pPr>
        <w:spacing w:line="240" w:lineRule="auto"/>
        <w:rPr>
          <w:rStyle w:val="Stark"/>
          <w:rFonts w:asciiTheme="minorHAnsi" w:hAnsiTheme="minorHAnsi"/>
          <w:sz w:val="16"/>
          <w:szCs w:val="16"/>
        </w:rPr>
      </w:pPr>
      <w:r w:rsidRPr="00F44DFD">
        <w:rPr>
          <w:rStyle w:val="Stark"/>
          <w:rFonts w:asciiTheme="minorHAnsi" w:hAnsiTheme="minorHAnsi"/>
          <w:sz w:val="16"/>
          <w:szCs w:val="16"/>
        </w:rPr>
        <w:t>Adapterad från Läkemedelsverkets behandlingstrappa för astma hos barn</w:t>
      </w:r>
    </w:p>
    <w:p w14:paraId="42A68CE7" w14:textId="77777777" w:rsidR="00EC79BD" w:rsidRPr="00D71486" w:rsidRDefault="00EC79BD" w:rsidP="00EC79BD">
      <w:pPr>
        <w:rPr>
          <w:rStyle w:val="Stark"/>
          <w:rFonts w:asciiTheme="minorHAnsi" w:hAnsiTheme="minorHAnsi"/>
        </w:rPr>
      </w:pPr>
      <w:r>
        <w:rPr>
          <w:rStyle w:val="Stark"/>
          <w:rFonts w:asciiTheme="minorHAnsi" w:hAnsiTheme="minorHAnsi"/>
        </w:rPr>
        <w:br/>
      </w:r>
      <w:r w:rsidRPr="00D71486">
        <w:rPr>
          <w:rStyle w:val="Stark"/>
          <w:rFonts w:asciiTheme="minorHAnsi" w:hAnsiTheme="minorHAnsi"/>
        </w:rPr>
        <w:t>*Flutikason 125 µg x4 i 3 dagar, därefter 125 µg x2 i cirka 7 dagar</w:t>
      </w:r>
    </w:p>
    <w:p w14:paraId="0A7842D4" w14:textId="77777777" w:rsidR="00EC79BD" w:rsidRDefault="00EC79BD" w:rsidP="00EC79BD">
      <w:pPr>
        <w:pStyle w:val="Normal4"/>
        <w:spacing w:before="0" w:beforeAutospacing="0" w:after="0" w:afterAutospacing="0"/>
        <w:rPr>
          <w:rFonts w:asciiTheme="minorHAnsi" w:hAnsiTheme="minorHAnsi" w:cs="Calibri"/>
        </w:rPr>
      </w:pPr>
      <w:r w:rsidRPr="00D71486">
        <w:rPr>
          <w:rFonts w:asciiTheme="minorHAnsi" w:hAnsiTheme="minorHAnsi" w:cs="Calibri"/>
          <w:color w:val="000000" w:themeColor="text1"/>
        </w:rPr>
        <w:t>**Flutikason med formoterol (godkänd från 5 år</w:t>
      </w:r>
      <w:r w:rsidRPr="00D71486">
        <w:rPr>
          <w:rFonts w:asciiTheme="minorHAnsi" w:hAnsiTheme="minorHAns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71486">
        <w:rPr>
          <w:rFonts w:asciiTheme="minorHAnsi" w:hAnsiTheme="minorHAnsi" w:cs="Calibri"/>
        </w:rPr>
        <w:t>Flutikason med salmeterol (godkänt från 4 år)</w:t>
      </w:r>
      <w:bookmarkEnd w:id="26"/>
    </w:p>
    <w:p w14:paraId="42A86860" w14:textId="77777777" w:rsidR="00EC79BD" w:rsidRPr="0013523B" w:rsidRDefault="00EC79BD" w:rsidP="00EC79BD">
      <w:pPr>
        <w:pStyle w:val="Rubrik3"/>
        <w:rPr>
          <w:rFonts w:asciiTheme="minorHAnsi" w:hAnsiTheme="minorHAnsi" w:cs="Calibri"/>
          <w:szCs w:val="24"/>
          <w:u w:val="single"/>
        </w:rPr>
      </w:pPr>
      <w:bookmarkStart w:id="27" w:name="_Toc150457963"/>
      <w:bookmarkStart w:id="28" w:name="_Hlk149036586"/>
      <w:r w:rsidRPr="0013523B">
        <w:rPr>
          <w:rFonts w:asciiTheme="minorHAnsi" w:hAnsiTheme="minorHAnsi" w:cs="Calibri"/>
          <w:szCs w:val="24"/>
          <w:u w:val="single"/>
        </w:rPr>
        <w:t>Behandlingstrappan 6-11 år</w:t>
      </w:r>
      <w:bookmarkEnd w:id="27"/>
    </w:p>
    <w:p w14:paraId="51B90EE7" w14:textId="77777777" w:rsidR="00EC79BD" w:rsidRPr="000C17EB" w:rsidRDefault="00EC79BD" w:rsidP="00EC79BD">
      <w:pPr>
        <w:pStyle w:val="Normal4"/>
        <w:spacing w:before="0" w:beforeAutospacing="0" w:after="0" w:afterAutospacing="0"/>
        <w:ind w:left="60"/>
        <w:rPr>
          <w:rFonts w:asciiTheme="minorHAnsi" w:hAnsiTheme="minorHAnsi" w:cs="Calibri"/>
          <w:i/>
          <w:iCs/>
          <w:color w:val="000000" w:themeColor="text1"/>
        </w:rPr>
      </w:pPr>
      <w:r w:rsidRPr="000C17EB">
        <w:rPr>
          <w:rFonts w:asciiTheme="minorHAnsi" w:hAnsiTheme="minorHAnsi" w:cs="Calibri"/>
          <w:i/>
          <w:iCs/>
          <w:color w:val="000000" w:themeColor="text1"/>
          <w:u w:val="single"/>
        </w:rPr>
        <w:t>Steg 1</w:t>
      </w:r>
      <w:r w:rsidRPr="000C17EB">
        <w:rPr>
          <w:rFonts w:asciiTheme="minorHAnsi" w:hAnsiTheme="minorHAnsi" w:cs="Calibri"/>
          <w:i/>
          <w:iCs/>
          <w:color w:val="000000" w:themeColor="text1"/>
        </w:rPr>
        <w:t xml:space="preserve"> Periodiska besvär 0–1 gång/månad eller vid exponering för symtomutlösande faktorer</w:t>
      </w:r>
    </w:p>
    <w:p w14:paraId="437DA090" w14:textId="77777777" w:rsidR="00EC79BD" w:rsidRPr="000C17EB" w:rsidRDefault="00EC79BD" w:rsidP="00EC79BD">
      <w:pPr>
        <w:pStyle w:val="Normal4"/>
        <w:spacing w:before="0" w:beforeAutospacing="0" w:after="0" w:afterAutospacing="0"/>
        <w:ind w:left="60"/>
        <w:rPr>
          <w:rFonts w:asciiTheme="minorHAnsi" w:hAnsiTheme="minorHAnsi" w:cs="Calibri"/>
          <w:i/>
          <w:iCs/>
          <w:color w:val="000000" w:themeColor="text1"/>
        </w:rPr>
      </w:pPr>
      <w:r w:rsidRPr="000C17EB">
        <w:rPr>
          <w:rFonts w:asciiTheme="minorHAnsi" w:hAnsiTheme="minorHAnsi" w:cs="Calibri"/>
          <w:i/>
          <w:iCs/>
          <w:color w:val="000000" w:themeColor="text1"/>
          <w:u w:val="single"/>
        </w:rPr>
        <w:t>Steg 2</w:t>
      </w:r>
      <w:r w:rsidRPr="000C17EB">
        <w:rPr>
          <w:rFonts w:asciiTheme="minorHAnsi" w:hAnsiTheme="minorHAnsi" w:cs="Calibri"/>
          <w:i/>
          <w:iCs/>
          <w:color w:val="000000" w:themeColor="text1"/>
        </w:rPr>
        <w:t xml:space="preserve"> Astmabesvär ≥ 2 gånger/månad, och/eller svåra anfall</w:t>
      </w:r>
    </w:p>
    <w:p w14:paraId="45859CB0" w14:textId="77777777" w:rsidR="00EC79BD" w:rsidRPr="000C17EB" w:rsidRDefault="00EC79BD" w:rsidP="00EC79BD">
      <w:pPr>
        <w:pStyle w:val="Normal4"/>
        <w:spacing w:before="0" w:beforeAutospacing="0" w:after="0" w:afterAutospacing="0"/>
        <w:ind w:left="60"/>
        <w:rPr>
          <w:rFonts w:asciiTheme="minorHAnsi" w:hAnsiTheme="minorHAnsi" w:cs="Calibri"/>
          <w:i/>
          <w:iCs/>
          <w:color w:val="000000" w:themeColor="text1"/>
        </w:rPr>
      </w:pPr>
      <w:r w:rsidRPr="000C17EB">
        <w:rPr>
          <w:rFonts w:asciiTheme="minorHAnsi" w:hAnsiTheme="minorHAnsi" w:cs="Calibri"/>
          <w:i/>
          <w:iCs/>
          <w:color w:val="000000" w:themeColor="text1"/>
          <w:u w:val="single"/>
        </w:rPr>
        <w:t>Steg 3</w:t>
      </w:r>
      <w:r w:rsidRPr="000C17EB">
        <w:rPr>
          <w:rFonts w:asciiTheme="minorHAnsi" w:hAnsiTheme="minorHAnsi" w:cs="Calibri"/>
          <w:i/>
          <w:iCs/>
          <w:color w:val="000000" w:themeColor="text1"/>
        </w:rPr>
        <w:t xml:space="preserve"> Vid bristande kontroll trots behandling enligt steg 2 </w:t>
      </w:r>
    </w:p>
    <w:p w14:paraId="31D8E6C0" w14:textId="77777777" w:rsidR="00EC79BD" w:rsidRPr="000C17EB" w:rsidRDefault="00EC79BD" w:rsidP="00EC79BD">
      <w:pPr>
        <w:pStyle w:val="Normal4"/>
        <w:spacing w:before="0" w:beforeAutospacing="0" w:after="0" w:afterAutospacing="0"/>
        <w:ind w:left="60"/>
        <w:rPr>
          <w:rFonts w:asciiTheme="minorHAnsi" w:hAnsiTheme="minorHAnsi" w:cs="Calibri"/>
          <w:i/>
          <w:iCs/>
          <w:color w:val="000000" w:themeColor="text1"/>
        </w:rPr>
      </w:pPr>
      <w:r w:rsidRPr="000C17EB">
        <w:rPr>
          <w:rFonts w:asciiTheme="minorHAnsi" w:hAnsiTheme="minorHAnsi" w:cs="Calibri"/>
          <w:i/>
          <w:iCs/>
          <w:color w:val="000000" w:themeColor="text1"/>
          <w:u w:val="single"/>
        </w:rPr>
        <w:t>Steg 4–5</w:t>
      </w:r>
      <w:r w:rsidRPr="000C17EB">
        <w:rPr>
          <w:rFonts w:asciiTheme="minorHAnsi" w:hAnsiTheme="minorHAnsi" w:cs="Calibri"/>
          <w:i/>
          <w:iCs/>
          <w:color w:val="000000" w:themeColor="text1"/>
        </w:rPr>
        <w:t xml:space="preserve"> Bristande kontroll trots behandling enligt föregående steg (1-3) behandlas i regel på barnklinik.</w:t>
      </w:r>
      <w:r>
        <w:rPr>
          <w:rFonts w:asciiTheme="minorHAnsi" w:hAnsiTheme="minorHAnsi" w:cs="Calibri"/>
          <w:i/>
          <w:iCs/>
          <w:color w:val="000000" w:themeColor="text1"/>
        </w:rPr>
        <w:br/>
      </w:r>
    </w:p>
    <w:p w14:paraId="69193348" w14:textId="77777777" w:rsidR="00EC79BD" w:rsidRPr="001F551E" w:rsidRDefault="00EC79BD" w:rsidP="00EC79BD">
      <w:pPr>
        <w:rPr>
          <w:rStyle w:val="Stark"/>
        </w:rPr>
      </w:pPr>
      <w:r>
        <w:rPr>
          <w:bCs/>
          <w:iCs/>
          <w:noProof/>
        </w:rPr>
        <w:lastRenderedPageBreak/>
        <w:drawing>
          <wp:inline distT="0" distB="0" distL="0" distR="0" wp14:anchorId="397F06E0" wp14:editId="59378DC0">
            <wp:extent cx="6159500" cy="3791476"/>
            <wp:effectExtent l="0" t="0" r="0" b="0"/>
            <wp:docPr id="62" name="Bildobjekt 62" descr="En bild som visar text, skärmbild, linje,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33" descr="En bild som visar text, skärmbild, linje, Teckensnitt&#10;&#10;Automatiskt genererad beskrivning"/>
                    <pic:cNvPicPr/>
                  </pic:nvPicPr>
                  <pic:blipFill>
                    <a:blip r:embed="rId24"/>
                    <a:stretch>
                      <a:fillRect/>
                    </a:stretch>
                  </pic:blipFill>
                  <pic:spPr>
                    <a:xfrm>
                      <a:off x="0" y="0"/>
                      <a:ext cx="6197210" cy="3814688"/>
                    </a:xfrm>
                    <a:prstGeom prst="rect">
                      <a:avLst/>
                    </a:prstGeom>
                  </pic:spPr>
                </pic:pic>
              </a:graphicData>
            </a:graphic>
          </wp:inline>
        </w:drawing>
      </w:r>
    </w:p>
    <w:p w14:paraId="06D141B4" w14:textId="77777777" w:rsidR="00EC79BD" w:rsidRPr="0013523B" w:rsidRDefault="00EC79BD" w:rsidP="00EC79BD">
      <w:pPr>
        <w:spacing w:line="240" w:lineRule="auto"/>
        <w:rPr>
          <w:rStyle w:val="Stark"/>
          <w:rFonts w:asciiTheme="minorHAnsi" w:hAnsiTheme="minorHAnsi"/>
          <w:sz w:val="18"/>
          <w:szCs w:val="18"/>
        </w:rPr>
      </w:pPr>
      <w:r w:rsidRPr="0013523B">
        <w:rPr>
          <w:rStyle w:val="Stark"/>
          <w:rFonts w:asciiTheme="minorHAnsi" w:hAnsiTheme="minorHAnsi"/>
          <w:sz w:val="18"/>
          <w:szCs w:val="18"/>
        </w:rPr>
        <w:t>Adapterad från Läkemedelsverkets behandlingstrappa för astma hos barn</w:t>
      </w:r>
    </w:p>
    <w:p w14:paraId="24D24320" w14:textId="77777777" w:rsidR="00EC79BD" w:rsidRDefault="00EC79BD" w:rsidP="00EC79BD">
      <w:pPr>
        <w:pStyle w:val="Normal4"/>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*Lågdos ICS+FABA i lägsta förskrivningsbara dos</w:t>
      </w:r>
      <w:r>
        <w:rPr>
          <w:rFonts w:asciiTheme="minorHAnsi" w:hAnsiTheme="minorHAnsi" w:cs="Calibri"/>
          <w:color w:val="000000" w:themeColor="text1"/>
        </w:rPr>
        <w:br/>
      </w:r>
      <w:r>
        <w:rPr>
          <w:rFonts w:asciiTheme="minorHAnsi" w:hAnsiTheme="minorHAnsi" w:cs="Calibri"/>
          <w:color w:val="000000" w:themeColor="text1"/>
        </w:rPr>
        <w:br/>
      </w:r>
      <w:r w:rsidRPr="000C17EB">
        <w:rPr>
          <w:rFonts w:asciiTheme="minorHAnsi" w:hAnsiTheme="minorHAnsi" w:cs="Calibri"/>
          <w:color w:val="000000" w:themeColor="text1"/>
        </w:rPr>
        <w:t>I nuläget tillgängliga och godkända kombinationer: formoterol med budesonid, formoterol med flutikason</w:t>
      </w:r>
      <w:r>
        <w:rPr>
          <w:rFonts w:asciiTheme="minorHAnsi" w:hAnsiTheme="minorHAnsi" w:cs="Calibri"/>
          <w:color w:val="000000" w:themeColor="text1"/>
        </w:rPr>
        <w:t>.</w:t>
      </w:r>
    </w:p>
    <w:p w14:paraId="3165E6F6" w14:textId="77777777" w:rsidR="00EC79BD" w:rsidRPr="000C17EB" w:rsidRDefault="00EC79BD" w:rsidP="00EC79BD">
      <w:pPr>
        <w:pStyle w:val="Normal4"/>
        <w:spacing w:before="0" w:beforeAutospacing="0" w:after="0" w:afterAutospacing="0"/>
        <w:rPr>
          <w:rFonts w:asciiTheme="minorHAnsi" w:hAnsiTheme="minorHAnsi" w:cs="Calibri"/>
          <w:i/>
          <w:iCs/>
          <w:color w:val="000000" w:themeColor="text1"/>
        </w:rPr>
      </w:pPr>
      <w:r w:rsidRPr="000C17EB">
        <w:rPr>
          <w:rFonts w:asciiTheme="minorHAnsi" w:hAnsiTheme="minorHAnsi" w:cs="Calibri"/>
          <w:color w:val="000000" w:themeColor="text1"/>
        </w:rPr>
        <w:t xml:space="preserve"> </w:t>
      </w:r>
      <w:r w:rsidRPr="000C17EB">
        <w:rPr>
          <w:rFonts w:asciiTheme="minorHAnsi" w:hAnsiTheme="minorHAnsi" w:cs="Calibri"/>
          <w:i/>
          <w:iCs/>
          <w:color w:val="000000" w:themeColor="text1"/>
        </w:rPr>
        <w:t>Vid behovsbehandling med dessa kombinationer är i nuläget utanför godkänd indikation</w:t>
      </w:r>
    </w:p>
    <w:p w14:paraId="2D5A3805" w14:textId="77777777" w:rsidR="00EC79BD" w:rsidRPr="000C17EB" w:rsidRDefault="00EC79BD" w:rsidP="00EC79BD">
      <w:pPr>
        <w:pStyle w:val="Normal4"/>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 xml:space="preserve">**ICS har bättre effekt än </w:t>
      </w:r>
      <w:hyperlink w:anchor="_ORDLISTA" w:history="1">
        <w:r w:rsidRPr="000C17EB">
          <w:rPr>
            <w:rStyle w:val="Hyperlnk"/>
            <w:rFonts w:asciiTheme="minorHAnsi" w:hAnsiTheme="minorHAnsi" w:cs="Calibri"/>
            <w:color w:val="B46400" w:themeColor="accent6" w:themeShade="BF"/>
          </w:rPr>
          <w:t>LTRA</w:t>
        </w:r>
      </w:hyperlink>
      <w:r w:rsidRPr="000C17EB">
        <w:rPr>
          <w:rFonts w:asciiTheme="minorHAnsi" w:hAnsiTheme="minorHAnsi" w:cs="Calibri"/>
          <w:color w:val="000000" w:themeColor="text1"/>
        </w:rPr>
        <w:t xml:space="preserve"> särskilt hos barn med allergisk läggning</w:t>
      </w:r>
    </w:p>
    <w:p w14:paraId="7923EAAF" w14:textId="77777777" w:rsidR="00EC79BD" w:rsidRPr="000C17EB" w:rsidRDefault="00EC79BD" w:rsidP="00EC79BD">
      <w:pPr>
        <w:pStyle w:val="Normal4"/>
        <w:spacing w:before="0" w:beforeAutospacing="0" w:after="0" w:afterAutospacing="0"/>
        <w:rPr>
          <w:rFonts w:asciiTheme="minorHAnsi" w:hAnsiTheme="minorHAnsi" w:cs="Calibri"/>
          <w:noProof/>
          <w:color w:val="404040"/>
        </w:rPr>
      </w:pPr>
      <w:r w:rsidRPr="000C17EB">
        <w:rPr>
          <w:rFonts w:asciiTheme="minorHAnsi" w:hAnsiTheme="minorHAnsi" w:cs="Calibri"/>
          <w:color w:val="000000" w:themeColor="text1"/>
        </w:rPr>
        <w:t xml:space="preserve">*** vid otillräcklig effekt av </w:t>
      </w:r>
      <w:hyperlink w:anchor="_ORDLISTA" w:history="1">
        <w:r w:rsidRPr="000C17EB">
          <w:rPr>
            <w:rStyle w:val="Hyperlnk"/>
            <w:rFonts w:asciiTheme="minorHAnsi" w:hAnsiTheme="minorHAnsi" w:cs="Calibri"/>
            <w:color w:val="B46400" w:themeColor="accent6" w:themeShade="BF"/>
          </w:rPr>
          <w:t>ICS</w:t>
        </w:r>
      </w:hyperlink>
      <w:r w:rsidRPr="000C17EB">
        <w:rPr>
          <w:rFonts w:asciiTheme="minorHAnsi" w:hAnsiTheme="minorHAnsi" w:cs="Calibri"/>
          <w:color w:val="000000" w:themeColor="text1"/>
        </w:rPr>
        <w:t>+</w:t>
      </w:r>
      <w:hyperlink w:anchor="_ORDLISTA" w:history="1">
        <w:r w:rsidRPr="000C17EB">
          <w:rPr>
            <w:rStyle w:val="Hyperlnk"/>
            <w:rFonts w:asciiTheme="minorHAnsi" w:hAnsiTheme="minorHAnsi" w:cs="Calibri"/>
            <w:color w:val="B46400" w:themeColor="accent6" w:themeShade="BF"/>
          </w:rPr>
          <w:t>LABA</w:t>
        </w:r>
      </w:hyperlink>
      <w:bookmarkEnd w:id="28"/>
    </w:p>
    <w:p w14:paraId="71EF37BA" w14:textId="77777777" w:rsidR="00EC79BD" w:rsidRDefault="00EC79BD" w:rsidP="00EC79BD">
      <w:pPr>
        <w:pStyle w:val="Normal4"/>
        <w:spacing w:before="0" w:beforeAutospacing="0" w:after="0" w:afterAutospacing="0"/>
        <w:rPr>
          <w:rStyle w:val="Hyperlnk"/>
          <w:rFonts w:asciiTheme="minorHAnsi" w:hAnsiTheme="minorHAnsi" w:cs="Calibri"/>
          <w:i/>
          <w:iCs/>
          <w:noProof/>
          <w:color w:val="B46400" w:themeColor="accent6" w:themeShade="BF"/>
        </w:rPr>
      </w:pPr>
      <w:r w:rsidRPr="000C17EB">
        <w:rPr>
          <w:rFonts w:asciiTheme="minorHAnsi" w:hAnsiTheme="minorHAnsi" w:cs="Calibri"/>
          <w:i/>
          <w:iCs/>
          <w:noProof/>
          <w:color w:val="404040"/>
        </w:rPr>
        <w:t>Förvirrad av förkortn</w:t>
      </w:r>
      <w:r>
        <w:rPr>
          <w:rFonts w:asciiTheme="minorHAnsi" w:hAnsiTheme="minorHAnsi" w:cs="Calibri"/>
          <w:i/>
          <w:iCs/>
          <w:noProof/>
          <w:color w:val="404040"/>
        </w:rPr>
        <w:t>i</w:t>
      </w:r>
      <w:r w:rsidRPr="000C17EB">
        <w:rPr>
          <w:rFonts w:asciiTheme="minorHAnsi" w:hAnsiTheme="minorHAnsi" w:cs="Calibri"/>
          <w:i/>
          <w:iCs/>
          <w:noProof/>
          <w:color w:val="404040"/>
        </w:rPr>
        <w:t xml:space="preserve">ngarna? Hoppa till </w:t>
      </w:r>
      <w:hyperlink w:anchor="_ORDLISTA" w:history="1">
        <w:r w:rsidRPr="006F77CE">
          <w:rPr>
            <w:rStyle w:val="Hyperlnk"/>
            <w:rFonts w:asciiTheme="minorHAnsi" w:hAnsiTheme="minorHAnsi" w:cs="Calibri"/>
            <w:i/>
            <w:iCs/>
            <w:noProof/>
            <w:color w:val="B46400" w:themeColor="accent6" w:themeShade="BF"/>
          </w:rPr>
          <w:t>ordlistan</w:t>
        </w:r>
      </w:hyperlink>
    </w:p>
    <w:p w14:paraId="0139DA07" w14:textId="77777777" w:rsidR="00EC79BD" w:rsidRDefault="00EC79BD" w:rsidP="00EC79BD">
      <w:pPr>
        <w:tabs>
          <w:tab w:val="clear" w:pos="284"/>
        </w:tabs>
        <w:spacing w:after="120" w:line="260" w:lineRule="atLeast"/>
        <w:rPr>
          <w:rStyle w:val="Hyperlnk"/>
          <w:rFonts w:asciiTheme="minorHAnsi" w:eastAsia="Times New Roman" w:hAnsiTheme="minorHAnsi" w:cs="Calibri"/>
          <w:i/>
          <w:iCs/>
          <w:noProof/>
          <w:color w:val="B46400" w:themeColor="accent6" w:themeShade="BF"/>
          <w:sz w:val="24"/>
          <w:szCs w:val="24"/>
          <w:lang w:eastAsia="sv-SE"/>
        </w:rPr>
      </w:pPr>
      <w:r>
        <w:rPr>
          <w:rStyle w:val="Hyperlnk"/>
          <w:rFonts w:asciiTheme="minorHAnsi" w:hAnsiTheme="minorHAnsi" w:cs="Calibri"/>
          <w:i/>
          <w:iCs/>
          <w:noProof/>
          <w:color w:val="B46400" w:themeColor="accent6" w:themeShade="BF"/>
        </w:rPr>
        <w:br w:type="page"/>
      </w:r>
    </w:p>
    <w:p w14:paraId="236DF0F9" w14:textId="77777777" w:rsidR="00EC79BD" w:rsidRPr="0013523B" w:rsidRDefault="00EC79BD" w:rsidP="00EC79BD">
      <w:pPr>
        <w:pStyle w:val="Rubrik3"/>
        <w:rPr>
          <w:rFonts w:asciiTheme="minorHAnsi" w:hAnsiTheme="minorHAnsi" w:cs="Calibri"/>
          <w:szCs w:val="24"/>
          <w:u w:val="single"/>
        </w:rPr>
      </w:pPr>
      <w:bookmarkStart w:id="29" w:name="_Toc150457964"/>
      <w:bookmarkStart w:id="30" w:name="_Hlk149037325"/>
      <w:r w:rsidRPr="0013523B">
        <w:rPr>
          <w:rFonts w:asciiTheme="minorHAnsi" w:hAnsiTheme="minorHAnsi" w:cs="Calibri"/>
          <w:szCs w:val="24"/>
          <w:u w:val="single"/>
        </w:rPr>
        <w:lastRenderedPageBreak/>
        <w:t>Behandlingstrappan 12-18 år</w:t>
      </w:r>
      <w:bookmarkEnd w:id="29"/>
    </w:p>
    <w:p w14:paraId="4BC23D4D" w14:textId="77777777" w:rsidR="00EC79BD" w:rsidRPr="0013523B" w:rsidRDefault="00EC79BD" w:rsidP="00EC79BD">
      <w:pPr>
        <w:pStyle w:val="Normal4"/>
        <w:spacing w:before="0" w:beforeAutospacing="0" w:after="0" w:afterAutospacing="0"/>
        <w:rPr>
          <w:rFonts w:asciiTheme="minorHAnsi" w:hAnsiTheme="minorHAnsi" w:cs="Calibri"/>
          <w:color w:val="000000" w:themeColor="text1"/>
        </w:rPr>
      </w:pPr>
      <w:r w:rsidRPr="0013523B">
        <w:rPr>
          <w:rFonts w:asciiTheme="minorHAnsi" w:hAnsiTheme="minorHAnsi" w:cs="Calibri"/>
          <w:color w:val="000000" w:themeColor="text1"/>
        </w:rPr>
        <w:t xml:space="preserve">Från 12 års ålder är behandlingen lik den hos vuxna. </w:t>
      </w:r>
      <w:hyperlink w:anchor="_UPPFÖLJNING" w:history="1">
        <w:r w:rsidRPr="0013523B">
          <w:rPr>
            <w:rStyle w:val="Hyperlnk"/>
            <w:rFonts w:asciiTheme="minorHAnsi" w:hAnsiTheme="minorHAnsi" w:cs="Calibri"/>
            <w:color w:val="B46400" w:themeColor="accent6" w:themeShade="BF"/>
          </w:rPr>
          <w:t>Tillväxtkontroll</w:t>
        </w:r>
      </w:hyperlink>
      <w:r w:rsidRPr="0013523B">
        <w:rPr>
          <w:rFonts w:asciiTheme="minorHAnsi" w:hAnsiTheme="minorHAnsi" w:cs="Calibri"/>
          <w:color w:val="000000" w:themeColor="text1"/>
        </w:rPr>
        <w:t xml:space="preserve"> är fortsatt viktig. Skillnader i fysisk och psykisk utveckling påverkar behandlingsval. Barn och ungdomar som har sjukdomskontroll med </w:t>
      </w:r>
      <w:hyperlink w:anchor="_ORDLISTA" w:history="1">
        <w:r w:rsidRPr="0013523B">
          <w:rPr>
            <w:rStyle w:val="Hyperlnk"/>
            <w:rFonts w:asciiTheme="minorHAnsi" w:hAnsiTheme="minorHAnsi" w:cs="Calibri"/>
            <w:color w:val="B46400" w:themeColor="accent6" w:themeShade="BF"/>
          </w:rPr>
          <w:t>ICS</w:t>
        </w:r>
      </w:hyperlink>
      <w:r w:rsidRPr="0013523B">
        <w:rPr>
          <w:rStyle w:val="Hyperlnk"/>
          <w:color w:val="B46400" w:themeColor="accent6" w:themeShade="BF"/>
        </w:rPr>
        <w:t xml:space="preserve"> </w:t>
      </w:r>
      <w:r w:rsidRPr="0013523B">
        <w:rPr>
          <w:rFonts w:asciiTheme="minorHAnsi" w:hAnsiTheme="minorHAnsi" w:cs="Calibri"/>
          <w:color w:val="000000" w:themeColor="text1"/>
        </w:rPr>
        <w:t xml:space="preserve">som underhållsbehandling och </w:t>
      </w:r>
      <w:hyperlink w:anchor="_ORDLISTA" w:history="1">
        <w:r w:rsidRPr="0013523B">
          <w:rPr>
            <w:rStyle w:val="Hyperlnk"/>
            <w:color w:val="B46400" w:themeColor="accent6" w:themeShade="BF"/>
          </w:rPr>
          <w:t>SABA</w:t>
        </w:r>
      </w:hyperlink>
      <w:r w:rsidRPr="0013523B">
        <w:rPr>
          <w:rFonts w:asciiTheme="minorHAnsi" w:hAnsiTheme="minorHAnsi" w:cs="Calibri"/>
          <w:color w:val="000000" w:themeColor="text1"/>
        </w:rPr>
        <w:t xml:space="preserve"> vid behov behåller denna behandlingsregim. </w:t>
      </w:r>
      <w:r>
        <w:rPr>
          <w:rFonts w:asciiTheme="minorHAnsi" w:hAnsiTheme="minorHAnsi" w:cs="Calibri"/>
          <w:color w:val="000000" w:themeColor="text1"/>
        </w:rPr>
        <w:br/>
      </w:r>
    </w:p>
    <w:p w14:paraId="75B684D4" w14:textId="77777777" w:rsidR="00EC79BD" w:rsidRPr="000C17EB" w:rsidRDefault="00EC79BD" w:rsidP="00EC79BD">
      <w:pPr>
        <w:pStyle w:val="Normal4"/>
        <w:spacing w:before="0" w:beforeAutospacing="0" w:after="0" w:afterAutospacing="0"/>
        <w:rPr>
          <w:rFonts w:asciiTheme="minorHAnsi" w:hAnsiTheme="minorHAnsi" w:cs="Calibri"/>
          <w:i/>
          <w:iCs/>
          <w:color w:val="000000" w:themeColor="text1"/>
        </w:rPr>
      </w:pPr>
      <w:r w:rsidRPr="000C17EB">
        <w:rPr>
          <w:rFonts w:asciiTheme="minorHAnsi" w:hAnsiTheme="minorHAnsi" w:cs="Calibri"/>
          <w:i/>
          <w:iCs/>
          <w:color w:val="000000" w:themeColor="text1"/>
          <w:u w:val="single"/>
        </w:rPr>
        <w:t>Steg 1</w:t>
      </w:r>
      <w:r w:rsidRPr="000C17EB">
        <w:rPr>
          <w:rFonts w:asciiTheme="minorHAnsi" w:hAnsiTheme="minorHAnsi" w:cs="Calibri"/>
          <w:i/>
          <w:iCs/>
          <w:color w:val="000000" w:themeColor="text1"/>
        </w:rPr>
        <w:t xml:space="preserve"> Astmasymtom högst 2 gånger/månad</w:t>
      </w:r>
    </w:p>
    <w:p w14:paraId="7612B70B" w14:textId="77777777" w:rsidR="00EC79BD" w:rsidRPr="000C17EB" w:rsidRDefault="00EC79BD" w:rsidP="00EC79BD">
      <w:pPr>
        <w:pStyle w:val="Normal4"/>
        <w:spacing w:before="0" w:beforeAutospacing="0" w:after="0" w:afterAutospacing="0"/>
        <w:rPr>
          <w:rFonts w:asciiTheme="minorHAnsi" w:hAnsiTheme="minorHAnsi" w:cs="Calibri"/>
          <w:i/>
          <w:iCs/>
          <w:color w:val="000000" w:themeColor="text1"/>
        </w:rPr>
      </w:pPr>
      <w:r w:rsidRPr="000C17EB">
        <w:rPr>
          <w:rFonts w:asciiTheme="minorHAnsi" w:hAnsiTheme="minorHAnsi" w:cs="Calibri"/>
          <w:i/>
          <w:iCs/>
          <w:color w:val="000000" w:themeColor="text1"/>
          <w:u w:val="single"/>
        </w:rPr>
        <w:t>Steg 2</w:t>
      </w:r>
      <w:r w:rsidRPr="000C17EB">
        <w:rPr>
          <w:rFonts w:asciiTheme="minorHAnsi" w:hAnsiTheme="minorHAnsi" w:cs="Calibri"/>
          <w:i/>
          <w:iCs/>
          <w:color w:val="000000" w:themeColor="text1"/>
        </w:rPr>
        <w:t xml:space="preserve"> Astmasymtom &gt;2 gånger/månad</w:t>
      </w:r>
    </w:p>
    <w:p w14:paraId="47050EEA" w14:textId="77777777" w:rsidR="00EC79BD" w:rsidRPr="000C17EB" w:rsidRDefault="00EC79BD" w:rsidP="00EC79BD">
      <w:pPr>
        <w:pStyle w:val="Normal4"/>
        <w:spacing w:before="0" w:beforeAutospacing="0" w:after="0" w:afterAutospacing="0"/>
        <w:rPr>
          <w:rFonts w:asciiTheme="minorHAnsi" w:hAnsiTheme="minorHAnsi" w:cs="Calibri"/>
          <w:i/>
          <w:iCs/>
          <w:color w:val="000000" w:themeColor="text1"/>
        </w:rPr>
      </w:pPr>
      <w:r w:rsidRPr="000C17EB">
        <w:rPr>
          <w:rFonts w:asciiTheme="minorHAnsi" w:hAnsiTheme="minorHAnsi" w:cs="Calibri"/>
          <w:i/>
          <w:iCs/>
          <w:color w:val="000000" w:themeColor="text1"/>
          <w:u w:val="single"/>
        </w:rPr>
        <w:t>Steg 3</w:t>
      </w:r>
      <w:r w:rsidRPr="000C17EB">
        <w:rPr>
          <w:rFonts w:asciiTheme="minorHAnsi" w:hAnsiTheme="minorHAnsi" w:cs="Calibri"/>
          <w:i/>
          <w:iCs/>
          <w:color w:val="000000" w:themeColor="text1"/>
        </w:rPr>
        <w:t xml:space="preserve"> Vid bristande kontroll trots behandling enligt steg 2 </w:t>
      </w:r>
    </w:p>
    <w:p w14:paraId="281A12D5" w14:textId="77777777" w:rsidR="00EC79BD" w:rsidRPr="000C17EB" w:rsidRDefault="00EC79BD" w:rsidP="00EC79BD">
      <w:pPr>
        <w:pStyle w:val="Normal4"/>
        <w:spacing w:before="0" w:beforeAutospacing="0" w:after="0" w:afterAutospacing="0"/>
        <w:rPr>
          <w:rFonts w:asciiTheme="minorHAnsi" w:hAnsiTheme="minorHAnsi" w:cs="Calibri"/>
          <w:i/>
          <w:iCs/>
          <w:color w:val="000000" w:themeColor="text1"/>
        </w:rPr>
      </w:pPr>
      <w:r w:rsidRPr="000C17EB">
        <w:rPr>
          <w:rFonts w:asciiTheme="minorHAnsi" w:hAnsiTheme="minorHAnsi" w:cs="Calibri"/>
          <w:i/>
          <w:iCs/>
          <w:color w:val="000000" w:themeColor="text1"/>
          <w:u w:val="single"/>
        </w:rPr>
        <w:t>Steg 4–5</w:t>
      </w:r>
      <w:r w:rsidRPr="000C17EB">
        <w:rPr>
          <w:rFonts w:asciiTheme="minorHAnsi" w:hAnsiTheme="minorHAnsi" w:cs="Calibri"/>
          <w:i/>
          <w:iCs/>
          <w:color w:val="000000" w:themeColor="text1"/>
        </w:rPr>
        <w:t xml:space="preserve"> Bristande kontroll trots behandling enligt föregående steg (1-3) behandlas i regel på barnklinik</w:t>
      </w:r>
      <w:r>
        <w:rPr>
          <w:rFonts w:asciiTheme="minorHAnsi" w:hAnsiTheme="minorHAnsi" w:cs="Calibri"/>
          <w:i/>
          <w:iCs/>
          <w:color w:val="000000" w:themeColor="text1"/>
        </w:rPr>
        <w:br/>
      </w:r>
    </w:p>
    <w:p w14:paraId="0B513778" w14:textId="77777777" w:rsidR="00EC79BD" w:rsidRPr="001F551E" w:rsidRDefault="00EC79BD" w:rsidP="00EC79BD">
      <w:pPr>
        <w:rPr>
          <w:rStyle w:val="Stark"/>
        </w:rPr>
      </w:pPr>
      <w:r>
        <w:rPr>
          <w:bCs/>
          <w:iCs/>
          <w:noProof/>
        </w:rPr>
        <w:drawing>
          <wp:inline distT="0" distB="0" distL="0" distR="0" wp14:anchorId="4345D870" wp14:editId="698D2AC9">
            <wp:extent cx="6457808" cy="3975100"/>
            <wp:effectExtent l="0" t="0" r="635" b="6350"/>
            <wp:docPr id="63" name="Bildobjekt 63" descr="En bild som visar text, skärmbild, linje,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objekt 25" descr="En bild som visar text, skärmbild, linje, Teckensnitt&#10;&#10;Automatiskt genererad beskrivning"/>
                    <pic:cNvPicPr/>
                  </pic:nvPicPr>
                  <pic:blipFill>
                    <a:blip r:embed="rId25"/>
                    <a:stretch>
                      <a:fillRect/>
                    </a:stretch>
                  </pic:blipFill>
                  <pic:spPr>
                    <a:xfrm>
                      <a:off x="0" y="0"/>
                      <a:ext cx="6490663" cy="3995324"/>
                    </a:xfrm>
                    <a:prstGeom prst="rect">
                      <a:avLst/>
                    </a:prstGeom>
                  </pic:spPr>
                </pic:pic>
              </a:graphicData>
            </a:graphic>
          </wp:inline>
        </w:drawing>
      </w:r>
    </w:p>
    <w:p w14:paraId="45C9B203" w14:textId="77777777" w:rsidR="00EC79BD" w:rsidRPr="00F44DFD" w:rsidRDefault="00EC79BD" w:rsidP="00EC79BD">
      <w:pPr>
        <w:spacing w:line="240" w:lineRule="auto"/>
        <w:rPr>
          <w:rStyle w:val="Stark"/>
          <w:rFonts w:asciiTheme="minorHAnsi" w:hAnsiTheme="minorHAnsi"/>
          <w:sz w:val="16"/>
          <w:szCs w:val="16"/>
        </w:rPr>
      </w:pPr>
      <w:r w:rsidRPr="00F44DFD">
        <w:rPr>
          <w:rStyle w:val="Stark"/>
          <w:rFonts w:asciiTheme="minorHAnsi" w:hAnsiTheme="minorHAnsi"/>
          <w:sz w:val="16"/>
          <w:szCs w:val="16"/>
        </w:rPr>
        <w:t>Adapterad från Läkemedelsverkets behandlingstrappa för astma hos barn</w:t>
      </w:r>
    </w:p>
    <w:p w14:paraId="65BEF880" w14:textId="77777777" w:rsidR="00EC79BD" w:rsidRPr="00F01D60" w:rsidRDefault="00EC79BD" w:rsidP="00EC79BD">
      <w:pPr>
        <w:pStyle w:val="Normal4"/>
        <w:spacing w:before="0" w:beforeAutospacing="0" w:after="0" w:afterAutospacing="0"/>
        <w:rPr>
          <w:rFonts w:asciiTheme="minorHAnsi" w:hAnsiTheme="minorHAnsi" w:cs="Calibri"/>
          <w:i/>
          <w:iCs/>
          <w:color w:val="000000" w:themeColor="text1"/>
        </w:rPr>
      </w:pPr>
      <w:r>
        <w:rPr>
          <w:rFonts w:asciiTheme="minorHAnsi" w:hAnsiTheme="minorHAnsi" w:cs="Calibri"/>
          <w:color w:val="000000" w:themeColor="text1"/>
        </w:rPr>
        <w:br/>
      </w:r>
      <w:r w:rsidRPr="00F01D60">
        <w:rPr>
          <w:rFonts w:asciiTheme="minorHAnsi" w:hAnsiTheme="minorHAnsi" w:cs="Calibri"/>
          <w:color w:val="000000" w:themeColor="text1"/>
        </w:rPr>
        <w:t xml:space="preserve">* I nuläget tillgängliga och godkända kombinationer: formoterol med budesonid, </w:t>
      </w:r>
      <w:r>
        <w:rPr>
          <w:rFonts w:asciiTheme="minorHAnsi" w:hAnsiTheme="minorHAnsi" w:cs="Calibri"/>
          <w:color w:val="000000" w:themeColor="text1"/>
        </w:rPr>
        <w:br/>
      </w:r>
      <w:r w:rsidRPr="00F01D60">
        <w:rPr>
          <w:rFonts w:asciiTheme="minorHAnsi" w:hAnsiTheme="minorHAnsi" w:cs="Calibri"/>
          <w:color w:val="000000" w:themeColor="text1"/>
        </w:rPr>
        <w:t xml:space="preserve">formoterol med flutikason </w:t>
      </w:r>
    </w:p>
    <w:p w14:paraId="6A50376A" w14:textId="77777777" w:rsidR="00EC79BD" w:rsidRPr="001F551E" w:rsidRDefault="00EC79BD" w:rsidP="00EC79BD">
      <w:pPr>
        <w:pStyle w:val="Normal4"/>
        <w:spacing w:before="0" w:beforeAutospacing="0" w:after="0" w:afterAutospacing="0"/>
        <w:rPr>
          <w:rStyle w:val="Stark"/>
        </w:rPr>
      </w:pPr>
      <w:r w:rsidRPr="00F01D60">
        <w:rPr>
          <w:rFonts w:asciiTheme="minorHAnsi" w:hAnsiTheme="minorHAnsi" w:cs="Calibri"/>
          <w:color w:val="000000" w:themeColor="text1"/>
        </w:rPr>
        <w:t xml:space="preserve">** vid otillräcklig effekt av </w:t>
      </w:r>
      <w:hyperlink w:anchor="_ORDLISTA" w:history="1">
        <w:r w:rsidRPr="00F01D60">
          <w:rPr>
            <w:rStyle w:val="Hyperlnk"/>
            <w:rFonts w:asciiTheme="minorHAnsi" w:hAnsiTheme="minorHAnsi" w:cs="Calibri"/>
            <w:color w:val="B46400" w:themeColor="accent6" w:themeShade="BF"/>
          </w:rPr>
          <w:t>ICS</w:t>
        </w:r>
      </w:hyperlink>
      <w:r w:rsidRPr="00F01D60">
        <w:rPr>
          <w:rFonts w:asciiTheme="minorHAnsi" w:hAnsiTheme="minorHAnsi" w:cs="Calibri"/>
          <w:color w:val="000000" w:themeColor="text1"/>
        </w:rPr>
        <w:t>+</w:t>
      </w:r>
      <w:hyperlink w:anchor="_ORDLISTA" w:history="1">
        <w:r w:rsidRPr="00F01D60">
          <w:rPr>
            <w:rStyle w:val="Hyperlnk"/>
            <w:rFonts w:asciiTheme="minorHAnsi" w:hAnsiTheme="minorHAnsi" w:cs="Calibri"/>
            <w:color w:val="B46400" w:themeColor="accent6" w:themeShade="BF"/>
          </w:rPr>
          <w:t>LABA</w:t>
        </w:r>
      </w:hyperlink>
      <w:bookmarkEnd w:id="30"/>
    </w:p>
    <w:p w14:paraId="226AD372" w14:textId="77777777" w:rsidR="00EC79BD" w:rsidRPr="001F551E" w:rsidRDefault="00EC79BD" w:rsidP="00EC79BD">
      <w:pPr>
        <w:pStyle w:val="Rubrik3"/>
        <w:rPr>
          <w:rFonts w:cs="Calibri"/>
          <w:szCs w:val="24"/>
        </w:rPr>
      </w:pPr>
      <w:bookmarkStart w:id="31" w:name="_Toc150457965"/>
      <w:r w:rsidRPr="00953B76">
        <w:rPr>
          <w:rFonts w:asciiTheme="minorHAnsi" w:hAnsiTheme="minorHAnsi" w:cs="Calibri"/>
          <w:szCs w:val="24"/>
        </w:rPr>
        <w:t>Akutbehandling i hemmet</w:t>
      </w:r>
      <w:bookmarkEnd w:id="31"/>
      <w:r w:rsidRPr="00953B76">
        <w:rPr>
          <w:rFonts w:ascii="Garamond" w:hAnsi="Garamond" w:cs="Calibri"/>
          <w:b w:val="0"/>
          <w:bCs w:val="0"/>
          <w:szCs w:val="24"/>
        </w:rPr>
        <w:br/>
      </w:r>
      <w:r>
        <w:rPr>
          <w:rFonts w:ascii="Garamond" w:hAnsi="Garamond" w:cs="Calibri"/>
          <w:b w:val="0"/>
          <w:bCs w:val="0"/>
          <w:szCs w:val="24"/>
        </w:rPr>
        <w:t xml:space="preserve">Vid tillfällig försämring eller vid begynnande luftvägsinfektion kan man tre- eller fyrdubbla dosen </w:t>
      </w:r>
      <w:r>
        <w:rPr>
          <w:rFonts w:ascii="Garamond" w:hAnsi="Garamond" w:cs="Calibri"/>
          <w:b w:val="0"/>
          <w:bCs w:val="0"/>
          <w:szCs w:val="24"/>
        </w:rPr>
        <w:br/>
        <w:t xml:space="preserve">ICS i 7-10 dagar till barn som har underhållsbehandling med inhalerad kortikosteroid. </w:t>
      </w:r>
      <w:r w:rsidRPr="001F551E">
        <w:rPr>
          <w:rFonts w:cs="Calibri"/>
          <w:szCs w:val="24"/>
        </w:rPr>
        <w:tab/>
      </w:r>
    </w:p>
    <w:p w14:paraId="773E9281" w14:textId="77777777" w:rsidR="00EC79BD" w:rsidRPr="009D2086" w:rsidRDefault="00EC79BD" w:rsidP="00EC79BD">
      <w:pPr>
        <w:rPr>
          <w:rStyle w:val="Stark"/>
          <w:rFonts w:asciiTheme="minorHAnsi" w:hAnsiTheme="minorHAnsi"/>
          <w:sz w:val="24"/>
          <w:szCs w:val="24"/>
        </w:rPr>
      </w:pPr>
      <w:r w:rsidRPr="009D2086">
        <w:rPr>
          <w:rStyle w:val="Stark"/>
          <w:rFonts w:asciiTheme="minorHAnsi" w:hAnsiTheme="minorHAnsi"/>
          <w:sz w:val="24"/>
          <w:szCs w:val="24"/>
        </w:rPr>
        <w:t>Till småbarn rekommenderas följande akutbehandling i hemmet vid astmaexacerbationer</w:t>
      </w:r>
    </w:p>
    <w:p w14:paraId="368753C1" w14:textId="77777777" w:rsidR="00EC79BD" w:rsidRPr="009D2086" w:rsidRDefault="00EC79BD" w:rsidP="00EC79BD">
      <w:pPr>
        <w:pStyle w:val="Liststycke"/>
        <w:numPr>
          <w:ilvl w:val="2"/>
          <w:numId w:val="78"/>
        </w:numPr>
        <w:rPr>
          <w:rFonts w:asciiTheme="minorHAnsi" w:hAnsiTheme="minorHAnsi" w:cs="Calibri"/>
          <w:i/>
          <w:iCs/>
          <w:sz w:val="24"/>
          <w:szCs w:val="28"/>
          <w:lang w:eastAsia="sv-SE"/>
        </w:rPr>
      </w:pPr>
      <w:r w:rsidRPr="009D2086">
        <w:rPr>
          <w:rFonts w:asciiTheme="minorHAnsi" w:hAnsiTheme="minorHAnsi" w:cs="Calibri"/>
          <w:i/>
          <w:iCs/>
          <w:sz w:val="24"/>
          <w:szCs w:val="28"/>
          <w:lang w:eastAsia="sv-SE"/>
        </w:rPr>
        <w:t xml:space="preserve">Barn under 2 år: </w:t>
      </w:r>
    </w:p>
    <w:p w14:paraId="00A4D461" w14:textId="77777777" w:rsidR="00EC79BD" w:rsidRPr="009D2086" w:rsidRDefault="00EC79BD" w:rsidP="00EC79BD">
      <w:pPr>
        <w:pStyle w:val="Liststycke"/>
        <w:ind w:left="2880"/>
        <w:rPr>
          <w:rFonts w:asciiTheme="minorHAnsi" w:hAnsiTheme="minorHAnsi" w:cs="Calibri"/>
          <w:i/>
          <w:iCs/>
          <w:sz w:val="24"/>
          <w:szCs w:val="28"/>
          <w:lang w:eastAsia="sv-SE"/>
        </w:rPr>
      </w:pPr>
      <w:r w:rsidRPr="009D2086">
        <w:rPr>
          <w:rFonts w:asciiTheme="minorHAnsi" w:hAnsiTheme="minorHAnsi" w:cs="Calibri"/>
          <w:i/>
          <w:iCs/>
          <w:sz w:val="24"/>
          <w:szCs w:val="28"/>
          <w:lang w:eastAsia="sv-SE"/>
        </w:rPr>
        <w:t xml:space="preserve">Salbutamol spray med spacer (0,1 mg/dos) 4 doser </w:t>
      </w:r>
    </w:p>
    <w:p w14:paraId="4E7448BB" w14:textId="77777777" w:rsidR="00EC79BD" w:rsidRPr="009D2086" w:rsidRDefault="00EC79BD" w:rsidP="00EC79BD">
      <w:pPr>
        <w:pStyle w:val="Liststycke"/>
        <w:numPr>
          <w:ilvl w:val="2"/>
          <w:numId w:val="78"/>
        </w:numPr>
        <w:rPr>
          <w:rFonts w:asciiTheme="minorHAnsi" w:hAnsiTheme="minorHAnsi" w:cs="Calibri"/>
          <w:i/>
          <w:iCs/>
          <w:sz w:val="24"/>
          <w:szCs w:val="28"/>
          <w:lang w:eastAsia="sv-SE"/>
        </w:rPr>
      </w:pPr>
      <w:r w:rsidRPr="009D2086">
        <w:rPr>
          <w:rFonts w:asciiTheme="minorHAnsi" w:hAnsiTheme="minorHAnsi" w:cs="Calibri"/>
          <w:i/>
          <w:iCs/>
          <w:sz w:val="24"/>
          <w:szCs w:val="28"/>
          <w:lang w:eastAsia="sv-SE"/>
        </w:rPr>
        <w:t>Barn 2-6 år år</w:t>
      </w:r>
    </w:p>
    <w:p w14:paraId="5E171050" w14:textId="77777777" w:rsidR="00EC79BD" w:rsidRPr="009D2086" w:rsidRDefault="00EC79BD" w:rsidP="00EC79BD">
      <w:pPr>
        <w:pStyle w:val="Liststycke"/>
        <w:ind w:left="2880"/>
        <w:rPr>
          <w:rFonts w:asciiTheme="minorHAnsi" w:hAnsiTheme="minorHAnsi" w:cs="Calibri"/>
          <w:i/>
          <w:iCs/>
          <w:sz w:val="24"/>
          <w:szCs w:val="28"/>
          <w:lang w:eastAsia="sv-SE"/>
        </w:rPr>
      </w:pPr>
      <w:r w:rsidRPr="009D2086">
        <w:rPr>
          <w:rFonts w:asciiTheme="minorHAnsi" w:hAnsiTheme="minorHAnsi" w:cs="Calibri"/>
          <w:i/>
          <w:iCs/>
          <w:sz w:val="24"/>
          <w:szCs w:val="28"/>
          <w:lang w:eastAsia="sv-SE"/>
        </w:rPr>
        <w:t>Salbutamol spray med spacer (0,1 mg/dos) 6 doser</w:t>
      </w:r>
    </w:p>
    <w:p w14:paraId="35D9C553" w14:textId="77777777" w:rsidR="00EC79BD" w:rsidRPr="009D2086" w:rsidRDefault="00EC79BD" w:rsidP="00EC79BD">
      <w:pPr>
        <w:rPr>
          <w:rStyle w:val="Stark"/>
          <w:rFonts w:asciiTheme="minorHAnsi" w:hAnsiTheme="minorHAnsi"/>
          <w:b w:val="0"/>
          <w:bCs/>
          <w:sz w:val="24"/>
          <w:szCs w:val="24"/>
        </w:rPr>
      </w:pPr>
      <w:r w:rsidRPr="009D2086">
        <w:rPr>
          <w:rStyle w:val="Stark"/>
          <w:rFonts w:asciiTheme="minorHAnsi" w:hAnsiTheme="minorHAnsi"/>
          <w:b w:val="0"/>
          <w:bCs/>
          <w:sz w:val="24"/>
          <w:szCs w:val="24"/>
        </w:rPr>
        <w:lastRenderedPageBreak/>
        <w:t>Inhalationen kan upprepas vid behov med 20-30 minuters mellanrum första timmen, sedan glesare, tex 1-2 doser var 3:e till var 4:e timme</w:t>
      </w:r>
    </w:p>
    <w:p w14:paraId="7E73C914" w14:textId="77777777" w:rsidR="00EC79BD" w:rsidRPr="009D2086" w:rsidRDefault="00EC79BD" w:rsidP="00EC79BD">
      <w:pPr>
        <w:rPr>
          <w:rStyle w:val="Stark"/>
          <w:rFonts w:asciiTheme="minorHAnsi" w:hAnsiTheme="minorHAnsi"/>
          <w:b w:val="0"/>
          <w:bCs/>
          <w:sz w:val="24"/>
          <w:szCs w:val="24"/>
        </w:rPr>
      </w:pPr>
    </w:p>
    <w:p w14:paraId="3AF612DB" w14:textId="77777777" w:rsidR="00EC79BD" w:rsidRPr="009D2086" w:rsidRDefault="00EC79BD" w:rsidP="00EC79BD">
      <w:pPr>
        <w:rPr>
          <w:rStyle w:val="Stark"/>
          <w:rFonts w:asciiTheme="minorHAnsi" w:hAnsiTheme="minorHAnsi"/>
          <w:b w:val="0"/>
          <w:bCs/>
          <w:sz w:val="24"/>
          <w:szCs w:val="24"/>
        </w:rPr>
      </w:pPr>
      <w:r w:rsidRPr="009D2086">
        <w:rPr>
          <w:rStyle w:val="Stark"/>
          <w:rFonts w:asciiTheme="minorHAnsi" w:hAnsiTheme="minorHAnsi"/>
          <w:b w:val="0"/>
          <w:bCs/>
          <w:sz w:val="24"/>
          <w:szCs w:val="24"/>
        </w:rPr>
        <w:t>Till skolbarn rekommenderas följande akutbehandling i hemmet/skolan vid astma-exacerbationer</w:t>
      </w:r>
    </w:p>
    <w:p w14:paraId="0D3E2883" w14:textId="77777777" w:rsidR="00EC79BD" w:rsidRPr="009D2086" w:rsidRDefault="00EC79BD" w:rsidP="00EC79BD">
      <w:pPr>
        <w:pStyle w:val="Liststycke"/>
        <w:numPr>
          <w:ilvl w:val="0"/>
          <w:numId w:val="80"/>
        </w:numPr>
        <w:shd w:val="clear" w:color="auto" w:fill="FFFFFF"/>
        <w:tabs>
          <w:tab w:val="clear" w:pos="284"/>
        </w:tabs>
        <w:spacing w:line="240" w:lineRule="auto"/>
        <w:rPr>
          <w:rFonts w:asciiTheme="minorHAnsi" w:eastAsia="Times New Roman" w:hAnsiTheme="minorHAnsi" w:cs="Calibri"/>
          <w:color w:val="000000" w:themeColor="text1"/>
          <w:sz w:val="24"/>
          <w:szCs w:val="28"/>
          <w:lang w:eastAsia="sv-SE"/>
        </w:rPr>
      </w:pPr>
      <w:hyperlink w:anchor="_ORDLISTA" w:history="1">
        <w:r w:rsidRPr="009D2086">
          <w:rPr>
            <w:rStyle w:val="Hyperlnk"/>
            <w:rFonts w:asciiTheme="minorHAnsi" w:eastAsia="Times New Roman" w:hAnsiTheme="minorHAnsi" w:cs="Calibri"/>
            <w:color w:val="B46400" w:themeColor="accent6" w:themeShade="BF"/>
            <w:sz w:val="24"/>
            <w:szCs w:val="28"/>
            <w:lang w:eastAsia="sv-SE"/>
          </w:rPr>
          <w:t>SABA</w:t>
        </w:r>
      </w:hyperlink>
      <w:r w:rsidRPr="009D2086">
        <w:rPr>
          <w:rFonts w:asciiTheme="minorHAnsi" w:eastAsia="Times New Roman" w:hAnsiTheme="minorHAnsi" w:cs="Calibri"/>
          <w:color w:val="000000" w:themeColor="text1"/>
          <w:sz w:val="24"/>
          <w:szCs w:val="28"/>
          <w:lang w:eastAsia="sv-SE"/>
        </w:rPr>
        <w:t xml:space="preserve"> </w:t>
      </w:r>
    </w:p>
    <w:p w14:paraId="24A4F1F9" w14:textId="77777777" w:rsidR="00EC79BD" w:rsidRPr="009D2086" w:rsidRDefault="00EC79BD" w:rsidP="00EC79BD">
      <w:pPr>
        <w:pStyle w:val="Liststycke"/>
        <w:shd w:val="clear" w:color="auto" w:fill="FFFFFF"/>
        <w:tabs>
          <w:tab w:val="clear" w:pos="284"/>
        </w:tabs>
        <w:spacing w:line="240" w:lineRule="auto"/>
        <w:rPr>
          <w:rFonts w:asciiTheme="minorHAnsi" w:eastAsia="Times New Roman" w:hAnsiTheme="minorHAnsi" w:cs="Calibri"/>
          <w:color w:val="000000" w:themeColor="text1"/>
          <w:sz w:val="24"/>
          <w:szCs w:val="28"/>
          <w:lang w:eastAsia="sv-SE"/>
        </w:rPr>
      </w:pPr>
      <w:r w:rsidRPr="009D2086">
        <w:rPr>
          <w:rFonts w:asciiTheme="minorHAnsi" w:eastAsia="Times New Roman" w:hAnsiTheme="minorHAnsi" w:cs="Calibri"/>
          <w:color w:val="000000" w:themeColor="text1"/>
          <w:sz w:val="24"/>
          <w:szCs w:val="28"/>
          <w:lang w:eastAsia="sv-SE"/>
        </w:rPr>
        <w:t>2–4 doser med 20–30 minuters mellanrum första timmen</w:t>
      </w:r>
    </w:p>
    <w:p w14:paraId="66E3A2C3" w14:textId="77777777" w:rsidR="00EC79BD" w:rsidRPr="009D2086" w:rsidRDefault="00EC79BD" w:rsidP="00EC79BD">
      <w:pPr>
        <w:pStyle w:val="Liststycke"/>
        <w:shd w:val="clear" w:color="auto" w:fill="FFFFFF"/>
        <w:tabs>
          <w:tab w:val="clear" w:pos="284"/>
        </w:tabs>
        <w:spacing w:line="240" w:lineRule="auto"/>
        <w:rPr>
          <w:rFonts w:asciiTheme="minorHAnsi" w:eastAsia="Times New Roman" w:hAnsiTheme="minorHAnsi" w:cs="Calibri"/>
          <w:color w:val="000000" w:themeColor="text1"/>
          <w:sz w:val="24"/>
          <w:szCs w:val="28"/>
          <w:lang w:eastAsia="sv-SE"/>
        </w:rPr>
      </w:pPr>
      <w:r w:rsidRPr="009D2086">
        <w:rPr>
          <w:rFonts w:asciiTheme="minorHAnsi" w:eastAsia="Times New Roman" w:hAnsiTheme="minorHAnsi" w:cs="Calibri"/>
          <w:color w:val="000000" w:themeColor="text1"/>
          <w:sz w:val="24"/>
          <w:szCs w:val="28"/>
          <w:lang w:eastAsia="sv-SE"/>
        </w:rPr>
        <w:t>Sedan var 3:e till var 4:e timme</w:t>
      </w:r>
    </w:p>
    <w:p w14:paraId="45E813B7" w14:textId="77777777" w:rsidR="00EC79BD" w:rsidRPr="009D2086" w:rsidRDefault="00EC79BD" w:rsidP="00EC79BD">
      <w:pPr>
        <w:pStyle w:val="Liststycke"/>
        <w:shd w:val="clear" w:color="auto" w:fill="FFFFFF"/>
        <w:tabs>
          <w:tab w:val="clear" w:pos="284"/>
        </w:tabs>
        <w:spacing w:line="240" w:lineRule="auto"/>
        <w:ind w:left="1724" w:firstLine="884"/>
        <w:rPr>
          <w:rFonts w:asciiTheme="minorHAnsi" w:eastAsia="Times New Roman" w:hAnsiTheme="minorHAnsi" w:cs="Calibri"/>
          <w:color w:val="000000" w:themeColor="text1"/>
          <w:sz w:val="24"/>
          <w:szCs w:val="28"/>
          <w:lang w:eastAsia="sv-SE"/>
        </w:rPr>
      </w:pPr>
      <w:r w:rsidRPr="009D2086">
        <w:rPr>
          <w:rFonts w:asciiTheme="minorHAnsi" w:eastAsia="Times New Roman" w:hAnsiTheme="minorHAnsi" w:cs="Calibri"/>
          <w:color w:val="000000" w:themeColor="text1"/>
          <w:sz w:val="24"/>
          <w:szCs w:val="28"/>
          <w:lang w:eastAsia="sv-SE"/>
        </w:rPr>
        <w:t>ELLER</w:t>
      </w:r>
    </w:p>
    <w:p w14:paraId="73493D80" w14:textId="77777777" w:rsidR="00EC79BD" w:rsidRPr="009D2086" w:rsidRDefault="00EC79BD" w:rsidP="00EC79BD">
      <w:pPr>
        <w:pStyle w:val="Liststycke"/>
        <w:numPr>
          <w:ilvl w:val="0"/>
          <w:numId w:val="80"/>
        </w:numPr>
        <w:shd w:val="clear" w:color="auto" w:fill="FFFFFF"/>
        <w:tabs>
          <w:tab w:val="clear" w:pos="284"/>
        </w:tabs>
        <w:spacing w:line="240" w:lineRule="auto"/>
        <w:rPr>
          <w:rFonts w:asciiTheme="minorHAnsi" w:eastAsia="Times New Roman" w:hAnsiTheme="minorHAnsi" w:cs="Calibri"/>
          <w:color w:val="000000" w:themeColor="text1"/>
          <w:sz w:val="24"/>
          <w:szCs w:val="28"/>
          <w:lang w:eastAsia="sv-SE"/>
        </w:rPr>
      </w:pPr>
      <w:r w:rsidRPr="009D2086">
        <w:rPr>
          <w:rFonts w:asciiTheme="minorHAnsi" w:eastAsia="Times New Roman" w:hAnsiTheme="minorHAnsi" w:cs="Calibri"/>
          <w:sz w:val="24"/>
          <w:szCs w:val="28"/>
          <w:lang w:eastAsia="sv-SE"/>
        </w:rPr>
        <w:t>Lägsta dos</w:t>
      </w:r>
      <w:r w:rsidRPr="009D2086">
        <w:rPr>
          <w:rFonts w:asciiTheme="minorHAnsi" w:eastAsia="Times New Roman" w:hAnsiTheme="minorHAnsi" w:cs="Calibri"/>
          <w:color w:val="B46400" w:themeColor="accent6" w:themeShade="BF"/>
          <w:sz w:val="24"/>
          <w:szCs w:val="28"/>
          <w:lang w:eastAsia="sv-SE"/>
        </w:rPr>
        <w:t xml:space="preserve"> </w:t>
      </w:r>
      <w:hyperlink w:anchor="_ORDLISTA" w:history="1">
        <w:r w:rsidRPr="009D2086">
          <w:rPr>
            <w:rStyle w:val="Hyperlnk"/>
            <w:rFonts w:asciiTheme="minorHAnsi" w:eastAsia="Times New Roman" w:hAnsiTheme="minorHAnsi" w:cs="Calibri"/>
            <w:color w:val="B46400" w:themeColor="accent6" w:themeShade="BF"/>
            <w:sz w:val="24"/>
            <w:szCs w:val="28"/>
            <w:lang w:eastAsia="sv-SE"/>
          </w:rPr>
          <w:t>ICS</w:t>
        </w:r>
      </w:hyperlink>
      <w:r w:rsidRPr="009D2086">
        <w:rPr>
          <w:rFonts w:asciiTheme="minorHAnsi" w:eastAsia="Times New Roman" w:hAnsiTheme="minorHAnsi" w:cs="Calibri"/>
          <w:color w:val="000000" w:themeColor="text1"/>
          <w:sz w:val="24"/>
          <w:szCs w:val="28"/>
          <w:lang w:eastAsia="sv-SE"/>
        </w:rPr>
        <w:t>/formoterol</w:t>
      </w:r>
    </w:p>
    <w:p w14:paraId="5BC95886" w14:textId="77777777" w:rsidR="00EC79BD" w:rsidRPr="009D2086" w:rsidRDefault="00EC79BD" w:rsidP="00EC79BD">
      <w:pPr>
        <w:pStyle w:val="Liststycke"/>
        <w:shd w:val="clear" w:color="auto" w:fill="FFFFFF"/>
        <w:tabs>
          <w:tab w:val="clear" w:pos="284"/>
        </w:tabs>
        <w:spacing w:line="240" w:lineRule="auto"/>
        <w:rPr>
          <w:rFonts w:asciiTheme="minorHAnsi" w:eastAsia="Times New Roman" w:hAnsiTheme="minorHAnsi" w:cs="Calibri"/>
          <w:color w:val="000000" w:themeColor="text1"/>
          <w:sz w:val="24"/>
          <w:szCs w:val="28"/>
          <w:lang w:eastAsia="sv-SE"/>
        </w:rPr>
      </w:pPr>
      <w:r w:rsidRPr="009D2086">
        <w:rPr>
          <w:rFonts w:asciiTheme="minorHAnsi" w:eastAsia="Times New Roman" w:hAnsiTheme="minorHAnsi" w:cs="Calibri"/>
          <w:color w:val="000000" w:themeColor="text1"/>
          <w:sz w:val="24"/>
          <w:szCs w:val="28"/>
          <w:lang w:eastAsia="sv-SE"/>
        </w:rPr>
        <w:t>1–2 doser med 30 minuters mellanrum första timmen (max 6 doser per timme)</w:t>
      </w:r>
    </w:p>
    <w:p w14:paraId="565604CA" w14:textId="77777777" w:rsidR="00EC79BD" w:rsidRPr="009D2086" w:rsidRDefault="00EC79BD" w:rsidP="00EC79BD">
      <w:pPr>
        <w:pStyle w:val="Liststycke"/>
        <w:shd w:val="clear" w:color="auto" w:fill="FFFFFF"/>
        <w:tabs>
          <w:tab w:val="clear" w:pos="284"/>
        </w:tabs>
        <w:spacing w:line="240" w:lineRule="auto"/>
        <w:rPr>
          <w:rFonts w:asciiTheme="minorHAnsi" w:eastAsia="Times New Roman" w:hAnsiTheme="minorHAnsi" w:cs="Calibri"/>
          <w:color w:val="000000" w:themeColor="text1"/>
          <w:sz w:val="24"/>
          <w:szCs w:val="28"/>
          <w:lang w:eastAsia="sv-SE"/>
        </w:rPr>
      </w:pPr>
      <w:r w:rsidRPr="009D2086">
        <w:rPr>
          <w:rFonts w:asciiTheme="minorHAnsi" w:eastAsia="Times New Roman" w:hAnsiTheme="minorHAnsi" w:cs="Calibri"/>
          <w:color w:val="000000" w:themeColor="text1"/>
          <w:sz w:val="24"/>
          <w:szCs w:val="28"/>
          <w:lang w:eastAsia="sv-SE"/>
        </w:rPr>
        <w:t>max 8 doser per dygn (6-11 år)</w:t>
      </w:r>
    </w:p>
    <w:p w14:paraId="3D0299BE" w14:textId="77777777" w:rsidR="00EC79BD" w:rsidRPr="009D2086" w:rsidRDefault="00EC79BD" w:rsidP="00EC79BD">
      <w:pPr>
        <w:pStyle w:val="Liststycke"/>
        <w:shd w:val="clear" w:color="auto" w:fill="FFFFFF"/>
        <w:tabs>
          <w:tab w:val="clear" w:pos="284"/>
        </w:tabs>
        <w:spacing w:line="240" w:lineRule="auto"/>
        <w:rPr>
          <w:rFonts w:asciiTheme="minorHAnsi" w:eastAsia="Times New Roman" w:hAnsiTheme="minorHAnsi" w:cs="Calibri"/>
          <w:color w:val="000000" w:themeColor="text1"/>
          <w:sz w:val="24"/>
          <w:szCs w:val="28"/>
          <w:lang w:eastAsia="sv-SE"/>
        </w:rPr>
      </w:pPr>
      <w:r w:rsidRPr="009D2086">
        <w:rPr>
          <w:rFonts w:asciiTheme="minorHAnsi" w:eastAsia="Times New Roman" w:hAnsiTheme="minorHAnsi" w:cs="Calibri"/>
          <w:color w:val="000000" w:themeColor="text1"/>
          <w:sz w:val="24"/>
          <w:szCs w:val="28"/>
          <w:lang w:eastAsia="sv-SE"/>
        </w:rPr>
        <w:t>max 12 doser per dygn (från 12 år)</w:t>
      </w:r>
    </w:p>
    <w:p w14:paraId="27D0D821" w14:textId="77777777" w:rsidR="00EC79BD" w:rsidRPr="003E0491" w:rsidRDefault="00EC79BD" w:rsidP="00EC79BD">
      <w:pPr>
        <w:shd w:val="clear" w:color="auto" w:fill="FFFFFF"/>
        <w:tabs>
          <w:tab w:val="clear" w:pos="284"/>
        </w:tabs>
        <w:spacing w:line="240" w:lineRule="auto"/>
        <w:ind w:left="60"/>
        <w:jc w:val="center"/>
        <w:rPr>
          <w:rStyle w:val="Stark"/>
          <w:rFonts w:asciiTheme="minorHAnsi" w:hAnsiTheme="minorHAnsi"/>
        </w:rPr>
      </w:pPr>
    </w:p>
    <w:p w14:paraId="1200361E" w14:textId="77777777" w:rsidR="00EC79BD" w:rsidRPr="009D2086" w:rsidRDefault="00EC79BD" w:rsidP="00EC79BD">
      <w:pPr>
        <w:shd w:val="clear" w:color="auto" w:fill="FFFFFF"/>
        <w:tabs>
          <w:tab w:val="clear" w:pos="284"/>
        </w:tabs>
        <w:spacing w:line="240" w:lineRule="auto"/>
        <w:ind w:left="60"/>
        <w:jc w:val="center"/>
        <w:rPr>
          <w:rStyle w:val="Stark"/>
          <w:rFonts w:asciiTheme="minorHAnsi" w:hAnsiTheme="minorHAnsi"/>
          <w:bCs/>
          <w:sz w:val="28"/>
          <w:szCs w:val="28"/>
        </w:rPr>
      </w:pPr>
      <w:r w:rsidRPr="009D2086">
        <w:rPr>
          <w:rStyle w:val="Stark"/>
          <w:rFonts w:asciiTheme="minorHAnsi" w:hAnsiTheme="minorHAnsi"/>
          <w:bCs/>
          <w:sz w:val="24"/>
          <w:szCs w:val="24"/>
        </w:rPr>
        <w:t>Vid utebliven effekt eller effekt som varar mindre än två timmar ska sjukvården kontaktas</w:t>
      </w:r>
      <w:r>
        <w:rPr>
          <w:rStyle w:val="Stark"/>
          <w:rFonts w:asciiTheme="minorHAnsi" w:hAnsiTheme="minorHAnsi"/>
          <w:bCs/>
          <w:sz w:val="24"/>
          <w:szCs w:val="24"/>
        </w:rPr>
        <w:t>.</w:t>
      </w:r>
    </w:p>
    <w:p w14:paraId="2D28E55B" w14:textId="77777777" w:rsidR="00EC79BD" w:rsidRPr="001F551E" w:rsidRDefault="00EC79BD" w:rsidP="00EC79BD">
      <w:pPr>
        <w:pStyle w:val="Rubrik3"/>
        <w:rPr>
          <w:rFonts w:cs="Calibri"/>
          <w:szCs w:val="24"/>
        </w:rPr>
      </w:pPr>
      <w:bookmarkStart w:id="32" w:name="_Toc150457966"/>
      <w:r w:rsidRPr="001F551E">
        <w:rPr>
          <w:rFonts w:cs="Calibri"/>
          <w:szCs w:val="24"/>
        </w:rPr>
        <w:t>Akutbehandling inom primärvården</w:t>
      </w:r>
      <w:bookmarkEnd w:id="32"/>
    </w:p>
    <w:p w14:paraId="14F3A057" w14:textId="77777777" w:rsidR="00EC79BD" w:rsidRPr="000C17EB" w:rsidRDefault="00EC79BD" w:rsidP="00EC79BD">
      <w:pPr>
        <w:pStyle w:val="Normal4"/>
        <w:spacing w:before="0" w:beforeAutospacing="0" w:after="0" w:afterAutospacing="0"/>
        <w:rPr>
          <w:rFonts w:asciiTheme="minorHAnsi" w:hAnsiTheme="minorHAnsi" w:cs="Calibri"/>
          <w:color w:val="000000" w:themeColor="text1"/>
        </w:rPr>
      </w:pPr>
      <w:r w:rsidRPr="000C17EB">
        <w:rPr>
          <w:rFonts w:asciiTheme="minorHAnsi" w:hAnsiTheme="minorHAnsi" w:cs="Calibri"/>
          <w:color w:val="000000" w:themeColor="text1"/>
        </w:rPr>
        <w:t xml:space="preserve"> </w:t>
      </w:r>
      <w:r w:rsidRPr="000A374B">
        <w:rPr>
          <w:rFonts w:asciiTheme="minorHAnsi" w:hAnsiTheme="minorHAnsi" w:cs="Calibri"/>
        </w:rPr>
        <w:t>Vårdprogram astma – allergi</w:t>
      </w:r>
      <w:r>
        <w:rPr>
          <w:rFonts w:asciiTheme="minorHAnsi" w:hAnsiTheme="minorHAnsi" w:cs="Calibri"/>
        </w:rPr>
        <w:t xml:space="preserve">, </w:t>
      </w:r>
      <w:r w:rsidRPr="000A374B">
        <w:rPr>
          <w:rFonts w:asciiTheme="minorHAnsi" w:hAnsiTheme="minorHAnsi" w:cs="Calibri"/>
        </w:rPr>
        <w:t xml:space="preserve">barn och ungdomskliniken Blekinge </w:t>
      </w:r>
      <w:r w:rsidRPr="000A374B">
        <w:rPr>
          <w:rFonts w:asciiTheme="minorHAnsi" w:hAnsiTheme="minorHAnsi" w:cs="Calibri"/>
        </w:rPr>
        <w:br/>
      </w:r>
      <w:bookmarkStart w:id="33" w:name="_Hlk150455796"/>
      <w:r w:rsidRPr="000A374B">
        <w:rPr>
          <w:rFonts w:asciiTheme="minorHAnsi" w:hAnsiTheme="minorHAnsi" w:cs="Calibri"/>
        </w:rPr>
        <w:t>Akut-PM nära vård Blekinge</w:t>
      </w:r>
      <w:bookmarkEnd w:id="33"/>
    </w:p>
    <w:p w14:paraId="615AD9A2" w14:textId="77777777" w:rsidR="00EC79BD" w:rsidRPr="00C056A4" w:rsidRDefault="00EC79BD" w:rsidP="00EC79BD">
      <w:pPr>
        <w:pStyle w:val="Normal4"/>
        <w:spacing w:before="0" w:beforeAutospacing="0" w:after="0" w:afterAutospacing="0"/>
        <w:rPr>
          <w:rStyle w:val="Hyperlnk"/>
          <w:rFonts w:asciiTheme="minorHAnsi" w:hAnsiTheme="minorHAnsi" w:cs="Calibri"/>
          <w:color w:val="00A6E2" w:themeColor="accent1"/>
          <w:u w:val="none"/>
        </w:rPr>
      </w:pPr>
      <w:r w:rsidRPr="00C056A4">
        <w:rPr>
          <w:rFonts w:asciiTheme="minorHAnsi" w:hAnsiTheme="minorHAnsi" w:cs="Calibri"/>
        </w:rPr>
        <w:t>Akutbehandling barnläkarföreningen</w:t>
      </w:r>
    </w:p>
    <w:p w14:paraId="755C063F" w14:textId="77777777" w:rsidR="00EC79BD" w:rsidRPr="00953B76" w:rsidRDefault="00EC79BD" w:rsidP="00EC79BD">
      <w:pPr>
        <w:pStyle w:val="Rubrik3"/>
        <w:rPr>
          <w:rFonts w:asciiTheme="minorHAnsi" w:hAnsiTheme="minorHAnsi" w:cs="Calibri"/>
          <w:szCs w:val="24"/>
        </w:rPr>
      </w:pPr>
      <w:bookmarkStart w:id="34" w:name="_Toc150457967"/>
      <w:r w:rsidRPr="00953B76">
        <w:rPr>
          <w:rFonts w:asciiTheme="minorHAnsi" w:hAnsiTheme="minorHAnsi" w:cs="Calibri"/>
          <w:szCs w:val="24"/>
        </w:rPr>
        <w:t>Inhalationsteknik hos barn</w:t>
      </w:r>
      <w:bookmarkEnd w:id="34"/>
      <w:r w:rsidRPr="00953B76">
        <w:rPr>
          <w:rFonts w:asciiTheme="minorHAnsi" w:hAnsiTheme="minorHAnsi" w:cs="Calibri"/>
          <w:szCs w:val="24"/>
        </w:rPr>
        <w:t xml:space="preserve">               </w:t>
      </w:r>
    </w:p>
    <w:p w14:paraId="66689C64" w14:textId="77777777" w:rsidR="00EC79BD" w:rsidRPr="00953B76" w:rsidRDefault="00EC79BD" w:rsidP="00EC79BD">
      <w:pPr>
        <w:pStyle w:val="Liststycke"/>
        <w:numPr>
          <w:ilvl w:val="0"/>
          <w:numId w:val="82"/>
        </w:numPr>
        <w:tabs>
          <w:tab w:val="clear" w:pos="284"/>
        </w:tabs>
        <w:spacing w:after="120" w:line="260" w:lineRule="atLeast"/>
        <w:rPr>
          <w:rFonts w:asciiTheme="minorHAnsi" w:hAnsiTheme="minorHAnsi" w:cs="Calibri"/>
          <w:color w:val="000000" w:themeColor="text1"/>
          <w:sz w:val="24"/>
          <w:szCs w:val="28"/>
        </w:rPr>
      </w:pPr>
      <w:r w:rsidRPr="00953B76">
        <w:rPr>
          <w:rStyle w:val="Stark"/>
          <w:rFonts w:asciiTheme="minorHAnsi" w:hAnsiTheme="minorHAnsi" w:cs="Calibri"/>
          <w:iCs/>
          <w:sz w:val="24"/>
          <w:szCs w:val="28"/>
        </w:rPr>
        <w:t>Barn upp till cirka 3-4 års ålder</w:t>
      </w:r>
      <w:r w:rsidRPr="00953B76">
        <w:rPr>
          <w:rFonts w:asciiTheme="minorHAnsi" w:hAnsiTheme="minorHAnsi" w:cs="Calibri"/>
          <w:iCs/>
          <w:color w:val="000000" w:themeColor="text1"/>
          <w:sz w:val="24"/>
          <w:szCs w:val="28"/>
        </w:rPr>
        <w:t xml:space="preserve"> </w:t>
      </w:r>
      <w:r w:rsidRPr="00953B76">
        <w:rPr>
          <w:rFonts w:asciiTheme="minorHAnsi" w:hAnsiTheme="minorHAnsi" w:cs="Calibri"/>
          <w:iCs/>
          <w:color w:val="000000" w:themeColor="text1"/>
          <w:sz w:val="24"/>
          <w:szCs w:val="28"/>
        </w:rPr>
        <w:br/>
      </w:r>
      <w:r w:rsidRPr="00953B76">
        <w:rPr>
          <w:rFonts w:asciiTheme="minorHAnsi" w:hAnsiTheme="minorHAnsi" w:cs="Calibri"/>
          <w:color w:val="000000" w:themeColor="text1"/>
          <w:sz w:val="24"/>
          <w:szCs w:val="28"/>
        </w:rPr>
        <w:t>Inhalationsspray tillsammans med mask+andningsbehållare/spacer</w:t>
      </w:r>
    </w:p>
    <w:p w14:paraId="56448BC2" w14:textId="77777777" w:rsidR="00EC79BD" w:rsidRPr="00953B76" w:rsidRDefault="00EC79BD" w:rsidP="00EC79BD">
      <w:pPr>
        <w:pStyle w:val="Liststycke"/>
        <w:numPr>
          <w:ilvl w:val="0"/>
          <w:numId w:val="82"/>
        </w:numPr>
        <w:tabs>
          <w:tab w:val="clear" w:pos="284"/>
        </w:tabs>
        <w:spacing w:after="120" w:line="260" w:lineRule="atLeast"/>
        <w:rPr>
          <w:rFonts w:asciiTheme="minorHAnsi" w:hAnsiTheme="minorHAnsi" w:cs="Calibri"/>
          <w:color w:val="000000" w:themeColor="text1"/>
          <w:sz w:val="24"/>
          <w:szCs w:val="28"/>
        </w:rPr>
      </w:pPr>
      <w:r w:rsidRPr="00953B76">
        <w:rPr>
          <w:rStyle w:val="Stark"/>
          <w:rFonts w:asciiTheme="minorHAnsi" w:hAnsiTheme="minorHAnsi" w:cs="Calibri"/>
          <w:iCs/>
          <w:sz w:val="24"/>
          <w:szCs w:val="28"/>
        </w:rPr>
        <w:t>Barn från cirka 4-6 års ålder</w:t>
      </w:r>
      <w:r w:rsidRPr="00953B76">
        <w:rPr>
          <w:rFonts w:asciiTheme="minorHAnsi" w:hAnsiTheme="minorHAnsi" w:cs="Calibri"/>
          <w:color w:val="000000" w:themeColor="text1"/>
          <w:sz w:val="24"/>
          <w:szCs w:val="28"/>
        </w:rPr>
        <w:t xml:space="preserve"> </w:t>
      </w:r>
      <w:r w:rsidRPr="00953B76">
        <w:rPr>
          <w:rFonts w:asciiTheme="minorHAnsi" w:hAnsiTheme="minorHAnsi" w:cs="Calibri"/>
          <w:color w:val="000000" w:themeColor="text1"/>
          <w:sz w:val="24"/>
          <w:szCs w:val="28"/>
        </w:rPr>
        <w:tab/>
      </w:r>
      <w:r w:rsidRPr="00953B76">
        <w:rPr>
          <w:rFonts w:asciiTheme="minorHAnsi" w:hAnsiTheme="minorHAnsi" w:cs="Calibri"/>
          <w:color w:val="000000" w:themeColor="text1"/>
          <w:sz w:val="24"/>
          <w:szCs w:val="28"/>
        </w:rPr>
        <w:br/>
        <w:t>Inhalationsspray tillsammans med andningsbehållare/spacer utan mask (förbättrar läkemedelsupptaget)</w:t>
      </w:r>
    </w:p>
    <w:p w14:paraId="1EB26CBE" w14:textId="77777777" w:rsidR="00EC79BD" w:rsidRPr="00953B76" w:rsidRDefault="00EC79BD" w:rsidP="00EC79BD">
      <w:pPr>
        <w:pStyle w:val="Liststycke"/>
        <w:numPr>
          <w:ilvl w:val="0"/>
          <w:numId w:val="82"/>
        </w:numPr>
        <w:tabs>
          <w:tab w:val="clear" w:pos="284"/>
        </w:tabs>
        <w:spacing w:after="120" w:line="260" w:lineRule="atLeast"/>
        <w:rPr>
          <w:rFonts w:asciiTheme="minorHAnsi" w:hAnsiTheme="minorHAnsi" w:cs="Calibri"/>
          <w:color w:val="000000" w:themeColor="text1"/>
          <w:sz w:val="24"/>
          <w:szCs w:val="28"/>
        </w:rPr>
      </w:pPr>
      <w:r w:rsidRPr="00953B76">
        <w:rPr>
          <w:rStyle w:val="Stark"/>
          <w:rFonts w:asciiTheme="minorHAnsi" w:hAnsiTheme="minorHAnsi" w:cs="Calibri"/>
          <w:iCs/>
          <w:sz w:val="24"/>
          <w:szCs w:val="28"/>
        </w:rPr>
        <w:t>Barn från cirka 6-7 års ålder</w:t>
      </w:r>
      <w:r w:rsidRPr="00953B76">
        <w:rPr>
          <w:rFonts w:asciiTheme="minorHAnsi" w:hAnsiTheme="minorHAnsi" w:cs="Calibri"/>
          <w:color w:val="000000" w:themeColor="text1"/>
          <w:sz w:val="24"/>
          <w:szCs w:val="28"/>
        </w:rPr>
        <w:br/>
        <w:t>Brukar kunna använda pulverinhalator men kan behöva spray+spacer vid svårigheter att få till korrekt teknik särskilt vid försämringar</w:t>
      </w:r>
      <w:r>
        <w:rPr>
          <w:rFonts w:asciiTheme="minorHAnsi" w:hAnsiTheme="minorHAnsi" w:cs="Calibri"/>
          <w:color w:val="000000" w:themeColor="text1"/>
          <w:sz w:val="24"/>
          <w:szCs w:val="28"/>
        </w:rPr>
        <w:t>.</w:t>
      </w:r>
    </w:p>
    <w:p w14:paraId="3E0271A4" w14:textId="77777777" w:rsidR="00EC79BD" w:rsidRPr="00953B76" w:rsidRDefault="00EC79BD" w:rsidP="00EC79BD">
      <w:pPr>
        <w:pStyle w:val="Rubrik3"/>
        <w:rPr>
          <w:rFonts w:asciiTheme="minorHAnsi" w:hAnsiTheme="minorHAnsi" w:cs="Calibri"/>
          <w:szCs w:val="24"/>
        </w:rPr>
      </w:pPr>
      <w:bookmarkStart w:id="35" w:name="_Andningsbehållare/spacers"/>
      <w:bookmarkStart w:id="36" w:name="_Toc150457968"/>
      <w:bookmarkEnd w:id="35"/>
      <w:r w:rsidRPr="00953B76">
        <w:rPr>
          <w:rFonts w:asciiTheme="minorHAnsi" w:hAnsiTheme="minorHAnsi" w:cs="Calibri"/>
          <w:szCs w:val="24"/>
        </w:rPr>
        <w:t>Andningsbehållare/spacers</w:t>
      </w:r>
      <w:bookmarkEnd w:id="36"/>
    </w:p>
    <w:p w14:paraId="7ECE7864" w14:textId="77777777" w:rsidR="00EC79BD" w:rsidRPr="00953B76" w:rsidRDefault="00EC79BD" w:rsidP="00EC79BD">
      <w:pPr>
        <w:pStyle w:val="Oformateradtext"/>
        <w:numPr>
          <w:ilvl w:val="0"/>
          <w:numId w:val="81"/>
        </w:numPr>
        <w:rPr>
          <w:rFonts w:asciiTheme="minorHAnsi" w:hAnsiTheme="minorHAnsi"/>
          <w:b/>
          <w:bCs/>
          <w:szCs w:val="24"/>
        </w:rPr>
      </w:pPr>
      <w:r w:rsidRPr="00953B76">
        <w:rPr>
          <w:rFonts w:asciiTheme="minorHAnsi" w:hAnsiTheme="minorHAnsi"/>
          <w:b/>
          <w:bCs/>
          <w:szCs w:val="24"/>
        </w:rPr>
        <w:t xml:space="preserve">Optichamber Diamond </w:t>
      </w:r>
    </w:p>
    <w:p w14:paraId="51ED9009" w14:textId="77777777" w:rsidR="00EC79BD" w:rsidRPr="000C17EB" w:rsidRDefault="00EC79BD" w:rsidP="00EC79BD">
      <w:pPr>
        <w:pStyle w:val="Oformateradtext"/>
        <w:numPr>
          <w:ilvl w:val="1"/>
          <w:numId w:val="81"/>
        </w:numPr>
        <w:rPr>
          <w:rFonts w:asciiTheme="minorHAnsi" w:hAnsiTheme="minorHAnsi"/>
          <w:szCs w:val="24"/>
        </w:rPr>
      </w:pPr>
      <w:r w:rsidRPr="000C17EB">
        <w:rPr>
          <w:rFonts w:asciiTheme="minorHAnsi" w:hAnsiTheme="minorHAnsi"/>
          <w:szCs w:val="24"/>
        </w:rPr>
        <w:t xml:space="preserve">Med mask: </w:t>
      </w:r>
      <w:r>
        <w:rPr>
          <w:rFonts w:asciiTheme="minorHAnsi" w:hAnsiTheme="minorHAnsi"/>
          <w:szCs w:val="24"/>
        </w:rPr>
        <w:t>6</w:t>
      </w:r>
      <w:r w:rsidRPr="000C17EB">
        <w:rPr>
          <w:rFonts w:asciiTheme="minorHAnsi" w:hAnsiTheme="minorHAnsi"/>
          <w:szCs w:val="24"/>
        </w:rPr>
        <w:t xml:space="preserve"> andetag/puff</w:t>
      </w:r>
    </w:p>
    <w:p w14:paraId="21BB7EEA" w14:textId="77777777" w:rsidR="00EC79BD" w:rsidRPr="000C17EB" w:rsidRDefault="00EC79BD" w:rsidP="00EC79BD">
      <w:pPr>
        <w:pStyle w:val="Oformateradtext"/>
        <w:numPr>
          <w:ilvl w:val="1"/>
          <w:numId w:val="81"/>
        </w:numPr>
        <w:rPr>
          <w:rFonts w:asciiTheme="minorHAnsi" w:hAnsiTheme="minorHAnsi"/>
          <w:szCs w:val="24"/>
        </w:rPr>
      </w:pPr>
      <w:r w:rsidRPr="000C17EB">
        <w:rPr>
          <w:rFonts w:asciiTheme="minorHAnsi" w:hAnsiTheme="minorHAnsi"/>
          <w:szCs w:val="24"/>
        </w:rPr>
        <w:t xml:space="preserve">Utan mask (enbart munstycke): 1 eller fler andetag/puff </w:t>
      </w:r>
    </w:p>
    <w:p w14:paraId="3100A216" w14:textId="77777777" w:rsidR="00EC79BD" w:rsidRPr="00953B76" w:rsidRDefault="00EC79BD" w:rsidP="00EC79BD">
      <w:pPr>
        <w:pStyle w:val="Oformateradtext"/>
        <w:numPr>
          <w:ilvl w:val="0"/>
          <w:numId w:val="81"/>
        </w:numPr>
        <w:rPr>
          <w:rFonts w:asciiTheme="minorHAnsi" w:hAnsiTheme="minorHAnsi"/>
          <w:b/>
          <w:bCs/>
          <w:szCs w:val="24"/>
        </w:rPr>
      </w:pPr>
      <w:r w:rsidRPr="00953B76">
        <w:rPr>
          <w:rFonts w:asciiTheme="minorHAnsi" w:hAnsiTheme="minorHAnsi"/>
          <w:b/>
          <w:bCs/>
          <w:szCs w:val="24"/>
        </w:rPr>
        <w:t>Vortex</w:t>
      </w:r>
      <w:r w:rsidRPr="00953B76">
        <w:rPr>
          <w:rFonts w:asciiTheme="minorHAnsi" w:hAnsiTheme="minorHAnsi"/>
          <w:b/>
          <w:bCs/>
          <w:i/>
          <w:iCs/>
          <w:szCs w:val="24"/>
        </w:rPr>
        <w:t xml:space="preserve"> </w:t>
      </w:r>
    </w:p>
    <w:p w14:paraId="0056FFFC" w14:textId="77777777" w:rsidR="00EC79BD" w:rsidRPr="000C17EB" w:rsidRDefault="00EC79BD" w:rsidP="00EC79BD">
      <w:pPr>
        <w:pStyle w:val="Oformateradtext"/>
        <w:numPr>
          <w:ilvl w:val="1"/>
          <w:numId w:val="81"/>
        </w:numPr>
        <w:rPr>
          <w:rFonts w:asciiTheme="minorHAnsi" w:hAnsiTheme="minorHAnsi"/>
          <w:szCs w:val="24"/>
        </w:rPr>
      </w:pPr>
      <w:r w:rsidRPr="000C17EB">
        <w:rPr>
          <w:rFonts w:asciiTheme="minorHAnsi" w:hAnsiTheme="minorHAnsi"/>
          <w:szCs w:val="24"/>
        </w:rPr>
        <w:t xml:space="preserve">med mask: </w:t>
      </w:r>
    </w:p>
    <w:p w14:paraId="24A71FCB" w14:textId="77777777" w:rsidR="00EC79BD" w:rsidRPr="000C17EB" w:rsidRDefault="00EC79BD" w:rsidP="00EC79BD">
      <w:pPr>
        <w:pStyle w:val="Oformateradtext"/>
        <w:numPr>
          <w:ilvl w:val="2"/>
          <w:numId w:val="81"/>
        </w:numPr>
        <w:rPr>
          <w:rFonts w:asciiTheme="minorHAnsi" w:hAnsiTheme="minorHAnsi"/>
          <w:szCs w:val="24"/>
        </w:rPr>
      </w:pPr>
      <w:r w:rsidRPr="000C17EB">
        <w:rPr>
          <w:rFonts w:asciiTheme="minorHAnsi" w:hAnsiTheme="minorHAnsi"/>
          <w:szCs w:val="24"/>
        </w:rPr>
        <w:t xml:space="preserve">&lt;18 mån: 4-6 andetag/puff 2-4 andetag barn, </w:t>
      </w:r>
    </w:p>
    <w:p w14:paraId="3A7B7FE5" w14:textId="77777777" w:rsidR="00EC79BD" w:rsidRPr="000C17EB" w:rsidRDefault="00EC79BD" w:rsidP="00EC79BD">
      <w:pPr>
        <w:pStyle w:val="Oformateradtext"/>
        <w:numPr>
          <w:ilvl w:val="2"/>
          <w:numId w:val="81"/>
        </w:numPr>
        <w:rPr>
          <w:rFonts w:asciiTheme="minorHAnsi" w:hAnsiTheme="minorHAnsi"/>
          <w:szCs w:val="24"/>
        </w:rPr>
      </w:pPr>
      <w:r w:rsidRPr="000C17EB">
        <w:rPr>
          <w:rFonts w:asciiTheme="minorHAnsi" w:hAnsiTheme="minorHAnsi"/>
          <w:szCs w:val="24"/>
        </w:rPr>
        <w:t xml:space="preserve">&gt;18 mån: 2-4 andetag/puff </w:t>
      </w:r>
    </w:p>
    <w:p w14:paraId="2EE6518E" w14:textId="77777777" w:rsidR="00EC79BD" w:rsidRPr="000C17EB" w:rsidRDefault="00EC79BD" w:rsidP="00EC79BD">
      <w:pPr>
        <w:pStyle w:val="Oformateradtext"/>
        <w:numPr>
          <w:ilvl w:val="2"/>
          <w:numId w:val="81"/>
        </w:numPr>
        <w:rPr>
          <w:rFonts w:asciiTheme="minorHAnsi" w:hAnsiTheme="minorHAnsi"/>
          <w:szCs w:val="24"/>
        </w:rPr>
      </w:pPr>
      <w:r w:rsidRPr="000C17EB">
        <w:rPr>
          <w:rFonts w:asciiTheme="minorHAnsi" w:hAnsiTheme="minorHAnsi"/>
          <w:szCs w:val="24"/>
        </w:rPr>
        <w:t>Till vuxna. 1-2 andetag/puff</w:t>
      </w:r>
    </w:p>
    <w:p w14:paraId="54D37480" w14:textId="77777777" w:rsidR="00EC79BD" w:rsidRPr="008477C7" w:rsidRDefault="00EC79BD" w:rsidP="00EC79BD">
      <w:pPr>
        <w:pStyle w:val="Oformateradtext"/>
        <w:numPr>
          <w:ilvl w:val="1"/>
          <w:numId w:val="81"/>
        </w:numPr>
        <w:rPr>
          <w:rFonts w:asciiTheme="minorHAnsi" w:hAnsiTheme="minorHAnsi"/>
          <w:szCs w:val="24"/>
        </w:rPr>
      </w:pPr>
      <w:r w:rsidRPr="000C17EB">
        <w:rPr>
          <w:rFonts w:asciiTheme="minorHAnsi" w:hAnsiTheme="minorHAnsi"/>
          <w:szCs w:val="24"/>
        </w:rPr>
        <w:t>Inhalation utan mask (enbart munstycke)</w:t>
      </w:r>
    </w:p>
    <w:p w14:paraId="42D5014B" w14:textId="009F736A" w:rsidR="007E0573" w:rsidRDefault="00EC79BD" w:rsidP="007E0573">
      <w:pPr>
        <w:pStyle w:val="Oformateradtext"/>
        <w:numPr>
          <w:ilvl w:val="2"/>
          <w:numId w:val="81"/>
        </w:numPr>
        <w:spacing w:after="120" w:line="260" w:lineRule="atLeast"/>
        <w:rPr>
          <w:rFonts w:asciiTheme="majorHAnsi" w:hAnsiTheme="majorHAnsi"/>
          <w:b/>
          <w:bCs/>
          <w:color w:val="000000" w:themeColor="text1"/>
          <w:szCs w:val="24"/>
        </w:rPr>
      </w:pPr>
      <w:r w:rsidRPr="000C17EB">
        <w:rPr>
          <w:rFonts w:asciiTheme="minorHAnsi" w:hAnsiTheme="minorHAnsi"/>
          <w:szCs w:val="24"/>
        </w:rPr>
        <w:t>1 andetag/puff</w:t>
      </w:r>
      <w:r>
        <w:rPr>
          <w:rFonts w:asciiTheme="minorHAnsi" w:hAnsiTheme="minorHAnsi"/>
          <w:szCs w:val="24"/>
        </w:rPr>
        <w:br/>
      </w:r>
      <w:r>
        <w:rPr>
          <w:rFonts w:asciiTheme="minorHAnsi" w:hAnsiTheme="minorHAnsi"/>
          <w:szCs w:val="24"/>
        </w:rPr>
        <w:br/>
      </w:r>
    </w:p>
    <w:p w14:paraId="35AB3722" w14:textId="77777777" w:rsidR="007E0573" w:rsidRDefault="007E0573" w:rsidP="007E0573">
      <w:pPr>
        <w:pStyle w:val="Oformateradtext"/>
        <w:spacing w:after="120" w:line="260" w:lineRule="atLeast"/>
        <w:rPr>
          <w:rFonts w:asciiTheme="majorHAnsi" w:hAnsiTheme="majorHAnsi"/>
          <w:b/>
          <w:bCs/>
          <w:color w:val="000000" w:themeColor="text1"/>
          <w:szCs w:val="24"/>
        </w:rPr>
      </w:pPr>
    </w:p>
    <w:p w14:paraId="2E08845F" w14:textId="77777777" w:rsidR="007E0573" w:rsidRDefault="007E0573" w:rsidP="007E0573">
      <w:pPr>
        <w:pStyle w:val="Oformateradtext"/>
        <w:spacing w:after="120" w:line="260" w:lineRule="atLeast"/>
        <w:rPr>
          <w:rFonts w:asciiTheme="majorHAnsi" w:hAnsiTheme="majorHAnsi"/>
          <w:b/>
          <w:bCs/>
          <w:color w:val="000000" w:themeColor="text1"/>
          <w:szCs w:val="24"/>
        </w:rPr>
      </w:pPr>
    </w:p>
    <w:p w14:paraId="4F292A04" w14:textId="046EE9B5" w:rsidR="00EC79BD" w:rsidRPr="00C056A4" w:rsidRDefault="00EC79BD" w:rsidP="007E0573">
      <w:pPr>
        <w:pStyle w:val="Oformateradtext"/>
        <w:spacing w:after="120" w:line="260" w:lineRule="atLeast"/>
        <w:rPr>
          <w:rFonts w:asciiTheme="minorHAnsi" w:hAnsiTheme="minorHAnsi"/>
          <w:color w:val="000000" w:themeColor="text1"/>
          <w:szCs w:val="24"/>
        </w:rPr>
      </w:pPr>
      <w:r w:rsidRPr="00C056A4">
        <w:rPr>
          <w:rFonts w:asciiTheme="majorHAnsi" w:hAnsiTheme="majorHAnsi"/>
          <w:b/>
          <w:bCs/>
          <w:color w:val="000000" w:themeColor="text1"/>
          <w:szCs w:val="24"/>
        </w:rPr>
        <w:lastRenderedPageBreak/>
        <w:t>Miljötips</w:t>
      </w:r>
    </w:p>
    <w:p w14:paraId="793DBB49" w14:textId="77777777" w:rsidR="00EC79BD" w:rsidRDefault="00EC79BD" w:rsidP="00EC79BD">
      <w:pPr>
        <w:pStyle w:val="Rubrik3"/>
        <w:spacing w:before="0" w:after="0"/>
        <w:rPr>
          <w:rFonts w:cs="Calibri"/>
          <w:szCs w:val="24"/>
          <w:lang w:eastAsia="sv-SE"/>
        </w:rPr>
      </w:pPr>
      <w:r>
        <w:rPr>
          <w:rFonts w:cs="Calibri"/>
          <w:noProof/>
          <w:szCs w:val="24"/>
          <w:lang w:eastAsia="sv-SE"/>
        </w:rPr>
        <mc:AlternateContent>
          <mc:Choice Requires="wpg">
            <w:drawing>
              <wp:anchor distT="0" distB="0" distL="114300" distR="114300" simplePos="0" relativeHeight="251755520" behindDoc="0" locked="0" layoutInCell="1" allowOverlap="1" wp14:anchorId="67AF42A6" wp14:editId="499CCE25">
                <wp:simplePos x="0" y="0"/>
                <wp:positionH relativeFrom="column">
                  <wp:posOffset>353695</wp:posOffset>
                </wp:positionH>
                <wp:positionV relativeFrom="paragraph">
                  <wp:posOffset>169092</wp:posOffset>
                </wp:positionV>
                <wp:extent cx="5539740" cy="2962910"/>
                <wp:effectExtent l="0" t="0" r="22860" b="27940"/>
                <wp:wrapNone/>
                <wp:docPr id="40" name="Grupp 40"/>
                <wp:cNvGraphicFramePr/>
                <a:graphic xmlns:a="http://schemas.openxmlformats.org/drawingml/2006/main">
                  <a:graphicData uri="http://schemas.microsoft.com/office/word/2010/wordprocessingGroup">
                    <wpg:wgp>
                      <wpg:cNvGrpSpPr/>
                      <wpg:grpSpPr>
                        <a:xfrm>
                          <a:off x="0" y="0"/>
                          <a:ext cx="5539740" cy="2962910"/>
                          <a:chOff x="0" y="0"/>
                          <a:chExt cx="5539740" cy="2962910"/>
                        </a:xfrm>
                      </wpg:grpSpPr>
                      <wps:wsp>
                        <wps:cNvPr id="51" name="Rektangel: rundade hörn 51"/>
                        <wps:cNvSpPr/>
                        <wps:spPr>
                          <a:xfrm>
                            <a:off x="0" y="0"/>
                            <a:ext cx="5539740" cy="2962910"/>
                          </a:xfrm>
                          <a:prstGeom prst="roundRect">
                            <a:avLst/>
                          </a:prstGeom>
                          <a:solidFill>
                            <a:srgbClr val="98C21D">
                              <a:lumMod val="40000"/>
                              <a:lumOff val="60000"/>
                            </a:srgbClr>
                          </a:solidFill>
                          <a:ln w="25400" cap="flat" cmpd="sng" algn="ctr">
                            <a:solidFill>
                              <a:srgbClr val="98C21D">
                                <a:shade val="50000"/>
                              </a:srgbClr>
                            </a:solidFill>
                            <a:prstDash val="solid"/>
                          </a:ln>
                          <a:effectLst/>
                        </wps:spPr>
                        <wps:txbx>
                          <w:txbxContent>
                            <w:p w14:paraId="60F53119" w14:textId="77777777" w:rsidR="00EC79BD" w:rsidRPr="00986AEE" w:rsidRDefault="00EC79BD" w:rsidP="00EC79BD">
                              <w:pPr>
                                <w:pStyle w:val="Rubrik3"/>
                                <w:spacing w:before="0"/>
                                <w:jc w:val="center"/>
                                <w:rPr>
                                  <w:color w:val="164927" w:themeColor="accent4" w:themeShade="80"/>
                                </w:rPr>
                              </w:pPr>
                              <w:bookmarkStart w:id="37" w:name="_Toc150457969"/>
                              <w:r w:rsidRPr="00986AEE">
                                <w:rPr>
                                  <w:color w:val="2D934F" w:themeColor="accent4"/>
                                </w:rPr>
                                <w:t>M</w:t>
                              </w:r>
                              <w:bookmarkEnd w:id="37"/>
                              <w:r w:rsidRPr="00986AEE">
                                <w:rPr>
                                  <w:color w:val="2D934F" w:themeColor="accent4"/>
                                </w:rPr>
                                <w:t>ILJÖTIPS</w:t>
                              </w:r>
                              <w:r w:rsidRPr="00986AEE">
                                <w:rPr>
                                  <w:color w:val="164927" w:themeColor="accent4" w:themeShade="80"/>
                                </w:rPr>
                                <w:br/>
                              </w:r>
                            </w:p>
                            <w:p w14:paraId="3969840B" w14:textId="77777777" w:rsidR="00EC79BD" w:rsidRPr="00986AEE" w:rsidRDefault="00EC79BD" w:rsidP="00EC79BD">
                              <w:pPr>
                                <w:pStyle w:val="Normal4"/>
                                <w:spacing w:before="0" w:beforeAutospacing="0" w:after="0" w:afterAutospacing="0"/>
                                <w:rPr>
                                  <w:rFonts w:ascii="Garamond" w:hAnsi="Garamond" w:cs="Calibri"/>
                                  <w:b/>
                                  <w:bCs/>
                                  <w:color w:val="000000" w:themeColor="text1"/>
                                </w:rPr>
                              </w:pPr>
                              <w:r w:rsidRPr="00986AEE">
                                <w:rPr>
                                  <w:rFonts w:ascii="Garamond" w:hAnsi="Garamond" w:cs="Calibri"/>
                                  <w:i/>
                                  <w:iCs/>
                                  <w:color w:val="404040"/>
                                </w:rPr>
                                <w:t>Spray med drivgas påverkar miljön betydligt mer än pulverinhalatorer på grund av att de innehåller</w:t>
                              </w:r>
                              <w:hyperlink w:anchor="_ORDLISTA" w:history="1">
                                <w:r w:rsidRPr="00986AEE">
                                  <w:rPr>
                                    <w:rStyle w:val="Hyperlnk"/>
                                    <w:rFonts w:ascii="Garamond" w:hAnsi="Garamond" w:cs="Calibri"/>
                                    <w:i/>
                                    <w:iCs/>
                                    <w:color w:val="00A6E2" w:themeColor="accent1"/>
                                    <w:u w:val="none"/>
                                  </w:rPr>
                                  <w:t xml:space="preserve"> </w:t>
                                </w:r>
                                <w:r w:rsidRPr="00986AEE">
                                  <w:rPr>
                                    <w:rStyle w:val="Hyperlnk"/>
                                    <w:rFonts w:ascii="Garamond" w:hAnsi="Garamond" w:cs="Calibri"/>
                                    <w:i/>
                                    <w:iCs/>
                                    <w:color w:val="B46400" w:themeColor="accent6" w:themeShade="BF"/>
                                  </w:rPr>
                                  <w:t>HFC</w:t>
                                </w:r>
                              </w:hyperlink>
                              <w:r w:rsidRPr="00986AEE">
                                <w:rPr>
                                  <w:rFonts w:ascii="Garamond" w:hAnsi="Garamond" w:cs="Calibri"/>
                                  <w:i/>
                                  <w:iCs/>
                                  <w:color w:val="404040"/>
                                </w:rPr>
                                <w:t xml:space="preserve">. </w:t>
                              </w:r>
                              <w:r>
                                <w:rPr>
                                  <w:rFonts w:ascii="Garamond" w:hAnsi="Garamond" w:cs="Calibri"/>
                                  <w:i/>
                                  <w:iCs/>
                                  <w:color w:val="404040"/>
                                </w:rPr>
                                <w:t xml:space="preserve">Pulver- och respimatinhalatorer är ur den aspekten mer miljövänliga.  </w:t>
                              </w:r>
                              <w:r>
                                <w:rPr>
                                  <w:rFonts w:ascii="Garamond" w:hAnsi="Garamond" w:cs="Calibri"/>
                                  <w:i/>
                                  <w:iCs/>
                                  <w:color w:val="404040"/>
                                </w:rPr>
                                <w:br/>
                              </w:r>
                              <w:r w:rsidRPr="00986AEE">
                                <w:rPr>
                                  <w:rFonts w:ascii="Garamond" w:hAnsi="Garamond" w:cs="Calibri"/>
                                  <w:i/>
                                  <w:iCs/>
                                  <w:color w:val="404040"/>
                                </w:rPr>
                                <w:tab/>
                              </w:r>
                            </w:p>
                            <w:p w14:paraId="1FFB6C6B" w14:textId="77777777" w:rsidR="00EC79BD" w:rsidRDefault="00EC79BD" w:rsidP="00EC79BD">
                              <w:pPr>
                                <w:pStyle w:val="Normal4"/>
                                <w:spacing w:before="0" w:beforeAutospacing="0" w:after="0" w:afterAutospacing="0"/>
                                <w:jc w:val="center"/>
                                <w:rPr>
                                  <w:rFonts w:ascii="Garamond" w:hAnsi="Garamond" w:cs="Calibri"/>
                                  <w:b/>
                                  <w:bCs/>
                                  <w:color w:val="000000" w:themeColor="text1"/>
                                </w:rPr>
                              </w:pPr>
                              <w:r w:rsidRPr="00695761">
                                <w:rPr>
                                  <w:rFonts w:ascii="Garamond" w:hAnsi="Garamond" w:cs="Calibri"/>
                                  <w:color w:val="000000" w:themeColor="text1"/>
                                </w:rPr>
                                <w:t xml:space="preserve">Vid val mellan likvärdiga produkter bör klimatpåverkan beaktas men i </w:t>
                              </w:r>
                              <w:r>
                                <w:rPr>
                                  <w:rFonts w:ascii="Garamond" w:hAnsi="Garamond" w:cs="Calibri"/>
                                  <w:b/>
                                  <w:bCs/>
                                  <w:color w:val="000000" w:themeColor="text1"/>
                                </w:rPr>
                                <w:t>första hand är det patientens inhalationsförmåga och preferens som ska prioriteras</w:t>
                              </w:r>
                            </w:p>
                            <w:p w14:paraId="0B7B1739" w14:textId="77777777" w:rsidR="00EC79BD" w:rsidRDefault="00EC79BD" w:rsidP="00EC79BD">
                              <w:pPr>
                                <w:pStyle w:val="Normal4"/>
                                <w:spacing w:before="0" w:beforeAutospacing="0" w:after="0" w:afterAutospacing="0"/>
                                <w:jc w:val="center"/>
                                <w:rPr>
                                  <w:rFonts w:ascii="Garamond" w:hAnsi="Garamond" w:cs="Calibri"/>
                                  <w:b/>
                                  <w:bCs/>
                                  <w:color w:val="000000" w:themeColor="text1"/>
                                </w:rPr>
                              </w:pPr>
                              <w:r>
                                <w:rPr>
                                  <w:rFonts w:ascii="Garamond" w:hAnsi="Garamond" w:cs="Calibri"/>
                                  <w:b/>
                                  <w:bCs/>
                                  <w:color w:val="000000" w:themeColor="text1"/>
                                </w:rPr>
                                <w:t>Hos barn är detta extra viktigt!</w:t>
                              </w:r>
                            </w:p>
                            <w:p w14:paraId="0C368ABA" w14:textId="77777777" w:rsidR="00EC79BD" w:rsidRPr="00986AEE" w:rsidRDefault="00EC79BD" w:rsidP="00EC79BD">
                              <w:pPr>
                                <w:pStyle w:val="Normal4"/>
                                <w:spacing w:before="0" w:beforeAutospacing="0" w:after="0" w:afterAutospacing="0"/>
                                <w:jc w:val="center"/>
                                <w:rPr>
                                  <w:rFonts w:ascii="Garamond" w:hAnsi="Garamond" w:cs="Calibri"/>
                                  <w:b/>
                                  <w:bCs/>
                                  <w:color w:val="000000" w:themeColor="text1"/>
                                </w:rPr>
                              </w:pPr>
                            </w:p>
                            <w:p w14:paraId="2374AAB5" w14:textId="77777777" w:rsidR="00EC79BD" w:rsidRPr="00695761" w:rsidRDefault="00EC79BD" w:rsidP="00EC79BD">
                              <w:pPr>
                                <w:pStyle w:val="Normal4"/>
                                <w:spacing w:before="0" w:beforeAutospacing="0" w:after="240" w:afterAutospacing="0"/>
                                <w:jc w:val="center"/>
                                <w:rPr>
                                  <w:rFonts w:asciiTheme="minorHAnsi" w:hAnsiTheme="minorHAnsi" w:cs="Calibri"/>
                                  <w:color w:val="000000" w:themeColor="text1"/>
                                </w:rPr>
                              </w:pPr>
                              <w:r w:rsidRPr="00695761">
                                <w:rPr>
                                  <w:rFonts w:asciiTheme="minorHAnsi" w:hAnsiTheme="minorHAnsi" w:cs="Calibri"/>
                                  <w:color w:val="000000" w:themeColor="text1"/>
                                </w:rPr>
                                <w:t>Om refillförpackningar finns är det ett miljömässigt klokare val</w:t>
                              </w:r>
                            </w:p>
                            <w:p w14:paraId="4DC5B0E1" w14:textId="77777777" w:rsidR="00EC79BD" w:rsidRDefault="00EC79BD" w:rsidP="00EC79BD">
                              <w:pPr>
                                <w:pStyle w:val="Normal4"/>
                                <w:spacing w:before="0" w:beforeAutospacing="0" w:after="240" w:afterAutospacing="0"/>
                                <w:jc w:val="center"/>
                                <w:rPr>
                                  <w:rFonts w:asciiTheme="minorHAnsi" w:hAnsiTheme="minorHAnsi" w:cs="Calibri"/>
                                  <w:b/>
                                  <w:bCs/>
                                  <w:color w:val="2D934F" w:themeColor="accent4"/>
                                </w:rPr>
                              </w:pPr>
                              <w:r>
                                <w:rPr>
                                  <w:rFonts w:asciiTheme="minorHAnsi" w:hAnsiTheme="minorHAnsi" w:cs="Calibri"/>
                                  <w:color w:val="000000" w:themeColor="text1"/>
                                </w:rPr>
                                <w:t xml:space="preserve">I tabellöversikten över inhalatorerna </w:t>
                              </w:r>
                              <w:r w:rsidRPr="00695761">
                                <w:rPr>
                                  <w:rFonts w:asciiTheme="minorHAnsi" w:hAnsiTheme="minorHAnsi" w:cs="Calibri"/>
                                  <w:color w:val="000000" w:themeColor="text1"/>
                                </w:rPr>
                                <w:t>markera</w:t>
                              </w:r>
                              <w:r>
                                <w:rPr>
                                  <w:rFonts w:asciiTheme="minorHAnsi" w:hAnsiTheme="minorHAnsi" w:cs="Calibri"/>
                                  <w:color w:val="000000" w:themeColor="text1"/>
                                </w:rPr>
                                <w:t>s</w:t>
                              </w:r>
                              <w:r w:rsidRPr="00695761">
                                <w:rPr>
                                  <w:rFonts w:asciiTheme="minorHAnsi" w:hAnsiTheme="minorHAnsi" w:cs="Calibri"/>
                                  <w:color w:val="000000" w:themeColor="text1"/>
                                </w:rPr>
                                <w:t xml:space="preserve"> </w:t>
                              </w:r>
                              <w:r>
                                <w:rPr>
                                  <w:rFonts w:asciiTheme="minorHAnsi" w:hAnsiTheme="minorHAnsi" w:cs="Calibri"/>
                                  <w:color w:val="000000" w:themeColor="text1"/>
                                </w:rPr>
                                <w:t>de</w:t>
                              </w:r>
                              <w:r w:rsidRPr="00695761">
                                <w:rPr>
                                  <w:rFonts w:asciiTheme="minorHAnsi" w:hAnsiTheme="minorHAnsi" w:cs="Calibri"/>
                                  <w:color w:val="000000" w:themeColor="text1"/>
                                </w:rPr>
                                <w:t xml:space="preserve"> utan HFC med</w:t>
                              </w:r>
                              <w:r>
                                <w:rPr>
                                  <w:rFonts w:asciiTheme="minorHAnsi" w:hAnsiTheme="minorHAnsi" w:cs="Calibri"/>
                                  <w:b/>
                                  <w:bCs/>
                                  <w:color w:val="000000" w:themeColor="text1"/>
                                </w:rPr>
                                <w:t xml:space="preserve"> </w:t>
                              </w:r>
                              <w:r w:rsidRPr="00D5747D">
                                <w:rPr>
                                  <w:rFonts w:asciiTheme="minorHAnsi" w:hAnsiTheme="minorHAnsi" w:cs="Calibri"/>
                                  <w:b/>
                                  <w:bCs/>
                                  <w:color w:val="2D934F" w:themeColor="accent4"/>
                                </w:rPr>
                                <w:t xml:space="preserve">M </w:t>
                              </w:r>
                              <w:r w:rsidRPr="00695761">
                                <w:rPr>
                                  <w:rFonts w:asciiTheme="minorHAnsi" w:hAnsiTheme="minorHAnsi" w:cs="Calibri"/>
                                  <w:color w:val="000000" w:themeColor="text1"/>
                                </w:rPr>
                                <w:t xml:space="preserve">och de som har refillalternativ med </w:t>
                              </w:r>
                              <w:r w:rsidRPr="00695761">
                                <w:rPr>
                                  <w:rFonts w:asciiTheme="minorHAnsi" w:hAnsiTheme="minorHAnsi" w:cs="Calibri"/>
                                  <w:noProof/>
                                  <w:color w:val="000000" w:themeColor="text1"/>
                                </w:rPr>
                                <w:t>ett</w:t>
                              </w:r>
                              <w:r>
                                <w:rPr>
                                  <w:rFonts w:asciiTheme="minorHAnsi" w:hAnsiTheme="minorHAnsi" w:cs="Calibri"/>
                                  <w:b/>
                                  <w:bCs/>
                                  <w:noProof/>
                                  <w:color w:val="000000" w:themeColor="text1"/>
                                </w:rPr>
                                <w:t xml:space="preserve"> </w:t>
                              </w:r>
                              <w:r w:rsidRPr="00D5747D">
                                <w:rPr>
                                  <w:rFonts w:asciiTheme="minorHAnsi" w:hAnsiTheme="minorHAnsi" w:cs="Calibri"/>
                                  <w:b/>
                                  <w:bCs/>
                                  <w:color w:val="2D934F" w:themeColor="accent4"/>
                                </w:rPr>
                                <w:t>R</w:t>
                              </w:r>
                            </w:p>
                            <w:p w14:paraId="341F7A63" w14:textId="77777777" w:rsidR="00EC79BD" w:rsidRPr="00B51153" w:rsidRDefault="00EC79BD" w:rsidP="00EC79BD">
                              <w:pPr>
                                <w:pStyle w:val="Normal4"/>
                                <w:spacing w:before="0" w:beforeAutospacing="0" w:after="240" w:afterAutospacing="0"/>
                                <w:jc w:val="center"/>
                                <w:rPr>
                                  <w:rFonts w:asciiTheme="minorHAnsi" w:hAnsiTheme="minorHAnsi" w:cs="Calibri"/>
                                  <w:b/>
                                  <w:bCs/>
                                </w:rPr>
                              </w:pPr>
                              <w:r>
                                <w:rPr>
                                  <w:rFonts w:asciiTheme="minorHAnsi" w:hAnsiTheme="minorHAnsi" w:cs="Calibri"/>
                                  <w:b/>
                                  <w:bCs/>
                                  <w:color w:val="216D3B" w:themeColor="accent4" w:themeShade="BF"/>
                                </w:rPr>
                                <w:t xml:space="preserve"> </w:t>
                              </w:r>
                            </w:p>
                            <w:p w14:paraId="36A6E8DB"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3C3FD893"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78645006"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3B5EE11A"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41EE8414"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764DC0BD"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1FE80BD2" w14:textId="77777777" w:rsidR="00EC79BD" w:rsidRPr="006E6D8C" w:rsidRDefault="00EC79BD" w:rsidP="00EC79BD">
                              <w:pPr>
                                <w:pStyle w:val="Normal4"/>
                                <w:spacing w:before="0" w:beforeAutospacing="0" w:after="240" w:afterAutospacing="0"/>
                                <w:rPr>
                                  <w:rFonts w:ascii="Calibri" w:hAnsi="Calibri" w:cs="Calibri"/>
                                  <w:b/>
                                  <w:bCs/>
                                  <w:color w:val="000000" w:themeColor="text1"/>
                                </w:rPr>
                              </w:pPr>
                            </w:p>
                            <w:p w14:paraId="241A4631" w14:textId="77777777" w:rsidR="00EC79BD" w:rsidRDefault="00EC79BD" w:rsidP="00EC79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0" name="Bild 50" descr="Lövträd med hel fyllning"/>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flipH="1">
                            <a:off x="3429000" y="152400"/>
                            <a:ext cx="338455" cy="338455"/>
                          </a:xfrm>
                          <a:prstGeom prst="rect">
                            <a:avLst/>
                          </a:prstGeom>
                        </pic:spPr>
                      </pic:pic>
                      <pic:pic xmlns:pic="http://schemas.openxmlformats.org/drawingml/2006/picture">
                        <pic:nvPicPr>
                          <pic:cNvPr id="1200761856" name="Bild 1200761856" descr="Lövträd med hel fyllning"/>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flipH="1">
                            <a:off x="1676400" y="196850"/>
                            <a:ext cx="338455" cy="338455"/>
                          </a:xfrm>
                          <a:prstGeom prst="rect">
                            <a:avLst/>
                          </a:prstGeom>
                        </pic:spPr>
                      </pic:pic>
                    </wpg:wgp>
                  </a:graphicData>
                </a:graphic>
              </wp:anchor>
            </w:drawing>
          </mc:Choice>
          <mc:Fallback>
            <w:pict>
              <v:group w14:anchorId="67AF42A6" id="Grupp 40" o:spid="_x0000_s1037" style="position:absolute;margin-left:27.85pt;margin-top:13.3pt;width:436.2pt;height:233.3pt;z-index:251755520" coordsize="55397,2962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">
                <v:roundrect id="Rektangel: rundade hörn 51" o:spid="_x0000_s1038" style="position:absolute;width:55397;height:296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" fillcolor="#daf09b" strokecolor="#6e8e12" strokeweight="2pt">
                  <v:textbox>
                    <w:txbxContent>
                      <w:p w14:paraId="60F53119" w14:textId="77777777" w:rsidR="00EC79BD" w:rsidRPr="00986AEE" w:rsidRDefault="00EC79BD" w:rsidP="00EC79BD">
                        <w:pPr>
                          <w:pStyle w:val="Rubrik3"/>
                          <w:spacing w:before="0"/>
                          <w:jc w:val="center"/>
                          <w:rPr>
                            <w:color w:val="164927" w:themeColor="accent4" w:themeShade="80"/>
                          </w:rPr>
                        </w:pPr>
                        <w:bookmarkStart w:id="38" w:name="_Toc150457969"/>
                        <w:r w:rsidRPr="00986AEE">
                          <w:rPr>
                            <w:color w:val="2D934F" w:themeColor="accent4"/>
                          </w:rPr>
                          <w:t>M</w:t>
                        </w:r>
                        <w:bookmarkEnd w:id="38"/>
                        <w:r w:rsidRPr="00986AEE">
                          <w:rPr>
                            <w:color w:val="2D934F" w:themeColor="accent4"/>
                          </w:rPr>
                          <w:t>ILJÖTIPS</w:t>
                        </w:r>
                        <w:r w:rsidRPr="00986AEE">
                          <w:rPr>
                            <w:color w:val="164927" w:themeColor="accent4" w:themeShade="80"/>
                          </w:rPr>
                          <w:br/>
                        </w:r>
                      </w:p>
                      <w:p w14:paraId="3969840B" w14:textId="77777777" w:rsidR="00EC79BD" w:rsidRPr="00986AEE" w:rsidRDefault="00EC79BD" w:rsidP="00EC79BD">
                        <w:pPr>
                          <w:pStyle w:val="Normal4"/>
                          <w:spacing w:before="0" w:beforeAutospacing="0" w:after="0" w:afterAutospacing="0"/>
                          <w:rPr>
                            <w:rFonts w:ascii="Garamond" w:hAnsi="Garamond" w:cs="Calibri"/>
                            <w:b/>
                            <w:bCs/>
                            <w:color w:val="000000" w:themeColor="text1"/>
                          </w:rPr>
                        </w:pPr>
                        <w:r w:rsidRPr="00986AEE">
                          <w:rPr>
                            <w:rFonts w:ascii="Garamond" w:hAnsi="Garamond" w:cs="Calibri"/>
                            <w:i/>
                            <w:iCs/>
                            <w:color w:val="404040"/>
                          </w:rPr>
                          <w:t>Spray med drivgas påverkar miljön betydligt mer än pulverinhalatorer på grund av att de innehåller</w:t>
                        </w:r>
                        <w:hyperlink w:anchor="_ORDLISTA" w:history="1">
                          <w:r w:rsidRPr="00986AEE">
                            <w:rPr>
                              <w:rStyle w:val="Hyperlnk"/>
                              <w:rFonts w:ascii="Garamond" w:hAnsi="Garamond" w:cs="Calibri"/>
                              <w:i/>
                              <w:iCs/>
                              <w:color w:val="00A6E2" w:themeColor="accent1"/>
                              <w:u w:val="none"/>
                            </w:rPr>
                            <w:t xml:space="preserve"> </w:t>
                          </w:r>
                          <w:r w:rsidRPr="00986AEE">
                            <w:rPr>
                              <w:rStyle w:val="Hyperlnk"/>
                              <w:rFonts w:ascii="Garamond" w:hAnsi="Garamond" w:cs="Calibri"/>
                              <w:i/>
                              <w:iCs/>
                              <w:color w:val="B46400" w:themeColor="accent6" w:themeShade="BF"/>
                            </w:rPr>
                            <w:t>HFC</w:t>
                          </w:r>
                        </w:hyperlink>
                        <w:r w:rsidRPr="00986AEE">
                          <w:rPr>
                            <w:rFonts w:ascii="Garamond" w:hAnsi="Garamond" w:cs="Calibri"/>
                            <w:i/>
                            <w:iCs/>
                            <w:color w:val="404040"/>
                          </w:rPr>
                          <w:t xml:space="preserve">. </w:t>
                        </w:r>
                        <w:r>
                          <w:rPr>
                            <w:rFonts w:ascii="Garamond" w:hAnsi="Garamond" w:cs="Calibri"/>
                            <w:i/>
                            <w:iCs/>
                            <w:color w:val="404040"/>
                          </w:rPr>
                          <w:t xml:space="preserve">Pulver- och respimatinhalatorer är ur den aspekten mer miljövänliga.  </w:t>
                        </w:r>
                        <w:r>
                          <w:rPr>
                            <w:rFonts w:ascii="Garamond" w:hAnsi="Garamond" w:cs="Calibri"/>
                            <w:i/>
                            <w:iCs/>
                            <w:color w:val="404040"/>
                          </w:rPr>
                          <w:br/>
                        </w:r>
                        <w:r w:rsidRPr="00986AEE">
                          <w:rPr>
                            <w:rFonts w:ascii="Garamond" w:hAnsi="Garamond" w:cs="Calibri"/>
                            <w:i/>
                            <w:iCs/>
                            <w:color w:val="404040"/>
                          </w:rPr>
                          <w:tab/>
                        </w:r>
                      </w:p>
                      <w:p w14:paraId="1FFB6C6B" w14:textId="77777777" w:rsidR="00EC79BD" w:rsidRDefault="00EC79BD" w:rsidP="00EC79BD">
                        <w:pPr>
                          <w:pStyle w:val="Normal4"/>
                          <w:spacing w:before="0" w:beforeAutospacing="0" w:after="0" w:afterAutospacing="0"/>
                          <w:jc w:val="center"/>
                          <w:rPr>
                            <w:rFonts w:ascii="Garamond" w:hAnsi="Garamond" w:cs="Calibri"/>
                            <w:b/>
                            <w:bCs/>
                            <w:color w:val="000000" w:themeColor="text1"/>
                          </w:rPr>
                        </w:pPr>
                        <w:r w:rsidRPr="00695761">
                          <w:rPr>
                            <w:rFonts w:ascii="Garamond" w:hAnsi="Garamond" w:cs="Calibri"/>
                            <w:color w:val="000000" w:themeColor="text1"/>
                          </w:rPr>
                          <w:t xml:space="preserve">Vid val mellan likvärdiga produkter bör klimatpåverkan beaktas men i </w:t>
                        </w:r>
                        <w:r>
                          <w:rPr>
                            <w:rFonts w:ascii="Garamond" w:hAnsi="Garamond" w:cs="Calibri"/>
                            <w:b/>
                            <w:bCs/>
                            <w:color w:val="000000" w:themeColor="text1"/>
                          </w:rPr>
                          <w:t>första hand är det patientens inhalationsförmåga och preferens som ska prioriteras</w:t>
                        </w:r>
                      </w:p>
                      <w:p w14:paraId="0B7B1739" w14:textId="77777777" w:rsidR="00EC79BD" w:rsidRDefault="00EC79BD" w:rsidP="00EC79BD">
                        <w:pPr>
                          <w:pStyle w:val="Normal4"/>
                          <w:spacing w:before="0" w:beforeAutospacing="0" w:after="0" w:afterAutospacing="0"/>
                          <w:jc w:val="center"/>
                          <w:rPr>
                            <w:rFonts w:ascii="Garamond" w:hAnsi="Garamond" w:cs="Calibri"/>
                            <w:b/>
                            <w:bCs/>
                            <w:color w:val="000000" w:themeColor="text1"/>
                          </w:rPr>
                        </w:pPr>
                        <w:r>
                          <w:rPr>
                            <w:rFonts w:ascii="Garamond" w:hAnsi="Garamond" w:cs="Calibri"/>
                            <w:b/>
                            <w:bCs/>
                            <w:color w:val="000000" w:themeColor="text1"/>
                          </w:rPr>
                          <w:t>Hos barn är detta extra viktigt!</w:t>
                        </w:r>
                      </w:p>
                      <w:p w14:paraId="0C368ABA" w14:textId="77777777" w:rsidR="00EC79BD" w:rsidRPr="00986AEE" w:rsidRDefault="00EC79BD" w:rsidP="00EC79BD">
                        <w:pPr>
                          <w:pStyle w:val="Normal4"/>
                          <w:spacing w:before="0" w:beforeAutospacing="0" w:after="0" w:afterAutospacing="0"/>
                          <w:jc w:val="center"/>
                          <w:rPr>
                            <w:rFonts w:ascii="Garamond" w:hAnsi="Garamond" w:cs="Calibri"/>
                            <w:b/>
                            <w:bCs/>
                            <w:color w:val="000000" w:themeColor="text1"/>
                          </w:rPr>
                        </w:pPr>
                      </w:p>
                      <w:p w14:paraId="2374AAB5" w14:textId="77777777" w:rsidR="00EC79BD" w:rsidRPr="00695761" w:rsidRDefault="00EC79BD" w:rsidP="00EC79BD">
                        <w:pPr>
                          <w:pStyle w:val="Normal4"/>
                          <w:spacing w:before="0" w:beforeAutospacing="0" w:after="240" w:afterAutospacing="0"/>
                          <w:jc w:val="center"/>
                          <w:rPr>
                            <w:rFonts w:asciiTheme="minorHAnsi" w:hAnsiTheme="minorHAnsi" w:cs="Calibri"/>
                            <w:color w:val="000000" w:themeColor="text1"/>
                          </w:rPr>
                        </w:pPr>
                        <w:r w:rsidRPr="00695761">
                          <w:rPr>
                            <w:rFonts w:asciiTheme="minorHAnsi" w:hAnsiTheme="minorHAnsi" w:cs="Calibri"/>
                            <w:color w:val="000000" w:themeColor="text1"/>
                          </w:rPr>
                          <w:t>Om refillförpackningar finns är det ett miljömässigt klokare val</w:t>
                        </w:r>
                      </w:p>
                      <w:p w14:paraId="4DC5B0E1" w14:textId="77777777" w:rsidR="00EC79BD" w:rsidRDefault="00EC79BD" w:rsidP="00EC79BD">
                        <w:pPr>
                          <w:pStyle w:val="Normal4"/>
                          <w:spacing w:before="0" w:beforeAutospacing="0" w:after="240" w:afterAutospacing="0"/>
                          <w:jc w:val="center"/>
                          <w:rPr>
                            <w:rFonts w:asciiTheme="minorHAnsi" w:hAnsiTheme="minorHAnsi" w:cs="Calibri"/>
                            <w:b/>
                            <w:bCs/>
                            <w:color w:val="2D934F" w:themeColor="accent4"/>
                          </w:rPr>
                        </w:pPr>
                        <w:r>
                          <w:rPr>
                            <w:rFonts w:asciiTheme="minorHAnsi" w:hAnsiTheme="minorHAnsi" w:cs="Calibri"/>
                            <w:color w:val="000000" w:themeColor="text1"/>
                          </w:rPr>
                          <w:t xml:space="preserve">I tabellöversikten över inhalatorerna </w:t>
                        </w:r>
                        <w:r w:rsidRPr="00695761">
                          <w:rPr>
                            <w:rFonts w:asciiTheme="minorHAnsi" w:hAnsiTheme="minorHAnsi" w:cs="Calibri"/>
                            <w:color w:val="000000" w:themeColor="text1"/>
                          </w:rPr>
                          <w:t>markera</w:t>
                        </w:r>
                        <w:r>
                          <w:rPr>
                            <w:rFonts w:asciiTheme="minorHAnsi" w:hAnsiTheme="minorHAnsi" w:cs="Calibri"/>
                            <w:color w:val="000000" w:themeColor="text1"/>
                          </w:rPr>
                          <w:t>s</w:t>
                        </w:r>
                        <w:r w:rsidRPr="00695761">
                          <w:rPr>
                            <w:rFonts w:asciiTheme="minorHAnsi" w:hAnsiTheme="minorHAnsi" w:cs="Calibri"/>
                            <w:color w:val="000000" w:themeColor="text1"/>
                          </w:rPr>
                          <w:t xml:space="preserve"> </w:t>
                        </w:r>
                        <w:r>
                          <w:rPr>
                            <w:rFonts w:asciiTheme="minorHAnsi" w:hAnsiTheme="minorHAnsi" w:cs="Calibri"/>
                            <w:color w:val="000000" w:themeColor="text1"/>
                          </w:rPr>
                          <w:t>de</w:t>
                        </w:r>
                        <w:r w:rsidRPr="00695761">
                          <w:rPr>
                            <w:rFonts w:asciiTheme="minorHAnsi" w:hAnsiTheme="minorHAnsi" w:cs="Calibri"/>
                            <w:color w:val="000000" w:themeColor="text1"/>
                          </w:rPr>
                          <w:t xml:space="preserve"> utan HFC med</w:t>
                        </w:r>
                        <w:r>
                          <w:rPr>
                            <w:rFonts w:asciiTheme="minorHAnsi" w:hAnsiTheme="minorHAnsi" w:cs="Calibri"/>
                            <w:b/>
                            <w:bCs/>
                            <w:color w:val="000000" w:themeColor="text1"/>
                          </w:rPr>
                          <w:t xml:space="preserve"> </w:t>
                        </w:r>
                        <w:r w:rsidRPr="00D5747D">
                          <w:rPr>
                            <w:rFonts w:asciiTheme="minorHAnsi" w:hAnsiTheme="minorHAnsi" w:cs="Calibri"/>
                            <w:b/>
                            <w:bCs/>
                            <w:color w:val="2D934F" w:themeColor="accent4"/>
                          </w:rPr>
                          <w:t xml:space="preserve">M </w:t>
                        </w:r>
                        <w:r w:rsidRPr="00695761">
                          <w:rPr>
                            <w:rFonts w:asciiTheme="minorHAnsi" w:hAnsiTheme="minorHAnsi" w:cs="Calibri"/>
                            <w:color w:val="000000" w:themeColor="text1"/>
                          </w:rPr>
                          <w:t xml:space="preserve">och de som har refillalternativ med </w:t>
                        </w:r>
                        <w:r w:rsidRPr="00695761">
                          <w:rPr>
                            <w:rFonts w:asciiTheme="minorHAnsi" w:hAnsiTheme="minorHAnsi" w:cs="Calibri"/>
                            <w:noProof/>
                            <w:color w:val="000000" w:themeColor="text1"/>
                          </w:rPr>
                          <w:t>ett</w:t>
                        </w:r>
                        <w:r>
                          <w:rPr>
                            <w:rFonts w:asciiTheme="minorHAnsi" w:hAnsiTheme="minorHAnsi" w:cs="Calibri"/>
                            <w:b/>
                            <w:bCs/>
                            <w:noProof/>
                            <w:color w:val="000000" w:themeColor="text1"/>
                          </w:rPr>
                          <w:t xml:space="preserve"> </w:t>
                        </w:r>
                        <w:r w:rsidRPr="00D5747D">
                          <w:rPr>
                            <w:rFonts w:asciiTheme="minorHAnsi" w:hAnsiTheme="minorHAnsi" w:cs="Calibri"/>
                            <w:b/>
                            <w:bCs/>
                            <w:color w:val="2D934F" w:themeColor="accent4"/>
                          </w:rPr>
                          <w:t>R</w:t>
                        </w:r>
                      </w:p>
                      <w:p w14:paraId="341F7A63" w14:textId="77777777" w:rsidR="00EC79BD" w:rsidRPr="00B51153" w:rsidRDefault="00EC79BD" w:rsidP="00EC79BD">
                        <w:pPr>
                          <w:pStyle w:val="Normal4"/>
                          <w:spacing w:before="0" w:beforeAutospacing="0" w:after="240" w:afterAutospacing="0"/>
                          <w:jc w:val="center"/>
                          <w:rPr>
                            <w:rFonts w:asciiTheme="minorHAnsi" w:hAnsiTheme="minorHAnsi" w:cs="Calibri"/>
                            <w:b/>
                            <w:bCs/>
                          </w:rPr>
                        </w:pPr>
                        <w:r>
                          <w:rPr>
                            <w:rFonts w:asciiTheme="minorHAnsi" w:hAnsiTheme="minorHAnsi" w:cs="Calibri"/>
                            <w:b/>
                            <w:bCs/>
                            <w:color w:val="216D3B" w:themeColor="accent4" w:themeShade="BF"/>
                          </w:rPr>
                          <w:t xml:space="preserve"> </w:t>
                        </w:r>
                      </w:p>
                      <w:p w14:paraId="36A6E8DB"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3C3FD893"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78645006"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3B5EE11A"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41EE8414"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764DC0BD"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1FE80BD2" w14:textId="77777777" w:rsidR="00EC79BD" w:rsidRPr="006E6D8C" w:rsidRDefault="00EC79BD" w:rsidP="00EC79BD">
                        <w:pPr>
                          <w:pStyle w:val="Normal4"/>
                          <w:spacing w:before="0" w:beforeAutospacing="0" w:after="240" w:afterAutospacing="0"/>
                          <w:rPr>
                            <w:rFonts w:ascii="Calibri" w:hAnsi="Calibri" w:cs="Calibri"/>
                            <w:b/>
                            <w:bCs/>
                            <w:color w:val="000000" w:themeColor="text1"/>
                          </w:rPr>
                        </w:pPr>
                      </w:p>
                      <w:p w14:paraId="241A4631" w14:textId="77777777" w:rsidR="00EC79BD" w:rsidRDefault="00EC79BD" w:rsidP="00EC79BD">
                        <w:pPr>
                          <w:jc w:val="center"/>
                        </w:pPr>
                      </w:p>
                    </w:txbxContent>
                  </v:textbox>
                </v:roundrect>
                <v:shape id="Bild 50" o:spid="_x0000_s1039" type="#_x0000_t75" alt="Lövträd med hel fyllning" style="position:absolute;left:34290;top:1524;width:3384;height:338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">
                  <v:imagedata r:id="rId20" o:title="Lövträd med hel fyllning"/>
                </v:shape>
                <v:shape id="Bild 1200761856" o:spid="_x0000_s1040" type="#_x0000_t75" alt="Lövträd med hel fyllning" style="position:absolute;left:16764;top:1968;width:3384;height:338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">
                  <v:imagedata r:id="rId20" o:title="Lövträd med hel fyllning"/>
                </v:shape>
              </v:group>
            </w:pict>
          </mc:Fallback>
        </mc:AlternateContent>
      </w:r>
    </w:p>
    <w:p w14:paraId="5046C592" w14:textId="77777777" w:rsidR="00EC79BD" w:rsidRDefault="00EC79BD" w:rsidP="00EC79BD">
      <w:pPr>
        <w:pStyle w:val="Rubrik3"/>
        <w:spacing w:before="0" w:after="0"/>
        <w:rPr>
          <w:rFonts w:cs="Calibri"/>
          <w:szCs w:val="24"/>
          <w:lang w:eastAsia="sv-SE"/>
        </w:rPr>
      </w:pPr>
    </w:p>
    <w:p w14:paraId="09ECB09A" w14:textId="77777777" w:rsidR="007E0573" w:rsidRDefault="007E0573" w:rsidP="00EC79BD">
      <w:pPr>
        <w:pStyle w:val="Rubrik3"/>
        <w:rPr>
          <w:lang w:eastAsia="sv-SE"/>
        </w:rPr>
      </w:pPr>
    </w:p>
    <w:p w14:paraId="21D68E7B" w14:textId="77777777" w:rsidR="007E0573" w:rsidRDefault="007E0573" w:rsidP="00EC79BD">
      <w:pPr>
        <w:pStyle w:val="Rubrik3"/>
        <w:rPr>
          <w:lang w:eastAsia="sv-SE"/>
        </w:rPr>
      </w:pPr>
    </w:p>
    <w:p w14:paraId="00D91621" w14:textId="77777777" w:rsidR="007E0573" w:rsidRDefault="007E0573" w:rsidP="00EC79BD">
      <w:pPr>
        <w:pStyle w:val="Rubrik3"/>
        <w:rPr>
          <w:lang w:eastAsia="sv-SE"/>
        </w:rPr>
      </w:pPr>
    </w:p>
    <w:p w14:paraId="66E712B9" w14:textId="77777777" w:rsidR="007E0573" w:rsidRDefault="007E0573" w:rsidP="00EC79BD">
      <w:pPr>
        <w:pStyle w:val="Rubrik3"/>
        <w:rPr>
          <w:lang w:eastAsia="sv-SE"/>
        </w:rPr>
      </w:pPr>
    </w:p>
    <w:p w14:paraId="53AF3064" w14:textId="77777777" w:rsidR="007E0573" w:rsidRDefault="007E0573" w:rsidP="00EC79BD">
      <w:pPr>
        <w:pStyle w:val="Rubrik3"/>
        <w:rPr>
          <w:lang w:eastAsia="sv-SE"/>
        </w:rPr>
      </w:pPr>
    </w:p>
    <w:p w14:paraId="6FF97C6A" w14:textId="77777777" w:rsidR="007E0573" w:rsidRDefault="007E0573" w:rsidP="00EC79BD">
      <w:pPr>
        <w:pStyle w:val="Rubrik3"/>
        <w:rPr>
          <w:lang w:eastAsia="sv-SE"/>
        </w:rPr>
      </w:pPr>
    </w:p>
    <w:p w14:paraId="592E5801" w14:textId="77777777" w:rsidR="007E0573" w:rsidRDefault="007E0573" w:rsidP="00EC79BD">
      <w:pPr>
        <w:pStyle w:val="Rubrik3"/>
        <w:rPr>
          <w:lang w:eastAsia="sv-SE"/>
        </w:rPr>
      </w:pPr>
    </w:p>
    <w:p w14:paraId="38228F76" w14:textId="5126D10A" w:rsidR="00EC79BD" w:rsidRPr="001F551E" w:rsidRDefault="00EC79BD" w:rsidP="00EC79BD">
      <w:pPr>
        <w:pStyle w:val="Rubrik3"/>
        <w:rPr>
          <w:lang w:eastAsia="sv-SE"/>
        </w:rPr>
      </w:pPr>
      <w:r w:rsidRPr="001F551E">
        <w:rPr>
          <w:lang w:eastAsia="sv-SE"/>
        </w:rPr>
        <w:t>Biverkningar</w:t>
      </w:r>
    </w:p>
    <w:p w14:paraId="20E6823A" w14:textId="77777777" w:rsidR="00EC79BD" w:rsidRPr="00953B76" w:rsidRDefault="00EC79BD" w:rsidP="00EC79BD">
      <w:pPr>
        <w:shd w:val="clear" w:color="auto" w:fill="FFFFFF"/>
        <w:tabs>
          <w:tab w:val="clear" w:pos="284"/>
        </w:tabs>
        <w:spacing w:line="240" w:lineRule="auto"/>
        <w:rPr>
          <w:rStyle w:val="Stark"/>
          <w:rFonts w:asciiTheme="minorHAnsi" w:hAnsiTheme="minorHAnsi"/>
          <w:b w:val="0"/>
          <w:bCs/>
          <w:sz w:val="24"/>
          <w:szCs w:val="24"/>
        </w:rPr>
      </w:pPr>
      <w:r w:rsidRPr="00953B76">
        <w:rPr>
          <w:rStyle w:val="Stark"/>
          <w:rFonts w:asciiTheme="minorHAnsi" w:hAnsiTheme="minorHAnsi"/>
          <w:b w:val="0"/>
          <w:bCs/>
          <w:sz w:val="24"/>
          <w:szCs w:val="24"/>
        </w:rPr>
        <w:t>Astmaläkemedel är generellt sett säkra.</w:t>
      </w:r>
    </w:p>
    <w:p w14:paraId="461EB52D" w14:textId="77777777" w:rsidR="00EC79BD" w:rsidRPr="00953B76" w:rsidRDefault="00EC79BD" w:rsidP="00EC79BD">
      <w:pPr>
        <w:shd w:val="clear" w:color="auto" w:fill="FFFFFF"/>
        <w:tabs>
          <w:tab w:val="clear" w:pos="284"/>
        </w:tabs>
        <w:spacing w:line="240" w:lineRule="auto"/>
        <w:rPr>
          <w:rStyle w:val="Stark"/>
          <w:rFonts w:asciiTheme="minorHAnsi" w:hAnsiTheme="minorHAnsi"/>
          <w:b w:val="0"/>
          <w:bCs/>
          <w:sz w:val="24"/>
          <w:szCs w:val="24"/>
        </w:rPr>
      </w:pPr>
      <w:r w:rsidRPr="00953B76">
        <w:rPr>
          <w:rStyle w:val="Stark"/>
          <w:rFonts w:asciiTheme="minorHAnsi" w:hAnsiTheme="minorHAnsi"/>
          <w:b w:val="0"/>
          <w:bCs/>
          <w:sz w:val="24"/>
          <w:szCs w:val="24"/>
        </w:rPr>
        <w:t>Det är dock viktigt att följa upp biverkningar då de kan leda till försämrad följsamhet</w:t>
      </w:r>
      <w:r w:rsidRPr="00953B76">
        <w:rPr>
          <w:rStyle w:val="Stark"/>
          <w:rFonts w:asciiTheme="minorHAnsi" w:hAnsiTheme="minorHAnsi"/>
          <w:b w:val="0"/>
          <w:bCs/>
          <w:sz w:val="24"/>
          <w:szCs w:val="24"/>
        </w:rPr>
        <w:br/>
        <w:t>Nedan följer ett urval av biverkningar som är bra att känna till</w:t>
      </w:r>
      <w:r w:rsidRPr="00953B76">
        <w:rPr>
          <w:rStyle w:val="Stark"/>
          <w:rFonts w:asciiTheme="minorHAnsi" w:hAnsiTheme="minorHAnsi"/>
          <w:b w:val="0"/>
          <w:bCs/>
          <w:sz w:val="24"/>
          <w:szCs w:val="24"/>
        </w:rPr>
        <w:br/>
      </w:r>
    </w:p>
    <w:p w14:paraId="23194B7A" w14:textId="77777777" w:rsidR="00EC79BD" w:rsidRPr="00953B76" w:rsidRDefault="00EC79BD" w:rsidP="00EC79BD">
      <w:pPr>
        <w:pStyle w:val="Liststycke"/>
        <w:numPr>
          <w:ilvl w:val="0"/>
          <w:numId w:val="83"/>
        </w:numPr>
        <w:shd w:val="clear" w:color="auto" w:fill="FFFFFF"/>
        <w:tabs>
          <w:tab w:val="clear" w:pos="284"/>
        </w:tabs>
        <w:spacing w:line="240" w:lineRule="auto"/>
        <w:rPr>
          <w:rFonts w:asciiTheme="minorHAnsi" w:eastAsia="Times New Roman" w:hAnsiTheme="minorHAnsi" w:cs="Calibri"/>
          <w:color w:val="000000" w:themeColor="text1"/>
          <w:sz w:val="24"/>
          <w:szCs w:val="28"/>
          <w:lang w:eastAsia="sv-SE"/>
        </w:rPr>
      </w:pPr>
      <w:hyperlink w:anchor="_ORDLISTA" w:history="1">
        <w:r w:rsidRPr="00953B76">
          <w:rPr>
            <w:rStyle w:val="Hyperlnk"/>
            <w:rFonts w:asciiTheme="minorHAnsi" w:eastAsia="Times New Roman" w:hAnsiTheme="minorHAnsi" w:cs="Calibri"/>
            <w:color w:val="B46400" w:themeColor="accent6" w:themeShade="BF"/>
            <w:sz w:val="24"/>
            <w:szCs w:val="28"/>
            <w:lang w:eastAsia="sv-SE"/>
          </w:rPr>
          <w:t>ICS</w:t>
        </w:r>
      </w:hyperlink>
      <w:r w:rsidRPr="00953B76">
        <w:rPr>
          <w:rFonts w:asciiTheme="minorHAnsi" w:eastAsia="Times New Roman" w:hAnsiTheme="minorHAnsi" w:cs="Calibri"/>
          <w:color w:val="000000" w:themeColor="text1"/>
          <w:sz w:val="24"/>
          <w:szCs w:val="28"/>
          <w:lang w:eastAsia="sv-SE"/>
        </w:rPr>
        <w:t>: candida, psykiska (ovanligt), tillväxthämning (mycket ovanligt), binjurebarkspåverkan (mycket ovanligt).</w:t>
      </w:r>
    </w:p>
    <w:p w14:paraId="1C714FC7" w14:textId="77777777" w:rsidR="00EC79BD" w:rsidRPr="00953B76" w:rsidRDefault="00EC79BD" w:rsidP="00EC79BD">
      <w:pPr>
        <w:pStyle w:val="Liststycke"/>
        <w:numPr>
          <w:ilvl w:val="0"/>
          <w:numId w:val="83"/>
        </w:numPr>
        <w:shd w:val="clear" w:color="auto" w:fill="FFFFFF"/>
        <w:tabs>
          <w:tab w:val="clear" w:pos="284"/>
        </w:tabs>
        <w:spacing w:line="240" w:lineRule="auto"/>
        <w:rPr>
          <w:rFonts w:asciiTheme="minorHAnsi" w:eastAsia="Times New Roman" w:hAnsiTheme="minorHAnsi" w:cs="Calibri"/>
          <w:color w:val="000000" w:themeColor="text1"/>
          <w:sz w:val="24"/>
          <w:szCs w:val="28"/>
          <w:lang w:eastAsia="sv-SE"/>
        </w:rPr>
      </w:pPr>
      <w:hyperlink w:anchor="_ORDLISTA" w:history="1">
        <w:r w:rsidRPr="00953B76">
          <w:rPr>
            <w:rStyle w:val="Hyperlnk"/>
            <w:rFonts w:asciiTheme="minorHAnsi" w:eastAsia="Times New Roman" w:hAnsiTheme="minorHAnsi" w:cs="Calibri"/>
            <w:color w:val="B46400" w:themeColor="accent6" w:themeShade="BF"/>
            <w:sz w:val="24"/>
            <w:szCs w:val="28"/>
            <w:lang w:eastAsia="sv-SE"/>
          </w:rPr>
          <w:t>SABA</w:t>
        </w:r>
      </w:hyperlink>
      <w:r w:rsidRPr="00953B76">
        <w:rPr>
          <w:rFonts w:asciiTheme="minorHAnsi" w:eastAsia="Times New Roman" w:hAnsiTheme="minorHAnsi" w:cs="Calibri"/>
          <w:color w:val="000000" w:themeColor="text1"/>
          <w:sz w:val="24"/>
          <w:szCs w:val="28"/>
          <w:lang w:eastAsia="sv-SE"/>
        </w:rPr>
        <w:t>/</w:t>
      </w:r>
      <w:hyperlink w:anchor="_ORDLISTA" w:history="1">
        <w:r w:rsidRPr="00953B76">
          <w:rPr>
            <w:rStyle w:val="Hyperlnk"/>
            <w:rFonts w:asciiTheme="minorHAnsi" w:eastAsia="Times New Roman" w:hAnsiTheme="minorHAnsi" w:cs="Calibri"/>
            <w:color w:val="B46400" w:themeColor="accent6" w:themeShade="BF"/>
            <w:sz w:val="24"/>
            <w:szCs w:val="28"/>
            <w:lang w:eastAsia="sv-SE"/>
          </w:rPr>
          <w:t>LABA</w:t>
        </w:r>
      </w:hyperlink>
      <w:r w:rsidRPr="00953B76">
        <w:rPr>
          <w:rFonts w:asciiTheme="minorHAnsi" w:eastAsia="Times New Roman" w:hAnsiTheme="minorHAnsi" w:cs="Calibri"/>
          <w:color w:val="000000" w:themeColor="text1"/>
          <w:sz w:val="24"/>
          <w:szCs w:val="28"/>
          <w:lang w:eastAsia="sv-SE"/>
        </w:rPr>
        <w:t>: palpitationer, illamående, tremor, huvudvärk, hypokalemi.</w:t>
      </w:r>
    </w:p>
    <w:p w14:paraId="420E5192" w14:textId="77777777" w:rsidR="00EC79BD" w:rsidRPr="00953B76" w:rsidRDefault="00EC79BD" w:rsidP="00EC79BD">
      <w:pPr>
        <w:pStyle w:val="Liststycke"/>
        <w:numPr>
          <w:ilvl w:val="0"/>
          <w:numId w:val="83"/>
        </w:numPr>
        <w:shd w:val="clear" w:color="auto" w:fill="FFFFFF"/>
        <w:tabs>
          <w:tab w:val="clear" w:pos="284"/>
        </w:tabs>
        <w:spacing w:line="240" w:lineRule="auto"/>
        <w:rPr>
          <w:rFonts w:asciiTheme="minorHAnsi" w:hAnsiTheme="minorHAnsi" w:cs="Calibri"/>
          <w:sz w:val="24"/>
          <w:szCs w:val="28"/>
          <w:lang w:eastAsia="sv-SE"/>
        </w:rPr>
      </w:pPr>
      <w:hyperlink w:anchor="_ORDLISTA" w:history="1">
        <w:r w:rsidRPr="00953B76">
          <w:rPr>
            <w:rStyle w:val="Hyperlnk"/>
            <w:rFonts w:asciiTheme="minorHAnsi" w:eastAsia="Times New Roman" w:hAnsiTheme="minorHAnsi" w:cs="Calibri"/>
            <w:color w:val="B46400" w:themeColor="accent6" w:themeShade="BF"/>
            <w:sz w:val="24"/>
            <w:szCs w:val="28"/>
            <w:lang w:eastAsia="sv-SE"/>
          </w:rPr>
          <w:t>LTRA</w:t>
        </w:r>
      </w:hyperlink>
      <w:r w:rsidRPr="00953B76">
        <w:rPr>
          <w:rFonts w:asciiTheme="minorHAnsi" w:eastAsia="Times New Roman" w:hAnsiTheme="minorHAnsi" w:cs="Calibri"/>
          <w:color w:val="000000" w:themeColor="text1"/>
          <w:sz w:val="24"/>
          <w:szCs w:val="28"/>
          <w:lang w:eastAsia="sv-SE"/>
        </w:rPr>
        <w:t xml:space="preserve"> huvudvärk, buksmärtor, psykiska (t.ex. mardrömmar)</w:t>
      </w:r>
      <w:bookmarkStart w:id="39" w:name="_UPPFÖLJNING"/>
      <w:bookmarkEnd w:id="39"/>
    </w:p>
    <w:p w14:paraId="3A5C246F" w14:textId="77777777" w:rsidR="00EC79BD" w:rsidRDefault="00EC79BD" w:rsidP="00EC79BD">
      <w:pPr>
        <w:rPr>
          <w:rStyle w:val="Stark"/>
        </w:rPr>
      </w:pPr>
      <w:bookmarkStart w:id="40" w:name="_Toc150457971"/>
    </w:p>
    <w:p w14:paraId="7BEE7A5B" w14:textId="77777777" w:rsidR="00EC79BD" w:rsidRPr="00E11E6F" w:rsidRDefault="00EC79BD" w:rsidP="00EC79BD">
      <w:pPr>
        <w:pStyle w:val="Rubrik3"/>
        <w:spacing w:before="0" w:after="0"/>
        <w:rPr>
          <w:rStyle w:val="Stark"/>
          <w:b/>
          <w:bCs w:val="0"/>
        </w:rPr>
      </w:pPr>
      <w:r w:rsidRPr="00953B76">
        <w:rPr>
          <w:rFonts w:cs="Calibri"/>
          <w:szCs w:val="24"/>
          <w:lang w:eastAsia="sv-SE"/>
        </w:rPr>
        <w:t>Uppföljning</w:t>
      </w:r>
      <w:bookmarkEnd w:id="40"/>
    </w:p>
    <w:p w14:paraId="06D8F291" w14:textId="77777777" w:rsidR="00EC79BD" w:rsidRPr="001F551E" w:rsidRDefault="00EC79BD" w:rsidP="00EC79BD">
      <w:pPr>
        <w:rPr>
          <w:rStyle w:val="Stark"/>
        </w:rPr>
      </w:pPr>
    </w:p>
    <w:p w14:paraId="4BDE61BE" w14:textId="77777777" w:rsidR="00EC79BD" w:rsidRPr="00953B76" w:rsidRDefault="00EC79BD" w:rsidP="00EC79BD">
      <w:pPr>
        <w:pStyle w:val="Liststycke"/>
        <w:numPr>
          <w:ilvl w:val="0"/>
          <w:numId w:val="84"/>
        </w:numPr>
        <w:spacing w:line="360" w:lineRule="auto"/>
        <w:rPr>
          <w:rFonts w:asciiTheme="minorHAnsi" w:hAnsiTheme="minorHAnsi" w:cs="Calibri"/>
          <w:color w:val="000000" w:themeColor="text1"/>
          <w:sz w:val="24"/>
          <w:szCs w:val="28"/>
          <w:lang w:eastAsia="sv-SE"/>
        </w:rPr>
      </w:pPr>
      <w:r w:rsidRPr="00953B76">
        <w:rPr>
          <w:rFonts w:asciiTheme="minorHAnsi" w:hAnsiTheme="minorHAnsi" w:cs="Calibri"/>
          <w:color w:val="000000" w:themeColor="text1"/>
          <w:sz w:val="24"/>
          <w:szCs w:val="28"/>
          <w:lang w:eastAsia="sv-SE"/>
        </w:rPr>
        <w:t xml:space="preserve">Bör ske 1–2 ggr per år, inklusive tillväxtkontroll. </w:t>
      </w:r>
    </w:p>
    <w:p w14:paraId="2D58914A" w14:textId="77777777" w:rsidR="00EC79BD" w:rsidRPr="00953B76" w:rsidRDefault="00EC79BD" w:rsidP="00EC79BD">
      <w:pPr>
        <w:pStyle w:val="Liststycke"/>
        <w:numPr>
          <w:ilvl w:val="0"/>
          <w:numId w:val="84"/>
        </w:numPr>
        <w:spacing w:line="360" w:lineRule="auto"/>
        <w:rPr>
          <w:rFonts w:asciiTheme="minorHAnsi" w:hAnsiTheme="minorHAnsi" w:cs="Calibri"/>
          <w:color w:val="000000" w:themeColor="text1"/>
          <w:sz w:val="24"/>
          <w:szCs w:val="28"/>
          <w:lang w:eastAsia="sv-SE"/>
        </w:rPr>
      </w:pPr>
      <w:r w:rsidRPr="00953B76">
        <w:rPr>
          <w:rFonts w:asciiTheme="minorHAnsi" w:hAnsiTheme="minorHAnsi" w:cs="Calibri"/>
          <w:color w:val="000000" w:themeColor="text1"/>
          <w:sz w:val="24"/>
          <w:szCs w:val="28"/>
          <w:lang w:eastAsia="sv-SE"/>
        </w:rPr>
        <w:t>Lungfunktion ska bedömas så snart barnet klarar det</w:t>
      </w:r>
    </w:p>
    <w:p w14:paraId="39CA8080" w14:textId="77777777" w:rsidR="00EC79BD" w:rsidRPr="00953B76" w:rsidRDefault="00EC79BD" w:rsidP="00EC79BD">
      <w:pPr>
        <w:pStyle w:val="Liststycke"/>
        <w:numPr>
          <w:ilvl w:val="0"/>
          <w:numId w:val="84"/>
        </w:numPr>
        <w:spacing w:line="360" w:lineRule="auto"/>
        <w:rPr>
          <w:rFonts w:asciiTheme="minorHAnsi" w:hAnsiTheme="minorHAnsi" w:cs="Calibri"/>
          <w:color w:val="000000" w:themeColor="text1"/>
          <w:sz w:val="24"/>
          <w:szCs w:val="28"/>
          <w:lang w:eastAsia="sv-SE"/>
        </w:rPr>
      </w:pPr>
      <w:r w:rsidRPr="00953B76">
        <w:rPr>
          <w:rFonts w:asciiTheme="minorHAnsi" w:hAnsiTheme="minorHAnsi" w:cs="Calibri"/>
          <w:color w:val="000000" w:themeColor="text1"/>
          <w:sz w:val="24"/>
          <w:szCs w:val="28"/>
          <w:lang w:eastAsia="sv-SE"/>
        </w:rPr>
        <w:t>Utvärdera följsamhet och svårighetsgrad</w:t>
      </w:r>
      <w:r w:rsidRPr="00953B76">
        <w:rPr>
          <w:rFonts w:asciiTheme="minorHAnsi" w:hAnsiTheme="minorHAnsi" w:cs="Calibri"/>
          <w:b/>
          <w:bCs/>
          <w:color w:val="003D7C" w:themeColor="accent2"/>
          <w:sz w:val="24"/>
          <w:szCs w:val="28"/>
        </w:rPr>
        <w:br/>
      </w:r>
      <w:r w:rsidRPr="00953B76">
        <w:rPr>
          <w:rFonts w:asciiTheme="minorHAnsi" w:hAnsiTheme="minorHAnsi" w:cs="Calibri"/>
          <w:b/>
          <w:bCs/>
          <w:color w:val="000000" w:themeColor="text1"/>
          <w:sz w:val="24"/>
          <w:szCs w:val="28"/>
        </w:rPr>
        <w:t xml:space="preserve">Fråga ”Hur många doser per vecka glömmer du att ta?” </w:t>
      </w:r>
      <w:r w:rsidRPr="00953B76">
        <w:rPr>
          <w:rFonts w:asciiTheme="minorHAnsi" w:hAnsiTheme="minorHAnsi" w:cs="Calibri"/>
          <w:b/>
          <w:bCs/>
          <w:color w:val="000000" w:themeColor="text1"/>
          <w:sz w:val="24"/>
          <w:szCs w:val="28"/>
        </w:rPr>
        <w:br/>
        <w:t>istället för ”Tar du din medicin?”</w:t>
      </w:r>
    </w:p>
    <w:p w14:paraId="28B08651" w14:textId="77777777" w:rsidR="00EC79BD" w:rsidRPr="00953B76" w:rsidRDefault="00EC79BD" w:rsidP="00EC79BD">
      <w:pPr>
        <w:pStyle w:val="Liststycke"/>
        <w:numPr>
          <w:ilvl w:val="0"/>
          <w:numId w:val="84"/>
        </w:numPr>
        <w:spacing w:line="360" w:lineRule="auto"/>
        <w:rPr>
          <w:rFonts w:asciiTheme="minorHAnsi" w:hAnsiTheme="minorHAnsi" w:cs="Calibri"/>
          <w:color w:val="000000" w:themeColor="text1"/>
          <w:sz w:val="24"/>
          <w:szCs w:val="28"/>
          <w:lang w:eastAsia="sv-SE"/>
        </w:rPr>
      </w:pPr>
      <w:r w:rsidRPr="00953B76">
        <w:rPr>
          <w:rFonts w:asciiTheme="minorHAnsi" w:hAnsiTheme="minorHAnsi" w:cs="Calibri"/>
          <w:color w:val="000000" w:themeColor="text1"/>
          <w:sz w:val="24"/>
          <w:szCs w:val="28"/>
          <w:lang w:eastAsia="sv-SE"/>
        </w:rPr>
        <w:t>Repetera/kontrollera inhalationsteknik</w:t>
      </w:r>
    </w:p>
    <w:p w14:paraId="171DA6C6" w14:textId="77777777" w:rsidR="00EC79BD" w:rsidRPr="00953B76" w:rsidRDefault="00EC79BD" w:rsidP="00EC79BD">
      <w:pPr>
        <w:pStyle w:val="Liststycke"/>
        <w:numPr>
          <w:ilvl w:val="0"/>
          <w:numId w:val="84"/>
        </w:numPr>
        <w:spacing w:line="360" w:lineRule="auto"/>
        <w:rPr>
          <w:rFonts w:asciiTheme="minorHAnsi" w:hAnsiTheme="minorHAnsi" w:cs="Calibri"/>
          <w:color w:val="000000" w:themeColor="text1"/>
          <w:sz w:val="24"/>
          <w:szCs w:val="28"/>
          <w:lang w:eastAsia="sv-SE"/>
        </w:rPr>
      </w:pPr>
      <w:r w:rsidRPr="00953B76">
        <w:rPr>
          <w:rFonts w:asciiTheme="minorHAnsi" w:hAnsiTheme="minorHAnsi" w:cs="Calibri"/>
          <w:color w:val="000000" w:themeColor="text1"/>
          <w:sz w:val="24"/>
          <w:szCs w:val="28"/>
          <w:lang w:eastAsia="sv-SE"/>
        </w:rPr>
        <w:t>Uppdatera behandlingsplan</w:t>
      </w:r>
    </w:p>
    <w:p w14:paraId="6793A922" w14:textId="77777777" w:rsidR="00EC79BD" w:rsidRPr="00953B76" w:rsidRDefault="00EC79BD" w:rsidP="00EC79BD">
      <w:pPr>
        <w:pStyle w:val="Liststycke"/>
        <w:numPr>
          <w:ilvl w:val="0"/>
          <w:numId w:val="84"/>
        </w:numPr>
        <w:spacing w:line="360" w:lineRule="auto"/>
        <w:rPr>
          <w:rFonts w:asciiTheme="minorHAnsi" w:hAnsiTheme="minorHAnsi" w:cs="Calibri"/>
          <w:color w:val="000000" w:themeColor="text1"/>
          <w:sz w:val="24"/>
          <w:szCs w:val="28"/>
          <w:lang w:eastAsia="sv-SE"/>
        </w:rPr>
      </w:pPr>
      <w:r w:rsidRPr="00953B76">
        <w:rPr>
          <w:rFonts w:asciiTheme="minorHAnsi" w:hAnsiTheme="minorHAnsi" w:cs="Calibri"/>
          <w:color w:val="000000" w:themeColor="text1"/>
          <w:sz w:val="24"/>
          <w:szCs w:val="28"/>
          <w:lang w:eastAsia="sv-SE"/>
        </w:rPr>
        <w:t>Diskutera exponering för tobak/allergener</w:t>
      </w:r>
    </w:p>
    <w:p w14:paraId="26CC67D4" w14:textId="77777777" w:rsidR="00EC79BD" w:rsidRDefault="00EC79BD" w:rsidP="00EC79BD">
      <w:pPr>
        <w:pStyle w:val="Liststycke"/>
        <w:numPr>
          <w:ilvl w:val="0"/>
          <w:numId w:val="84"/>
        </w:numPr>
        <w:spacing w:line="360" w:lineRule="auto"/>
        <w:rPr>
          <w:rFonts w:asciiTheme="minorHAnsi" w:hAnsiTheme="minorHAnsi" w:cs="Calibri"/>
          <w:color w:val="000000" w:themeColor="text1"/>
          <w:sz w:val="24"/>
          <w:szCs w:val="28"/>
          <w:lang w:eastAsia="sv-SE"/>
        </w:rPr>
      </w:pPr>
      <w:r w:rsidRPr="00953B76">
        <w:rPr>
          <w:rFonts w:asciiTheme="minorHAnsi" w:hAnsiTheme="minorHAnsi" w:cs="Calibri"/>
          <w:color w:val="000000" w:themeColor="text1"/>
          <w:sz w:val="24"/>
          <w:szCs w:val="28"/>
          <w:lang w:eastAsia="sv-SE"/>
        </w:rPr>
        <w:t>Överväg differentialdiagnoser om ej effekt av behandling</w:t>
      </w:r>
    </w:p>
    <w:p w14:paraId="0AB7E7C4" w14:textId="77777777" w:rsidR="00EC79BD" w:rsidRPr="00C056A4" w:rsidRDefault="00EC79BD" w:rsidP="00EC79BD">
      <w:pPr>
        <w:tabs>
          <w:tab w:val="clear" w:pos="284"/>
        </w:tabs>
        <w:spacing w:after="120" w:line="260" w:lineRule="atLeast"/>
        <w:rPr>
          <w:rFonts w:asciiTheme="minorHAnsi" w:hAnsiTheme="minorHAnsi" w:cs="Calibri"/>
          <w:color w:val="000000" w:themeColor="text1"/>
          <w:sz w:val="24"/>
          <w:szCs w:val="28"/>
          <w:lang w:eastAsia="sv-SE"/>
        </w:rPr>
      </w:pPr>
    </w:p>
    <w:p w14:paraId="4C430313" w14:textId="77777777" w:rsidR="00EC79BD" w:rsidRPr="00953B76" w:rsidRDefault="00EC79BD" w:rsidP="00EC79BD">
      <w:pPr>
        <w:pStyle w:val="Rubrik3"/>
        <w:spacing w:before="0" w:after="0"/>
        <w:rPr>
          <w:rFonts w:cs="Calibri"/>
          <w:szCs w:val="24"/>
          <w:lang w:eastAsia="sv-SE"/>
        </w:rPr>
      </w:pPr>
      <w:r w:rsidRPr="00953B76">
        <w:rPr>
          <w:rFonts w:cs="Calibri"/>
          <w:szCs w:val="24"/>
          <w:lang w:eastAsia="sv-SE"/>
        </w:rPr>
        <w:lastRenderedPageBreak/>
        <w:t>Inför övergången till vuxenvård</w:t>
      </w:r>
    </w:p>
    <w:p w14:paraId="41D9C492" w14:textId="77777777" w:rsidR="00EC79BD" w:rsidRPr="00AD03C5" w:rsidRDefault="00EC79BD" w:rsidP="00EC79BD">
      <w:pPr>
        <w:rPr>
          <w:rStyle w:val="Stark"/>
          <w:rFonts w:asciiTheme="minorHAnsi" w:hAnsiTheme="minorHAnsi"/>
          <w:b w:val="0"/>
          <w:bCs/>
          <w:iCs/>
          <w:sz w:val="24"/>
          <w:szCs w:val="24"/>
        </w:rPr>
      </w:pPr>
      <w:r w:rsidRPr="00AD03C5">
        <w:rPr>
          <w:rStyle w:val="Stark"/>
          <w:rFonts w:asciiTheme="minorHAnsi" w:hAnsiTheme="minorHAnsi"/>
          <w:b w:val="0"/>
          <w:bCs/>
          <w:iCs/>
          <w:sz w:val="24"/>
          <w:szCs w:val="24"/>
        </w:rPr>
        <w:t xml:space="preserve">Ungdomar behöver successivt ta mer eget ansvar för sin behandling vilket kan underlättas </w:t>
      </w:r>
      <w:r w:rsidRPr="00AD03C5">
        <w:rPr>
          <w:rStyle w:val="Stark"/>
          <w:rFonts w:asciiTheme="minorHAnsi" w:hAnsiTheme="minorHAnsi"/>
          <w:b w:val="0"/>
          <w:bCs/>
          <w:iCs/>
          <w:sz w:val="24"/>
          <w:szCs w:val="24"/>
        </w:rPr>
        <w:br/>
        <w:t>bland annat genom följande:</w:t>
      </w:r>
    </w:p>
    <w:p w14:paraId="5A56F89E" w14:textId="77777777" w:rsidR="00EC79BD" w:rsidRPr="00AD03C5" w:rsidRDefault="00EC79BD" w:rsidP="00EC79BD">
      <w:pPr>
        <w:rPr>
          <w:rStyle w:val="Stark"/>
          <w:rFonts w:asciiTheme="minorHAnsi" w:hAnsiTheme="minorHAnsi"/>
          <w:sz w:val="24"/>
          <w:szCs w:val="24"/>
        </w:rPr>
      </w:pPr>
    </w:p>
    <w:p w14:paraId="558CAE99" w14:textId="77777777" w:rsidR="00EC79BD" w:rsidRPr="00AD03C5" w:rsidRDefault="00EC79BD" w:rsidP="00EC79BD">
      <w:pPr>
        <w:pStyle w:val="Liststycke"/>
        <w:numPr>
          <w:ilvl w:val="0"/>
          <w:numId w:val="85"/>
        </w:numPr>
        <w:spacing w:line="360" w:lineRule="auto"/>
        <w:rPr>
          <w:rFonts w:asciiTheme="minorHAnsi" w:hAnsiTheme="minorHAnsi" w:cs="Calibri"/>
          <w:sz w:val="24"/>
          <w:szCs w:val="28"/>
          <w:lang w:eastAsia="sv-SE"/>
        </w:rPr>
      </w:pPr>
      <w:r w:rsidRPr="00AD03C5">
        <w:rPr>
          <w:rFonts w:asciiTheme="minorHAnsi" w:hAnsiTheme="minorHAnsi" w:cs="Calibri"/>
          <w:sz w:val="24"/>
          <w:szCs w:val="28"/>
          <w:lang w:eastAsia="sv-SE"/>
        </w:rPr>
        <w:t>Erbjud del av besök enskilt utan vårdnadshavare</w:t>
      </w:r>
    </w:p>
    <w:p w14:paraId="1112FE53" w14:textId="77777777" w:rsidR="00EC79BD" w:rsidRPr="00AD03C5" w:rsidRDefault="00EC79BD" w:rsidP="00EC79BD">
      <w:pPr>
        <w:pStyle w:val="Liststycke"/>
        <w:numPr>
          <w:ilvl w:val="0"/>
          <w:numId w:val="85"/>
        </w:numPr>
        <w:spacing w:line="360" w:lineRule="auto"/>
        <w:rPr>
          <w:rFonts w:asciiTheme="minorHAnsi" w:hAnsiTheme="minorHAnsi" w:cs="Calibri"/>
          <w:sz w:val="24"/>
          <w:szCs w:val="28"/>
          <w:lang w:eastAsia="sv-SE"/>
        </w:rPr>
      </w:pPr>
      <w:r w:rsidRPr="00AD03C5">
        <w:rPr>
          <w:rFonts w:asciiTheme="minorHAnsi" w:hAnsiTheme="minorHAnsi" w:cs="Calibri"/>
          <w:sz w:val="24"/>
          <w:szCs w:val="28"/>
          <w:lang w:eastAsia="sv-SE"/>
        </w:rPr>
        <w:t>Anpassa utbildning till ungdomen</w:t>
      </w:r>
    </w:p>
    <w:p w14:paraId="20B3685B" w14:textId="77777777" w:rsidR="00EC79BD" w:rsidRPr="00AD03C5" w:rsidRDefault="00EC79BD" w:rsidP="00EC79BD">
      <w:pPr>
        <w:pStyle w:val="Liststycke"/>
        <w:numPr>
          <w:ilvl w:val="0"/>
          <w:numId w:val="85"/>
        </w:numPr>
        <w:spacing w:line="360" w:lineRule="auto"/>
        <w:rPr>
          <w:rFonts w:asciiTheme="minorHAnsi" w:hAnsiTheme="minorHAnsi" w:cs="Calibri"/>
          <w:sz w:val="24"/>
          <w:szCs w:val="28"/>
          <w:lang w:eastAsia="sv-SE"/>
        </w:rPr>
      </w:pPr>
      <w:r w:rsidRPr="00AD03C5">
        <w:rPr>
          <w:rFonts w:asciiTheme="minorHAnsi" w:hAnsiTheme="minorHAnsi" w:cs="Calibri"/>
          <w:sz w:val="24"/>
          <w:szCs w:val="28"/>
          <w:lang w:eastAsia="sv-SE"/>
        </w:rPr>
        <w:t>Individuell behandlingsplan som foto i mobilen</w:t>
      </w:r>
    </w:p>
    <w:p w14:paraId="1DB7395C" w14:textId="77777777" w:rsidR="00EC79BD" w:rsidRPr="00AD03C5" w:rsidRDefault="00EC79BD" w:rsidP="00EC79BD">
      <w:pPr>
        <w:pStyle w:val="Liststycke"/>
        <w:numPr>
          <w:ilvl w:val="0"/>
          <w:numId w:val="85"/>
        </w:numPr>
        <w:tabs>
          <w:tab w:val="clear" w:pos="284"/>
        </w:tabs>
        <w:spacing w:after="120" w:line="260" w:lineRule="atLeast"/>
        <w:rPr>
          <w:rFonts w:asciiTheme="minorHAnsi" w:hAnsiTheme="minorHAnsi" w:cs="Calibri"/>
          <w:color w:val="003D7C" w:themeColor="text2"/>
          <w:sz w:val="24"/>
          <w:szCs w:val="28"/>
          <w:lang w:eastAsia="sv-SE"/>
        </w:rPr>
      </w:pPr>
      <w:r w:rsidRPr="00AD03C5">
        <w:rPr>
          <w:rFonts w:asciiTheme="minorHAnsi" w:hAnsiTheme="minorHAnsi" w:cs="Calibri"/>
          <w:sz w:val="24"/>
          <w:szCs w:val="28"/>
          <w:lang w:eastAsia="sv-SE"/>
        </w:rPr>
        <w:t>Förenkla behandling om möjligt</w:t>
      </w:r>
    </w:p>
    <w:p w14:paraId="19205125" w14:textId="77777777" w:rsidR="00EC79BD" w:rsidRPr="00506F10" w:rsidRDefault="00EC79BD" w:rsidP="00EC79BD">
      <w:pPr>
        <w:pStyle w:val="Rubrik2"/>
      </w:pPr>
      <w:r>
        <w:t>Astma Vuxna</w:t>
      </w:r>
    </w:p>
    <w:p w14:paraId="07D5C04D" w14:textId="77777777" w:rsidR="00EC79BD" w:rsidRPr="00C056A4" w:rsidRDefault="00EC79BD" w:rsidP="00EC79BD">
      <w:pPr>
        <w:rPr>
          <w:rFonts w:asciiTheme="minorHAnsi" w:hAnsiTheme="minorHAnsi" w:cs="Calibri"/>
          <w:b/>
          <w:bCs/>
          <w:sz w:val="24"/>
          <w:szCs w:val="28"/>
        </w:rPr>
      </w:pPr>
      <w:r w:rsidRPr="00506F10">
        <w:rPr>
          <w:rStyle w:val="Stark"/>
          <w:bCs/>
          <w:sz w:val="24"/>
          <w:szCs w:val="24"/>
        </w:rPr>
        <w:t>Nyheter och huvudbudskap</w:t>
      </w:r>
      <w:bookmarkStart w:id="41" w:name="_Toc150457975"/>
      <w:r>
        <w:rPr>
          <w:rStyle w:val="Stark"/>
          <w:bCs/>
          <w:sz w:val="24"/>
          <w:szCs w:val="24"/>
        </w:rPr>
        <w:br/>
      </w:r>
      <w:r>
        <w:rPr>
          <w:rFonts w:asciiTheme="minorHAnsi" w:hAnsiTheme="minorHAnsi" w:cs="Calibri"/>
          <w:szCs w:val="24"/>
        </w:rPr>
        <w:br/>
      </w:r>
      <w:r w:rsidRPr="00C056A4">
        <w:rPr>
          <w:rFonts w:asciiTheme="minorHAnsi" w:hAnsiTheme="minorHAnsi" w:cs="Calibri"/>
          <w:b/>
          <w:bCs/>
          <w:sz w:val="24"/>
          <w:szCs w:val="28"/>
        </w:rPr>
        <w:t>Gradering</w:t>
      </w:r>
      <w:bookmarkEnd w:id="41"/>
    </w:p>
    <w:p w14:paraId="2E3F04DE" w14:textId="77777777" w:rsidR="00EC79BD" w:rsidRPr="000C17EB" w:rsidRDefault="00EC79BD" w:rsidP="00EC79BD">
      <w:pPr>
        <w:pStyle w:val="Normal4"/>
        <w:spacing w:before="0" w:beforeAutospacing="0" w:after="240" w:afterAutospacing="0"/>
        <w:rPr>
          <w:rFonts w:asciiTheme="minorHAnsi" w:hAnsiTheme="minorHAnsi" w:cs="Calibri"/>
          <w:color w:val="003D7C" w:themeColor="text2"/>
        </w:rPr>
      </w:pPr>
      <w:r w:rsidRPr="000C17EB">
        <w:rPr>
          <w:rFonts w:asciiTheme="minorHAnsi" w:hAnsiTheme="minorHAnsi" w:cs="Calibri"/>
          <w:b/>
          <w:bCs/>
          <w:noProof/>
        </w:rPr>
        <mc:AlternateContent>
          <mc:Choice Requires="wps">
            <w:drawing>
              <wp:anchor distT="0" distB="0" distL="114300" distR="114300" simplePos="0" relativeHeight="251760640" behindDoc="1" locked="0" layoutInCell="1" allowOverlap="1" wp14:anchorId="1F9D343D" wp14:editId="6CE9D6FB">
                <wp:simplePos x="0" y="0"/>
                <wp:positionH relativeFrom="margin">
                  <wp:align>right</wp:align>
                </wp:positionH>
                <wp:positionV relativeFrom="paragraph">
                  <wp:posOffset>35840</wp:posOffset>
                </wp:positionV>
                <wp:extent cx="6139543" cy="645459"/>
                <wp:effectExtent l="0" t="0" r="13970" b="21590"/>
                <wp:wrapNone/>
                <wp:docPr id="1200761857" name="Rektangel: rundade hörn 1200761857"/>
                <wp:cNvGraphicFramePr/>
                <a:graphic xmlns:a="http://schemas.openxmlformats.org/drawingml/2006/main">
                  <a:graphicData uri="http://schemas.microsoft.com/office/word/2010/wordprocessingShape">
                    <wps:wsp>
                      <wps:cNvSpPr/>
                      <wps:spPr>
                        <a:xfrm>
                          <a:off x="0" y="0"/>
                          <a:ext cx="6139543" cy="645459"/>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txbx>
                        <w:txbxContent>
                          <w:p w14:paraId="1F03838B" w14:textId="77777777" w:rsidR="00EC79BD" w:rsidRPr="00081060" w:rsidRDefault="00EC79BD" w:rsidP="00EC79BD">
                            <w:pPr>
                              <w:pStyle w:val="Normal4"/>
                              <w:spacing w:before="0" w:beforeAutospacing="0" w:after="0" w:afterAutospacing="0"/>
                              <w:rPr>
                                <w:rFonts w:asciiTheme="minorHAnsi" w:hAnsiTheme="minorHAnsi" w:cs="Calibri"/>
                                <w:color w:val="003D7C" w:themeColor="text2"/>
                              </w:rPr>
                            </w:pPr>
                            <w:r w:rsidRPr="00D7649B">
                              <w:rPr>
                                <w:rFonts w:ascii="Calibri" w:hAnsi="Calibri" w:cs="Calibri"/>
                                <w:color w:val="003D7C" w:themeColor="text2"/>
                              </w:rPr>
                              <w:t xml:space="preserve"> </w:t>
                            </w:r>
                            <w:r w:rsidRPr="00081060">
                              <w:rPr>
                                <w:rFonts w:asciiTheme="minorHAnsi" w:hAnsiTheme="minorHAnsi" w:cs="Calibri"/>
                                <w:color w:val="003D7C" w:themeColor="text2"/>
                              </w:rPr>
                              <w:t>Aktuell svårighetsgradering följer</w:t>
                            </w:r>
                            <w:r w:rsidRPr="00081060">
                              <w:rPr>
                                <w:rFonts w:asciiTheme="minorHAnsi" w:hAnsiTheme="minorHAnsi" w:cs="Calibri"/>
                                <w:color w:val="00A6E2" w:themeColor="accent1"/>
                              </w:rPr>
                              <w:t xml:space="preserve"> </w:t>
                            </w:r>
                            <w:hyperlink w:anchor="_ORDLISTA" w:history="1">
                              <w:r w:rsidRPr="00081060">
                                <w:rPr>
                                  <w:rStyle w:val="Hyperlnk"/>
                                  <w:rFonts w:asciiTheme="minorHAnsi" w:hAnsiTheme="minorHAnsi" w:cs="Calibri"/>
                                  <w:color w:val="B46400" w:themeColor="accent6" w:themeShade="BF"/>
                                </w:rPr>
                                <w:t>GINA</w:t>
                              </w:r>
                            </w:hyperlink>
                            <w:r w:rsidRPr="00081060">
                              <w:rPr>
                                <w:rFonts w:asciiTheme="minorHAnsi" w:hAnsiTheme="minorHAnsi" w:cs="Calibri"/>
                                <w:color w:val="003D7C" w:themeColor="text2"/>
                              </w:rPr>
                              <w:t xml:space="preserve"> och baseras på hur mycket läkemedel som krävs för att uppnå sjukdomskontroll</w:t>
                            </w:r>
                          </w:p>
                          <w:p w14:paraId="64DA38BF" w14:textId="77777777" w:rsidR="00EC79BD" w:rsidRDefault="00EC79BD" w:rsidP="00EC79B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9D343D" id="Rektangel: rundade hörn 1200761857" o:spid="_x0000_s1041" style="position:absolute;margin-left:432.25pt;margin-top:2.8pt;width:483.45pt;height:50.8pt;z-index:-251555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" fillcolor="#86cdff" strokecolor="#0079a6" strokeweight="2pt">
                <v:fill color2="#dceeff" rotate="t" angle="45" colors="0 #86cdff;.5 #b7deff;1 #dceeff" focus="100%" type="gradient"/>
                <v:textbox>
                  <w:txbxContent>
                    <w:p w14:paraId="1F03838B" w14:textId="77777777" w:rsidR="00EC79BD" w:rsidRPr="00081060" w:rsidRDefault="00EC79BD" w:rsidP="00EC79BD">
                      <w:pPr>
                        <w:pStyle w:val="Normal4"/>
                        <w:spacing w:before="0" w:beforeAutospacing="0" w:after="0" w:afterAutospacing="0"/>
                        <w:rPr>
                          <w:rFonts w:asciiTheme="minorHAnsi" w:hAnsiTheme="minorHAnsi" w:cs="Calibri"/>
                          <w:color w:val="003D7C" w:themeColor="text2"/>
                        </w:rPr>
                      </w:pPr>
                      <w:r w:rsidRPr="00D7649B">
                        <w:rPr>
                          <w:rFonts w:ascii="Calibri" w:hAnsi="Calibri" w:cs="Calibri"/>
                          <w:color w:val="003D7C" w:themeColor="text2"/>
                        </w:rPr>
                        <w:t xml:space="preserve"> </w:t>
                      </w:r>
                      <w:r w:rsidRPr="00081060">
                        <w:rPr>
                          <w:rFonts w:asciiTheme="minorHAnsi" w:hAnsiTheme="minorHAnsi" w:cs="Calibri"/>
                          <w:color w:val="003D7C" w:themeColor="text2"/>
                        </w:rPr>
                        <w:t>Aktuell svårighetsgradering följer</w:t>
                      </w:r>
                      <w:r w:rsidRPr="00081060">
                        <w:rPr>
                          <w:rFonts w:asciiTheme="minorHAnsi" w:hAnsiTheme="minorHAnsi" w:cs="Calibri"/>
                          <w:color w:val="00A6E2" w:themeColor="accent1"/>
                        </w:rPr>
                        <w:t xml:space="preserve"> </w:t>
                      </w:r>
                      <w:hyperlink w:anchor="_ORDLISTA" w:history="1">
                        <w:r w:rsidRPr="00081060">
                          <w:rPr>
                            <w:rStyle w:val="Hyperlnk"/>
                            <w:rFonts w:asciiTheme="minorHAnsi" w:hAnsiTheme="minorHAnsi" w:cs="Calibri"/>
                            <w:color w:val="B46400" w:themeColor="accent6" w:themeShade="BF"/>
                          </w:rPr>
                          <w:t>GINA</w:t>
                        </w:r>
                      </w:hyperlink>
                      <w:r w:rsidRPr="00081060">
                        <w:rPr>
                          <w:rFonts w:asciiTheme="minorHAnsi" w:hAnsiTheme="minorHAnsi" w:cs="Calibri"/>
                          <w:color w:val="003D7C" w:themeColor="text2"/>
                        </w:rPr>
                        <w:t xml:space="preserve"> och baseras på hur mycket läkemedel som krävs för att uppnå sjukdomskontroll</w:t>
                      </w:r>
                    </w:p>
                    <w:p w14:paraId="64DA38BF" w14:textId="77777777" w:rsidR="00EC79BD" w:rsidRDefault="00EC79BD" w:rsidP="00EC79BD"/>
                  </w:txbxContent>
                </v:textbox>
                <w10:wrap anchorx="margin"/>
              </v:roundrect>
            </w:pict>
          </mc:Fallback>
        </mc:AlternateContent>
      </w:r>
    </w:p>
    <w:p w14:paraId="42AA89A5" w14:textId="77777777" w:rsidR="00EC79BD" w:rsidRPr="000C17EB" w:rsidRDefault="00EC79BD" w:rsidP="00EC79BD">
      <w:pPr>
        <w:pStyle w:val="Normal4"/>
        <w:spacing w:before="0" w:beforeAutospacing="0" w:after="0" w:afterAutospacing="0"/>
        <w:rPr>
          <w:rFonts w:asciiTheme="minorHAnsi" w:hAnsiTheme="minorHAnsi" w:cs="Calibri"/>
          <w:color w:val="003D7C" w:themeColor="text2"/>
        </w:rPr>
      </w:pPr>
    </w:p>
    <w:p w14:paraId="236F6658" w14:textId="77777777" w:rsidR="00EC79BD" w:rsidRPr="000C17EB" w:rsidRDefault="00EC79BD" w:rsidP="00EC79BD">
      <w:pPr>
        <w:pStyle w:val="Normal4"/>
        <w:spacing w:before="0" w:beforeAutospacing="0" w:after="0" w:afterAutospacing="0"/>
        <w:rPr>
          <w:rFonts w:asciiTheme="minorHAnsi" w:hAnsiTheme="minorHAnsi" w:cs="Calibri"/>
          <w:color w:val="003D7C" w:themeColor="text2"/>
        </w:rPr>
      </w:pPr>
    </w:p>
    <w:p w14:paraId="03B60AED" w14:textId="77777777" w:rsidR="00EC79BD" w:rsidRPr="000C17EB" w:rsidRDefault="00EC79BD" w:rsidP="00EC79BD">
      <w:pPr>
        <w:pStyle w:val="Normal4"/>
        <w:spacing w:before="0" w:beforeAutospacing="0" w:after="0" w:afterAutospacing="0"/>
        <w:rPr>
          <w:rFonts w:asciiTheme="minorHAnsi" w:hAnsiTheme="minorHAnsi" w:cs="Calibri"/>
          <w:color w:val="003D7C" w:themeColor="text2"/>
        </w:rPr>
      </w:pPr>
      <w:r w:rsidRPr="000C17EB">
        <w:rPr>
          <w:rFonts w:asciiTheme="minorHAnsi" w:hAnsiTheme="minorHAnsi" w:cs="Calibri"/>
          <w:b/>
          <w:bCs/>
          <w:noProof/>
          <w:color w:val="404040"/>
          <w:u w:val="single"/>
        </w:rPr>
        <mc:AlternateContent>
          <mc:Choice Requires="wps">
            <w:drawing>
              <wp:anchor distT="0" distB="0" distL="114300" distR="114300" simplePos="0" relativeHeight="251756544" behindDoc="1" locked="0" layoutInCell="1" allowOverlap="1" wp14:anchorId="61E95EAE" wp14:editId="50E23105">
                <wp:simplePos x="0" y="0"/>
                <wp:positionH relativeFrom="margin">
                  <wp:align>right</wp:align>
                </wp:positionH>
                <wp:positionV relativeFrom="paragraph">
                  <wp:posOffset>104866</wp:posOffset>
                </wp:positionV>
                <wp:extent cx="6175168" cy="994690"/>
                <wp:effectExtent l="0" t="0" r="16510" b="15240"/>
                <wp:wrapNone/>
                <wp:docPr id="8" name="Rektangel: rundade hörn 8"/>
                <wp:cNvGraphicFramePr/>
                <a:graphic xmlns:a="http://schemas.openxmlformats.org/drawingml/2006/main">
                  <a:graphicData uri="http://schemas.microsoft.com/office/word/2010/wordprocessingShape">
                    <wps:wsp>
                      <wps:cNvSpPr/>
                      <wps:spPr>
                        <a:xfrm>
                          <a:off x="0" y="0"/>
                          <a:ext cx="6175168" cy="994690"/>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07885A" id="Rektangel: rundade hörn 8" o:spid="_x0000_s1026" style="position:absolute;margin-left:435.05pt;margin-top:8.25pt;width:486.25pt;height:78.3pt;z-index:-251559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" fillcolor="#86cdff" strokecolor="#0079a6" strokeweight="2pt">
                <v:fill color2="#dceeff" rotate="t" angle="45" colors="0 #86cdff;.5 #b7deff;1 #dceeff" focus="100%" type="gradient"/>
                <w10:wrap anchorx="margin"/>
              </v:roundrect>
            </w:pict>
          </mc:Fallback>
        </mc:AlternateContent>
      </w:r>
    </w:p>
    <w:p w14:paraId="79CDC81D" w14:textId="77777777" w:rsidR="00EC79BD" w:rsidRDefault="00EC79BD" w:rsidP="00EC79BD">
      <w:pPr>
        <w:pStyle w:val="Normal4"/>
        <w:spacing w:before="0" w:beforeAutospacing="0" w:after="0" w:afterAutospacing="0"/>
        <w:rPr>
          <w:rFonts w:asciiTheme="minorHAnsi" w:hAnsiTheme="minorHAnsi" w:cs="Calibri"/>
          <w:color w:val="003D7C" w:themeColor="text2"/>
        </w:rPr>
      </w:pPr>
    </w:p>
    <w:p w14:paraId="6682EC35" w14:textId="77777777" w:rsidR="00EC79BD" w:rsidRPr="000C17EB" w:rsidRDefault="00EC79BD" w:rsidP="00EC79BD">
      <w:pPr>
        <w:pStyle w:val="Normal4"/>
        <w:spacing w:before="0" w:beforeAutospacing="0" w:after="0" w:afterAutospacing="0"/>
        <w:rPr>
          <w:rFonts w:asciiTheme="minorHAnsi" w:hAnsiTheme="minorHAnsi" w:cs="Calibri"/>
          <w:color w:val="003D7C" w:themeColor="text2"/>
        </w:rPr>
      </w:pPr>
      <w:r w:rsidRPr="000C17EB">
        <w:rPr>
          <w:rFonts w:asciiTheme="minorHAnsi" w:hAnsiTheme="minorHAnsi" w:cs="Calibri"/>
          <w:color w:val="003D7C" w:themeColor="text2"/>
        </w:rPr>
        <w:t xml:space="preserve">Uppdelningen steg 1a (intermittent lindrig astma) och 1b (persistent lindrig astma) har slagits samman och betecknas nu som steg 1.  </w:t>
      </w:r>
    </w:p>
    <w:p w14:paraId="47AC87D8" w14:textId="77777777" w:rsidR="00EC79BD" w:rsidRPr="000C17EB" w:rsidRDefault="00EC79BD" w:rsidP="00EC79BD">
      <w:pPr>
        <w:pStyle w:val="Normal4"/>
        <w:spacing w:before="0" w:beforeAutospacing="0" w:after="0" w:afterAutospacing="0"/>
        <w:rPr>
          <w:rFonts w:asciiTheme="minorHAnsi" w:hAnsiTheme="minorHAnsi" w:cs="Calibri"/>
          <w:color w:val="003D7C" w:themeColor="text2"/>
        </w:rPr>
      </w:pPr>
      <w:r w:rsidRPr="000C17EB">
        <w:rPr>
          <w:rFonts w:asciiTheme="minorHAnsi" w:hAnsiTheme="minorHAnsi" w:cs="Calibri"/>
          <w:color w:val="003D7C" w:themeColor="text2"/>
        </w:rPr>
        <w:t xml:space="preserve">Steg 1 innebär symptom </w:t>
      </w:r>
      <w:r w:rsidRPr="000C17EB">
        <w:rPr>
          <w:rFonts w:asciiTheme="minorHAnsi" w:hAnsiTheme="minorHAnsi" w:cs="Calibri"/>
          <w:b/>
          <w:bCs/>
          <w:color w:val="003D7C" w:themeColor="text2"/>
        </w:rPr>
        <w:t>färre än två gånger per månad</w:t>
      </w:r>
      <w:r w:rsidRPr="000C17EB">
        <w:rPr>
          <w:rFonts w:asciiTheme="minorHAnsi" w:hAnsiTheme="minorHAnsi" w:cs="Calibri"/>
          <w:color w:val="003D7C" w:themeColor="text2"/>
        </w:rPr>
        <w:t xml:space="preserve"> och behandlas med enbart vid behovsmedicinering med den fasta kombinationen </w:t>
      </w:r>
      <w:hyperlink w:anchor="_ORDLISTA" w:history="1">
        <w:r w:rsidRPr="000C17EB">
          <w:rPr>
            <w:rStyle w:val="Hyperlnk"/>
            <w:rFonts w:asciiTheme="minorHAnsi" w:hAnsiTheme="minorHAnsi" w:cs="Calibri"/>
            <w:color w:val="B46400" w:themeColor="accent6" w:themeShade="BF"/>
          </w:rPr>
          <w:t>ICS</w:t>
        </w:r>
        <w:r w:rsidRPr="000C17EB">
          <w:rPr>
            <w:rStyle w:val="Hyperlnk"/>
            <w:rFonts w:asciiTheme="minorHAnsi" w:hAnsiTheme="minorHAnsi" w:cs="Calibri"/>
            <w:color w:val="0070C0"/>
          </w:rPr>
          <w:t>+</w:t>
        </w:r>
        <w:r w:rsidRPr="000C17EB">
          <w:rPr>
            <w:rStyle w:val="Hyperlnk"/>
            <w:rFonts w:asciiTheme="minorHAnsi" w:hAnsiTheme="minorHAnsi" w:cs="Calibri"/>
            <w:color w:val="B46400" w:themeColor="accent6" w:themeShade="BF"/>
          </w:rPr>
          <w:t>FABA</w:t>
        </w:r>
      </w:hyperlink>
      <w:r w:rsidRPr="000C17EB">
        <w:rPr>
          <w:rFonts w:asciiTheme="minorHAnsi" w:hAnsiTheme="minorHAnsi" w:cs="Calibri"/>
          <w:color w:val="0070C0"/>
        </w:rPr>
        <w:t xml:space="preserve">. </w:t>
      </w:r>
      <w:r w:rsidRPr="000C17EB">
        <w:rPr>
          <w:rFonts w:asciiTheme="minorHAnsi" w:hAnsiTheme="minorHAnsi" w:cs="Calibri"/>
          <w:color w:val="003D7C" w:themeColor="text2"/>
        </w:rPr>
        <w:t xml:space="preserve"> </w:t>
      </w:r>
    </w:p>
    <w:p w14:paraId="40E43419" w14:textId="77777777" w:rsidR="00EC79BD" w:rsidRPr="000C17EB" w:rsidRDefault="00EC79BD" w:rsidP="00EC79BD">
      <w:pPr>
        <w:pStyle w:val="Normal4"/>
        <w:spacing w:before="0" w:beforeAutospacing="0" w:after="240" w:afterAutospacing="0"/>
        <w:rPr>
          <w:rFonts w:asciiTheme="minorHAnsi" w:hAnsiTheme="minorHAnsi" w:cs="Calibri"/>
          <w:color w:val="404040"/>
          <w:u w:val="single"/>
        </w:rPr>
      </w:pPr>
    </w:p>
    <w:bookmarkStart w:id="42" w:name="_Toc150457976"/>
    <w:p w14:paraId="0DAF79A1" w14:textId="77777777" w:rsidR="00EC79BD" w:rsidRPr="00506F10" w:rsidRDefault="00EC79BD" w:rsidP="00EC79BD">
      <w:pPr>
        <w:pStyle w:val="Rubrik3"/>
        <w:rPr>
          <w:rStyle w:val="Stark"/>
          <w:rFonts w:asciiTheme="minorHAnsi" w:hAnsiTheme="minorHAnsi"/>
        </w:rPr>
      </w:pPr>
      <w:r w:rsidRPr="00506F10">
        <w:rPr>
          <w:rFonts w:asciiTheme="minorHAnsi" w:hAnsiTheme="minorHAnsi" w:cs="Calibri"/>
          <w:noProof/>
          <w:szCs w:val="24"/>
        </w:rPr>
        <mc:AlternateContent>
          <mc:Choice Requires="wps">
            <w:drawing>
              <wp:anchor distT="0" distB="0" distL="114300" distR="114300" simplePos="0" relativeHeight="251757568" behindDoc="1" locked="0" layoutInCell="1" allowOverlap="1" wp14:anchorId="107F77AB" wp14:editId="051E8F5A">
                <wp:simplePos x="0" y="0"/>
                <wp:positionH relativeFrom="margin">
                  <wp:posOffset>-90228</wp:posOffset>
                </wp:positionH>
                <wp:positionV relativeFrom="paragraph">
                  <wp:posOffset>326291</wp:posOffset>
                </wp:positionV>
                <wp:extent cx="6234546" cy="1318161"/>
                <wp:effectExtent l="0" t="0" r="13970" b="15875"/>
                <wp:wrapNone/>
                <wp:docPr id="9" name="Rektangel: rundade hörn 9"/>
                <wp:cNvGraphicFramePr/>
                <a:graphic xmlns:a="http://schemas.openxmlformats.org/drawingml/2006/main">
                  <a:graphicData uri="http://schemas.microsoft.com/office/word/2010/wordprocessingShape">
                    <wps:wsp>
                      <wps:cNvSpPr/>
                      <wps:spPr>
                        <a:xfrm>
                          <a:off x="0" y="0"/>
                          <a:ext cx="6234546" cy="1318161"/>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F2B86" id="Rektangel: rundade hörn 9" o:spid="_x0000_s1026" style="position:absolute;margin-left:-7.1pt;margin-top:25.7pt;width:490.9pt;height:103.8pt;z-index:-25155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" fillcolor="#86cdff" strokecolor="#0079a6" strokeweight="2pt">
                <v:fill color2="#dceeff" rotate="t" angle="45" colors="0 #86cdff;.5 #b7deff;1 #dceeff" focus="100%" type="gradient"/>
                <w10:wrap anchorx="margin"/>
              </v:roundrect>
            </w:pict>
          </mc:Fallback>
        </mc:AlternateContent>
      </w:r>
      <w:r w:rsidRPr="00506F10">
        <w:rPr>
          <w:rFonts w:asciiTheme="minorHAnsi" w:hAnsiTheme="minorHAnsi" w:cs="Calibri"/>
          <w:szCs w:val="24"/>
        </w:rPr>
        <w:t>Behandling</w:t>
      </w:r>
      <w:bookmarkEnd w:id="42"/>
      <w:r w:rsidRPr="00506F10">
        <w:rPr>
          <w:rFonts w:asciiTheme="minorHAnsi" w:hAnsiTheme="minorHAnsi" w:cs="Calibri"/>
          <w:szCs w:val="24"/>
        </w:rPr>
        <w:t xml:space="preserve"> </w:t>
      </w:r>
      <w:r w:rsidRPr="00506F10">
        <w:rPr>
          <w:rFonts w:asciiTheme="minorHAnsi" w:hAnsiTheme="minorHAnsi" w:cs="Calibri"/>
          <w:szCs w:val="24"/>
        </w:rPr>
        <w:br/>
      </w:r>
    </w:p>
    <w:p w14:paraId="1FD9C119" w14:textId="77777777" w:rsidR="00EC79BD" w:rsidRPr="000C17EB" w:rsidRDefault="00EC79BD" w:rsidP="00EC79BD">
      <w:pPr>
        <w:pStyle w:val="Normal4"/>
        <w:spacing w:before="0" w:beforeAutospacing="0" w:after="240" w:afterAutospacing="0"/>
        <w:rPr>
          <w:rFonts w:asciiTheme="minorHAnsi" w:hAnsiTheme="minorHAnsi" w:cs="Calibri"/>
          <w:color w:val="003D7C" w:themeColor="accent2"/>
        </w:rPr>
      </w:pPr>
      <w:r w:rsidRPr="000C17EB">
        <w:rPr>
          <w:rFonts w:asciiTheme="minorHAnsi" w:hAnsiTheme="minorHAnsi" w:cs="Calibri"/>
          <w:b/>
          <w:bCs/>
          <w:color w:val="003D7C" w:themeColor="accent2"/>
        </w:rPr>
        <w:t>Tillkomst av gruppen</w:t>
      </w:r>
      <w:hyperlink w:anchor="_ORDLISTA" w:history="1">
        <w:r w:rsidRPr="000C17EB">
          <w:rPr>
            <w:rStyle w:val="Hyperlnk"/>
            <w:rFonts w:asciiTheme="minorHAnsi" w:hAnsiTheme="minorHAnsi" w:cs="Calibri"/>
            <w:b/>
            <w:bCs/>
            <w:color w:val="00A6E2" w:themeColor="accent1"/>
          </w:rPr>
          <w:t xml:space="preserve"> </w:t>
        </w:r>
        <w:r w:rsidRPr="000C17EB">
          <w:rPr>
            <w:rStyle w:val="Hyperlnk"/>
            <w:rFonts w:asciiTheme="minorHAnsi" w:hAnsiTheme="minorHAnsi" w:cs="Calibri"/>
            <w:b/>
            <w:bCs/>
            <w:color w:val="B46400" w:themeColor="accent6" w:themeShade="BF"/>
          </w:rPr>
          <w:t>FABA</w:t>
        </w:r>
      </w:hyperlink>
      <w:r w:rsidRPr="000C17EB">
        <w:rPr>
          <w:rFonts w:asciiTheme="minorHAnsi" w:hAnsiTheme="minorHAnsi" w:cs="Calibri"/>
          <w:b/>
          <w:bCs/>
          <w:color w:val="00A6E2" w:themeColor="accent1"/>
        </w:rPr>
        <w:t>,</w:t>
      </w:r>
      <w:r w:rsidRPr="000C17EB">
        <w:rPr>
          <w:rFonts w:asciiTheme="minorHAnsi" w:hAnsiTheme="minorHAnsi" w:cs="Calibri"/>
          <w:b/>
          <w:bCs/>
          <w:color w:val="003D7C" w:themeColor="accent2"/>
        </w:rPr>
        <w:t xml:space="preserve"> </w:t>
      </w:r>
      <w:r w:rsidRPr="000C17EB">
        <w:rPr>
          <w:rFonts w:asciiTheme="minorHAnsi" w:hAnsiTheme="minorHAnsi" w:cs="Calibri"/>
          <w:b/>
          <w:bCs/>
          <w:i/>
          <w:iCs/>
          <w:color w:val="003D7C" w:themeColor="accent2"/>
        </w:rPr>
        <w:t>snabbverkande</w:t>
      </w:r>
      <w:r w:rsidRPr="000C17EB">
        <w:rPr>
          <w:rFonts w:asciiTheme="minorHAnsi" w:hAnsiTheme="minorHAnsi" w:cs="Calibri"/>
          <w:b/>
          <w:bCs/>
          <w:color w:val="003D7C" w:themeColor="accent2"/>
        </w:rPr>
        <w:t xml:space="preserve"> beta-2-agonister</w:t>
      </w:r>
      <w:r w:rsidRPr="000C17EB">
        <w:rPr>
          <w:rFonts w:asciiTheme="minorHAnsi" w:hAnsiTheme="minorHAnsi" w:cs="Calibri"/>
          <w:b/>
          <w:bCs/>
          <w:color w:val="003D7C" w:themeColor="accent2"/>
        </w:rPr>
        <w:br/>
      </w:r>
      <w:r w:rsidRPr="000C17EB">
        <w:rPr>
          <w:rFonts w:asciiTheme="minorHAnsi" w:hAnsiTheme="minorHAnsi" w:cs="Calibri"/>
          <w:color w:val="003D7C" w:themeColor="accent2"/>
        </w:rPr>
        <w:t xml:space="preserve">Inkluderar preparat från </w:t>
      </w:r>
      <w:hyperlink w:anchor="_ORDLISTA" w:history="1">
        <w:r w:rsidRPr="000C17EB">
          <w:rPr>
            <w:rStyle w:val="Hyperlnk"/>
            <w:rFonts w:asciiTheme="minorHAnsi" w:hAnsiTheme="minorHAnsi" w:cs="Calibri"/>
            <w:color w:val="B46400" w:themeColor="accent6" w:themeShade="BF"/>
          </w:rPr>
          <w:t>SABA</w:t>
        </w:r>
      </w:hyperlink>
      <w:r w:rsidRPr="000C17EB">
        <w:rPr>
          <w:rFonts w:asciiTheme="minorHAnsi" w:hAnsiTheme="minorHAnsi" w:cs="Calibri"/>
          <w:color w:val="003D7C" w:themeColor="accent2"/>
        </w:rPr>
        <w:t xml:space="preserve">-gruppen (salbutamol och terbutalin) samt från </w:t>
      </w:r>
      <w:hyperlink w:anchor="_ORDLISTA" w:history="1">
        <w:r w:rsidRPr="000C17EB">
          <w:rPr>
            <w:rStyle w:val="Hyperlnk"/>
            <w:rFonts w:asciiTheme="minorHAnsi" w:hAnsiTheme="minorHAnsi" w:cs="Calibri"/>
            <w:color w:val="B46400" w:themeColor="accent6" w:themeShade="BF"/>
          </w:rPr>
          <w:t>LABA</w:t>
        </w:r>
      </w:hyperlink>
      <w:r w:rsidRPr="000C17EB">
        <w:rPr>
          <w:rFonts w:asciiTheme="minorHAnsi" w:hAnsiTheme="minorHAnsi" w:cs="Calibri"/>
          <w:color w:val="003D7C" w:themeColor="accent2"/>
        </w:rPr>
        <w:t>-gruppen (formoterol).</w:t>
      </w:r>
    </w:p>
    <w:p w14:paraId="7FD1AAFA" w14:textId="77777777" w:rsidR="00EC79BD" w:rsidRPr="000C17EB" w:rsidRDefault="00EC79BD" w:rsidP="00EC79BD">
      <w:pPr>
        <w:pStyle w:val="Normal4"/>
        <w:spacing w:before="0" w:beforeAutospacing="0" w:after="240" w:afterAutospacing="0"/>
        <w:rPr>
          <w:rFonts w:asciiTheme="minorHAnsi" w:hAnsiTheme="minorHAnsi" w:cs="Calibri"/>
          <w:color w:val="003D7C" w:themeColor="accent2"/>
        </w:rPr>
      </w:pPr>
      <w:r w:rsidRPr="000C17EB">
        <w:rPr>
          <w:rFonts w:asciiTheme="minorHAnsi" w:hAnsiTheme="minorHAnsi" w:cs="Calibri"/>
          <w:color w:val="003D7C" w:themeColor="accent2"/>
        </w:rPr>
        <w:t xml:space="preserve">OBS! Det finns således bara en långverkande beta-2-agonist som också är snabbverkande och det är formoterol. Terapigruppen rekommenderar således formoterol i första hand i de flesta fall. </w:t>
      </w:r>
      <w:r w:rsidRPr="000C17EB">
        <w:rPr>
          <w:rFonts w:asciiTheme="minorHAnsi" w:hAnsiTheme="minorHAnsi" w:cs="Calibri"/>
          <w:color w:val="003D7C" w:themeColor="accent2"/>
        </w:rPr>
        <w:br/>
      </w:r>
    </w:p>
    <w:p w14:paraId="2999434A" w14:textId="77777777" w:rsidR="00EC79BD" w:rsidRPr="000C17EB" w:rsidRDefault="00EC79BD" w:rsidP="00EC79BD">
      <w:pPr>
        <w:pStyle w:val="Normal4"/>
        <w:spacing w:before="0" w:beforeAutospacing="0" w:after="240" w:afterAutospacing="0"/>
        <w:rPr>
          <w:rFonts w:asciiTheme="minorHAnsi" w:hAnsiTheme="minorHAnsi" w:cs="Calibri"/>
          <w:color w:val="404040"/>
        </w:rPr>
      </w:pPr>
      <w:r w:rsidRPr="000C17EB">
        <w:rPr>
          <w:rFonts w:asciiTheme="minorHAnsi" w:hAnsiTheme="minorHAnsi" w:cs="Calibri"/>
          <w:b/>
          <w:bCs/>
          <w:noProof/>
          <w:color w:val="003D7C" w:themeColor="accent2"/>
          <w:u w:val="single"/>
        </w:rPr>
        <mc:AlternateContent>
          <mc:Choice Requires="wps">
            <w:drawing>
              <wp:anchor distT="0" distB="0" distL="114300" distR="114300" simplePos="0" relativeHeight="251759616" behindDoc="1" locked="0" layoutInCell="1" allowOverlap="1" wp14:anchorId="006E13F7" wp14:editId="1A009AE9">
                <wp:simplePos x="0" y="0"/>
                <wp:positionH relativeFrom="margin">
                  <wp:align>center</wp:align>
                </wp:positionH>
                <wp:positionV relativeFrom="paragraph">
                  <wp:posOffset>72390</wp:posOffset>
                </wp:positionV>
                <wp:extent cx="6282046" cy="1951990"/>
                <wp:effectExtent l="0" t="0" r="24130" b="10160"/>
                <wp:wrapNone/>
                <wp:docPr id="1200761858" name="Rektangel: rundade hörn 1200761858"/>
                <wp:cNvGraphicFramePr/>
                <a:graphic xmlns:a="http://schemas.openxmlformats.org/drawingml/2006/main">
                  <a:graphicData uri="http://schemas.microsoft.com/office/word/2010/wordprocessingShape">
                    <wps:wsp>
                      <wps:cNvSpPr/>
                      <wps:spPr>
                        <a:xfrm>
                          <a:off x="0" y="0"/>
                          <a:ext cx="6282046" cy="1951990"/>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txbx>
                        <w:txbxContent>
                          <w:p w14:paraId="22BFDBA5" w14:textId="77777777" w:rsidR="00EC79BD" w:rsidRPr="00BC4CE8" w:rsidRDefault="00EC79BD" w:rsidP="00EC79BD">
                            <w:pPr>
                              <w:pStyle w:val="Normal4"/>
                              <w:spacing w:before="0" w:beforeAutospacing="0" w:after="0" w:afterAutospacing="0"/>
                              <w:rPr>
                                <w:rFonts w:asciiTheme="minorHAnsi" w:hAnsiTheme="minorHAnsi" w:cs="Calibri"/>
                                <w:color w:val="003D7C" w:themeColor="text2"/>
                              </w:rPr>
                            </w:pPr>
                            <w:r w:rsidRPr="00BC4CE8">
                              <w:rPr>
                                <w:rFonts w:asciiTheme="minorHAnsi" w:hAnsiTheme="minorHAnsi" w:cs="Calibri"/>
                                <w:b/>
                                <w:bCs/>
                                <w:color w:val="003D7C" w:themeColor="text2"/>
                              </w:rPr>
                              <w:t xml:space="preserve"> Inhalationssteroider bör ordineras till alla vuxna med astma.</w:t>
                            </w:r>
                            <w:r w:rsidRPr="00BC4CE8">
                              <w:rPr>
                                <w:rFonts w:asciiTheme="minorHAnsi" w:hAnsiTheme="minorHAnsi" w:cs="Calibri"/>
                                <w:color w:val="003D7C" w:themeColor="text2"/>
                              </w:rPr>
                              <w:t xml:space="preserve"> </w:t>
                            </w:r>
                            <w:r w:rsidRPr="00BC4CE8">
                              <w:rPr>
                                <w:rFonts w:asciiTheme="minorHAnsi" w:hAnsiTheme="minorHAnsi" w:cs="Calibri"/>
                                <w:color w:val="003D7C" w:themeColor="text2"/>
                              </w:rPr>
                              <w:br/>
                              <w:t xml:space="preserve">Monobehandling med luftrörsvidgande beta-2-agonist ska undvikas  </w:t>
                            </w:r>
                          </w:p>
                          <w:p w14:paraId="3559FDC4" w14:textId="77777777" w:rsidR="00EC79BD" w:rsidRPr="00BC4CE8" w:rsidRDefault="00EC79BD" w:rsidP="00EC79BD">
                            <w:pPr>
                              <w:pStyle w:val="Normal4"/>
                              <w:spacing w:before="0" w:beforeAutospacing="0" w:after="0" w:afterAutospacing="0"/>
                              <w:rPr>
                                <w:rFonts w:asciiTheme="minorHAnsi" w:hAnsiTheme="minorHAnsi" w:cs="Calibri"/>
                                <w:color w:val="003D7C" w:themeColor="text2"/>
                              </w:rPr>
                            </w:pPr>
                            <w:r w:rsidRPr="00BC4CE8">
                              <w:rPr>
                                <w:rFonts w:asciiTheme="minorHAnsi" w:hAnsiTheme="minorHAnsi" w:cs="Calibri"/>
                                <w:color w:val="003D7C" w:themeColor="text2"/>
                              </w:rPr>
                              <w:t xml:space="preserve">– det maskerar en okontrollerad astma och har i studier visat sig inte ge bättre astmakontroll än placebo och är associerad med ökad risk för allvarliga biverkningar.  </w:t>
                            </w:r>
                            <w:r>
                              <w:rPr>
                                <w:rFonts w:asciiTheme="minorHAnsi" w:hAnsiTheme="minorHAnsi" w:cs="Calibri"/>
                                <w:color w:val="003D7C" w:themeColor="text2"/>
                              </w:rPr>
                              <w:br/>
                            </w:r>
                          </w:p>
                          <w:p w14:paraId="58692437" w14:textId="77777777" w:rsidR="00EC79BD" w:rsidRPr="00BC4CE8" w:rsidRDefault="00EC79BD" w:rsidP="00EC79BD">
                            <w:pPr>
                              <w:pStyle w:val="Normal4"/>
                              <w:spacing w:before="0" w:beforeAutospacing="0" w:after="0" w:afterAutospacing="0"/>
                              <w:rPr>
                                <w:rFonts w:asciiTheme="minorHAnsi" w:hAnsiTheme="minorHAnsi" w:cs="Calibri"/>
                                <w:b/>
                                <w:bCs/>
                                <w:color w:val="003D7C" w:themeColor="text2"/>
                              </w:rPr>
                            </w:pPr>
                            <w:r w:rsidRPr="00BC4CE8">
                              <w:rPr>
                                <w:rFonts w:asciiTheme="minorHAnsi" w:hAnsiTheme="minorHAnsi" w:cs="Calibri"/>
                                <w:b/>
                                <w:bCs/>
                                <w:color w:val="003D7C" w:themeColor="text2"/>
                              </w:rPr>
                              <w:t xml:space="preserve">Vid behovsbehandling med enkom beta-2-agonister ska ersättas med den fasta kombinationen </w:t>
                            </w:r>
                            <w:hyperlink w:anchor="_ORDLISTA" w:history="1">
                              <w:r w:rsidRPr="00BC4CE8">
                                <w:rPr>
                                  <w:rStyle w:val="Hyperlnk"/>
                                  <w:rFonts w:asciiTheme="minorHAnsi" w:hAnsiTheme="minorHAnsi" w:cs="Calibri"/>
                                  <w:b/>
                                  <w:bCs/>
                                  <w:color w:val="B46400" w:themeColor="accent6" w:themeShade="BF"/>
                                </w:rPr>
                                <w:t>ICS</w:t>
                              </w:r>
                              <w:r w:rsidRPr="00BC4CE8">
                                <w:rPr>
                                  <w:rStyle w:val="Hyperlnk"/>
                                  <w:rFonts w:asciiTheme="minorHAnsi" w:hAnsiTheme="minorHAnsi" w:cs="Calibri"/>
                                  <w:b/>
                                  <w:bCs/>
                                  <w:color w:val="002D5C" w:themeColor="text2" w:themeShade="BF"/>
                                </w:rPr>
                                <w:t>+formoterol</w:t>
                              </w:r>
                            </w:hyperlink>
                            <w:r w:rsidRPr="00BC4CE8">
                              <w:rPr>
                                <w:rFonts w:asciiTheme="minorHAnsi" w:hAnsiTheme="minorHAnsi" w:cs="Calibri"/>
                                <w:b/>
                                <w:bCs/>
                                <w:color w:val="002D5C" w:themeColor="text2" w:themeShade="BF"/>
                              </w:rPr>
                              <w:t>.</w:t>
                            </w:r>
                            <w:r w:rsidRPr="00BC4CE8">
                              <w:rPr>
                                <w:rFonts w:asciiTheme="minorHAnsi" w:hAnsiTheme="minorHAnsi" w:cs="Calibri"/>
                                <w:b/>
                                <w:bCs/>
                                <w:color w:val="003D7C" w:themeColor="text2"/>
                              </w:rPr>
                              <w:t xml:space="preserve"> En fast kombination rekommenderas för att säkerhetsställa att ICS används vid varje tillfälle. </w:t>
                            </w:r>
                          </w:p>
                          <w:p w14:paraId="549F2DEB" w14:textId="77777777" w:rsidR="00EC79BD" w:rsidRDefault="00EC79BD" w:rsidP="00EC79B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6E13F7" id="Rektangel: rundade hörn 1200761858" o:spid="_x0000_s1042" style="position:absolute;margin-left:0;margin-top:5.7pt;width:494.65pt;height:153.7pt;z-index:-251556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" fillcolor="#86cdff" strokecolor="#0079a6" strokeweight="2pt">
                <v:fill color2="#dceeff" rotate="t" angle="45" colors="0 #86cdff;.5 #b7deff;1 #dceeff" focus="100%" type="gradient"/>
                <v:textbox>
                  <w:txbxContent>
                    <w:p w14:paraId="22BFDBA5" w14:textId="77777777" w:rsidR="00EC79BD" w:rsidRPr="00BC4CE8" w:rsidRDefault="00EC79BD" w:rsidP="00EC79BD">
                      <w:pPr>
                        <w:pStyle w:val="Normal4"/>
                        <w:spacing w:before="0" w:beforeAutospacing="0" w:after="0" w:afterAutospacing="0"/>
                        <w:rPr>
                          <w:rFonts w:asciiTheme="minorHAnsi" w:hAnsiTheme="minorHAnsi" w:cs="Calibri"/>
                          <w:color w:val="003D7C" w:themeColor="text2"/>
                        </w:rPr>
                      </w:pPr>
                      <w:r w:rsidRPr="00BC4CE8">
                        <w:rPr>
                          <w:rFonts w:asciiTheme="minorHAnsi" w:hAnsiTheme="minorHAnsi" w:cs="Calibri"/>
                          <w:b/>
                          <w:bCs/>
                          <w:color w:val="003D7C" w:themeColor="text2"/>
                        </w:rPr>
                        <w:t xml:space="preserve"> Inhalationssteroider bör ordineras till alla vuxna med astma.</w:t>
                      </w:r>
                      <w:r w:rsidRPr="00BC4CE8">
                        <w:rPr>
                          <w:rFonts w:asciiTheme="minorHAnsi" w:hAnsiTheme="minorHAnsi" w:cs="Calibri"/>
                          <w:color w:val="003D7C" w:themeColor="text2"/>
                        </w:rPr>
                        <w:t xml:space="preserve"> </w:t>
                      </w:r>
                      <w:r w:rsidRPr="00BC4CE8">
                        <w:rPr>
                          <w:rFonts w:asciiTheme="minorHAnsi" w:hAnsiTheme="minorHAnsi" w:cs="Calibri"/>
                          <w:color w:val="003D7C" w:themeColor="text2"/>
                        </w:rPr>
                        <w:br/>
                        <w:t xml:space="preserve">Monobehandling med luftrörsvidgande beta-2-agonist ska undvikas  </w:t>
                      </w:r>
                    </w:p>
                    <w:p w14:paraId="3559FDC4" w14:textId="77777777" w:rsidR="00EC79BD" w:rsidRPr="00BC4CE8" w:rsidRDefault="00EC79BD" w:rsidP="00EC79BD">
                      <w:pPr>
                        <w:pStyle w:val="Normal4"/>
                        <w:spacing w:before="0" w:beforeAutospacing="0" w:after="0" w:afterAutospacing="0"/>
                        <w:rPr>
                          <w:rFonts w:asciiTheme="minorHAnsi" w:hAnsiTheme="minorHAnsi" w:cs="Calibri"/>
                          <w:color w:val="003D7C" w:themeColor="text2"/>
                        </w:rPr>
                      </w:pPr>
                      <w:r w:rsidRPr="00BC4CE8">
                        <w:rPr>
                          <w:rFonts w:asciiTheme="minorHAnsi" w:hAnsiTheme="minorHAnsi" w:cs="Calibri"/>
                          <w:color w:val="003D7C" w:themeColor="text2"/>
                        </w:rPr>
                        <w:t xml:space="preserve">– det maskerar en okontrollerad astma och har i studier visat sig inte ge bättre astmakontroll än placebo och är associerad med ökad risk för allvarliga biverkningar.  </w:t>
                      </w:r>
                      <w:r>
                        <w:rPr>
                          <w:rFonts w:asciiTheme="minorHAnsi" w:hAnsiTheme="minorHAnsi" w:cs="Calibri"/>
                          <w:color w:val="003D7C" w:themeColor="text2"/>
                        </w:rPr>
                        <w:br/>
                      </w:r>
                    </w:p>
                    <w:p w14:paraId="58692437" w14:textId="77777777" w:rsidR="00EC79BD" w:rsidRPr="00BC4CE8" w:rsidRDefault="00EC79BD" w:rsidP="00EC79BD">
                      <w:pPr>
                        <w:pStyle w:val="Normal4"/>
                        <w:spacing w:before="0" w:beforeAutospacing="0" w:after="0" w:afterAutospacing="0"/>
                        <w:rPr>
                          <w:rFonts w:asciiTheme="minorHAnsi" w:hAnsiTheme="minorHAnsi" w:cs="Calibri"/>
                          <w:b/>
                          <w:bCs/>
                          <w:color w:val="003D7C" w:themeColor="text2"/>
                        </w:rPr>
                      </w:pPr>
                      <w:r w:rsidRPr="00BC4CE8">
                        <w:rPr>
                          <w:rFonts w:asciiTheme="minorHAnsi" w:hAnsiTheme="minorHAnsi" w:cs="Calibri"/>
                          <w:b/>
                          <w:bCs/>
                          <w:color w:val="003D7C" w:themeColor="text2"/>
                        </w:rPr>
                        <w:t xml:space="preserve">Vid behovsbehandling med enkom beta-2-agonister ska ersättas med den fasta kombinationen </w:t>
                      </w:r>
                      <w:hyperlink w:anchor="_ORDLISTA" w:history="1">
                        <w:r w:rsidRPr="00BC4CE8">
                          <w:rPr>
                            <w:rStyle w:val="Hyperlnk"/>
                            <w:rFonts w:asciiTheme="minorHAnsi" w:hAnsiTheme="minorHAnsi" w:cs="Calibri"/>
                            <w:b/>
                            <w:bCs/>
                            <w:color w:val="B46400" w:themeColor="accent6" w:themeShade="BF"/>
                          </w:rPr>
                          <w:t>ICS</w:t>
                        </w:r>
                        <w:r w:rsidRPr="00BC4CE8">
                          <w:rPr>
                            <w:rStyle w:val="Hyperlnk"/>
                            <w:rFonts w:asciiTheme="minorHAnsi" w:hAnsiTheme="minorHAnsi" w:cs="Calibri"/>
                            <w:b/>
                            <w:bCs/>
                            <w:color w:val="002D5C" w:themeColor="text2" w:themeShade="BF"/>
                          </w:rPr>
                          <w:t>+formoterol</w:t>
                        </w:r>
                      </w:hyperlink>
                      <w:r w:rsidRPr="00BC4CE8">
                        <w:rPr>
                          <w:rFonts w:asciiTheme="minorHAnsi" w:hAnsiTheme="minorHAnsi" w:cs="Calibri"/>
                          <w:b/>
                          <w:bCs/>
                          <w:color w:val="002D5C" w:themeColor="text2" w:themeShade="BF"/>
                        </w:rPr>
                        <w:t>.</w:t>
                      </w:r>
                      <w:r w:rsidRPr="00BC4CE8">
                        <w:rPr>
                          <w:rFonts w:asciiTheme="minorHAnsi" w:hAnsiTheme="minorHAnsi" w:cs="Calibri"/>
                          <w:b/>
                          <w:bCs/>
                          <w:color w:val="003D7C" w:themeColor="text2"/>
                        </w:rPr>
                        <w:t xml:space="preserve"> En fast kombination rekommenderas för att säkerhetsställa att ICS används vid varje tillfälle. </w:t>
                      </w:r>
                    </w:p>
                    <w:p w14:paraId="549F2DEB" w14:textId="77777777" w:rsidR="00EC79BD" w:rsidRDefault="00EC79BD" w:rsidP="00EC79BD">
                      <w:r>
                        <w:t>,</w:t>
                      </w:r>
                    </w:p>
                  </w:txbxContent>
                </v:textbox>
                <w10:wrap anchorx="margin"/>
              </v:roundrect>
            </w:pict>
          </mc:Fallback>
        </mc:AlternateContent>
      </w:r>
    </w:p>
    <w:p w14:paraId="77B73B21" w14:textId="77777777" w:rsidR="00EC79BD" w:rsidRPr="000C17EB" w:rsidRDefault="00EC79BD" w:rsidP="00EC79BD">
      <w:pPr>
        <w:pStyle w:val="Normal4"/>
        <w:spacing w:before="0" w:beforeAutospacing="0" w:after="240" w:afterAutospacing="0"/>
        <w:rPr>
          <w:rFonts w:asciiTheme="minorHAnsi" w:hAnsiTheme="minorHAnsi" w:cs="Calibri"/>
          <w:color w:val="404040"/>
        </w:rPr>
      </w:pPr>
    </w:p>
    <w:p w14:paraId="4B646B9B" w14:textId="77777777" w:rsidR="00EC79BD" w:rsidRPr="000C17EB" w:rsidRDefault="00EC79BD" w:rsidP="00EC79BD">
      <w:pPr>
        <w:pStyle w:val="Normal4"/>
        <w:spacing w:before="0" w:beforeAutospacing="0" w:after="240" w:afterAutospacing="0"/>
        <w:rPr>
          <w:rFonts w:asciiTheme="minorHAnsi" w:hAnsiTheme="minorHAnsi" w:cs="Calibri"/>
          <w:color w:val="404040"/>
        </w:rPr>
      </w:pPr>
    </w:p>
    <w:p w14:paraId="6680F4A5" w14:textId="77777777" w:rsidR="00EC79BD" w:rsidRPr="000C17EB" w:rsidRDefault="00EC79BD" w:rsidP="00EC79BD">
      <w:pPr>
        <w:pStyle w:val="Normal4"/>
        <w:spacing w:before="0" w:beforeAutospacing="0" w:after="240" w:afterAutospacing="0"/>
        <w:rPr>
          <w:rFonts w:asciiTheme="minorHAnsi" w:hAnsiTheme="minorHAnsi" w:cs="Calibri"/>
          <w:b/>
          <w:bCs/>
          <w:color w:val="404040"/>
        </w:rPr>
      </w:pPr>
    </w:p>
    <w:p w14:paraId="7C3647E3" w14:textId="77777777" w:rsidR="00EC79BD" w:rsidRPr="000C17EB" w:rsidRDefault="00EC79BD" w:rsidP="00EC79BD">
      <w:pPr>
        <w:pStyle w:val="Normal4"/>
        <w:spacing w:before="0" w:beforeAutospacing="0" w:after="240" w:afterAutospacing="0"/>
        <w:rPr>
          <w:rFonts w:asciiTheme="minorHAnsi" w:hAnsiTheme="minorHAnsi" w:cs="Calibri"/>
          <w:b/>
          <w:bCs/>
          <w:color w:val="404040"/>
        </w:rPr>
      </w:pPr>
    </w:p>
    <w:p w14:paraId="4970C986" w14:textId="77777777" w:rsidR="00EC79BD" w:rsidRDefault="00EC79BD" w:rsidP="00EC79BD">
      <w:pPr>
        <w:tabs>
          <w:tab w:val="clear" w:pos="284"/>
        </w:tabs>
        <w:spacing w:after="120" w:line="260" w:lineRule="atLeast"/>
        <w:rPr>
          <w:rFonts w:asciiTheme="minorHAnsi" w:hAnsiTheme="minorHAnsi" w:cs="Calibri"/>
          <w:b/>
          <w:bCs/>
          <w:color w:val="404040"/>
        </w:rPr>
      </w:pPr>
    </w:p>
    <w:p w14:paraId="06EFEF7A" w14:textId="77777777" w:rsidR="00EC79BD" w:rsidRDefault="00EC79BD" w:rsidP="00EC79BD">
      <w:pPr>
        <w:tabs>
          <w:tab w:val="clear" w:pos="284"/>
        </w:tabs>
        <w:spacing w:after="120" w:line="260" w:lineRule="atLeast"/>
        <w:rPr>
          <w:rFonts w:asciiTheme="minorHAnsi" w:hAnsiTheme="minorHAnsi" w:cs="Calibri"/>
          <w:b/>
          <w:bCs/>
          <w:color w:val="404040"/>
        </w:rPr>
      </w:pPr>
    </w:p>
    <w:p w14:paraId="3DC2CDF9" w14:textId="77777777" w:rsidR="00EC79BD" w:rsidRDefault="00EC79BD" w:rsidP="00EC79BD">
      <w:pPr>
        <w:tabs>
          <w:tab w:val="clear" w:pos="284"/>
        </w:tabs>
        <w:spacing w:after="120" w:line="260" w:lineRule="atLeast"/>
        <w:rPr>
          <w:rFonts w:asciiTheme="minorHAnsi" w:hAnsiTheme="minorHAnsi" w:cs="Calibri"/>
          <w:b/>
          <w:bCs/>
          <w:color w:val="404040"/>
        </w:rPr>
      </w:pPr>
      <w:r w:rsidRPr="000C17EB">
        <w:rPr>
          <w:rFonts w:asciiTheme="minorHAnsi" w:hAnsiTheme="minorHAnsi" w:cs="Calibri"/>
          <w:b/>
          <w:bCs/>
          <w:noProof/>
          <w:color w:val="404040"/>
          <w:u w:val="single"/>
        </w:rPr>
        <w:lastRenderedPageBreak/>
        <mc:AlternateContent>
          <mc:Choice Requires="wps">
            <w:drawing>
              <wp:anchor distT="0" distB="0" distL="114300" distR="114300" simplePos="0" relativeHeight="251761664" behindDoc="1" locked="0" layoutInCell="1" allowOverlap="1" wp14:anchorId="2443AE9F" wp14:editId="538EBDCC">
                <wp:simplePos x="0" y="0"/>
                <wp:positionH relativeFrom="margin">
                  <wp:posOffset>-74839</wp:posOffset>
                </wp:positionH>
                <wp:positionV relativeFrom="paragraph">
                  <wp:posOffset>157117</wp:posOffset>
                </wp:positionV>
                <wp:extent cx="6281420" cy="951230"/>
                <wp:effectExtent l="0" t="0" r="24130" b="20320"/>
                <wp:wrapNone/>
                <wp:docPr id="1200761859" name="Rektangel: rundade hörn 1200761859"/>
                <wp:cNvGraphicFramePr/>
                <a:graphic xmlns:a="http://schemas.openxmlformats.org/drawingml/2006/main">
                  <a:graphicData uri="http://schemas.microsoft.com/office/word/2010/wordprocessingShape">
                    <wps:wsp>
                      <wps:cNvSpPr/>
                      <wps:spPr>
                        <a:xfrm>
                          <a:off x="0" y="0"/>
                          <a:ext cx="6281420" cy="951230"/>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txbx>
                        <w:txbxContent>
                          <w:p w14:paraId="79B16556" w14:textId="77777777" w:rsidR="00EC79BD" w:rsidRPr="00081060" w:rsidRDefault="00EC79BD" w:rsidP="00EC79BD">
                            <w:pPr>
                              <w:pStyle w:val="Normal4"/>
                              <w:spacing w:before="0" w:beforeAutospacing="0" w:after="0" w:afterAutospacing="0"/>
                              <w:rPr>
                                <w:rFonts w:asciiTheme="minorHAnsi" w:hAnsiTheme="minorHAnsi" w:cs="Calibri"/>
                                <w:b/>
                                <w:bCs/>
                                <w:color w:val="003D7C" w:themeColor="text2"/>
                              </w:rPr>
                            </w:pPr>
                            <w:r w:rsidRPr="00081060">
                              <w:rPr>
                                <w:rFonts w:asciiTheme="minorHAnsi" w:hAnsiTheme="minorHAnsi" w:cs="Calibri"/>
                                <w:b/>
                                <w:bCs/>
                                <w:color w:val="003D7C" w:themeColor="text2"/>
                              </w:rPr>
                              <w:t xml:space="preserve">Tänk fast kombination av </w:t>
                            </w:r>
                            <w:hyperlink w:anchor="_ORDLISTA" w:history="1">
                              <w:r w:rsidRPr="00081060">
                                <w:rPr>
                                  <w:rStyle w:val="Hyperlnk"/>
                                  <w:rFonts w:asciiTheme="minorHAnsi" w:hAnsiTheme="minorHAnsi" w:cs="Calibri"/>
                                  <w:b/>
                                  <w:bCs/>
                                  <w:color w:val="B46400" w:themeColor="accent6" w:themeShade="BF"/>
                                </w:rPr>
                                <w:t>ICS</w:t>
                              </w:r>
                            </w:hyperlink>
                            <w:r w:rsidRPr="00081060">
                              <w:rPr>
                                <w:rFonts w:asciiTheme="minorHAnsi" w:hAnsiTheme="minorHAnsi" w:cs="Calibri"/>
                                <w:b/>
                                <w:bCs/>
                                <w:color w:val="003D7C" w:themeColor="text2"/>
                              </w:rPr>
                              <w:t xml:space="preserve">+FABA (formoterol)! </w:t>
                            </w:r>
                            <w:r w:rsidRPr="00081060">
                              <w:rPr>
                                <w:rFonts w:asciiTheme="minorHAnsi" w:hAnsiTheme="minorHAnsi" w:cs="Calibri"/>
                                <w:b/>
                                <w:bCs/>
                                <w:color w:val="003D7C" w:themeColor="text2"/>
                              </w:rPr>
                              <w:br/>
                              <w:t xml:space="preserve">Kan från steg 3 ges som kontinuerlig behandling och vid behov (samma styrka). Detta underlättar för patienten, bara en inhalator behövs! Skriv ”OBS!” i receptet vid styrka över 160 </w:t>
                            </w:r>
                            <w:r w:rsidRPr="00081060">
                              <w:rPr>
                                <w:rStyle w:val="Stark"/>
                                <w:rFonts w:asciiTheme="minorHAnsi" w:eastAsiaTheme="minorEastAsia" w:hAnsiTheme="minorHAnsi" w:cs="Calibri"/>
                                <w:b w:val="0"/>
                                <w:color w:val="003D7C" w:themeColor="text2"/>
                              </w:rPr>
                              <w:t>µg</w:t>
                            </w:r>
                            <w:r w:rsidRPr="00081060">
                              <w:rPr>
                                <w:rFonts w:asciiTheme="minorHAnsi" w:hAnsiTheme="minorHAnsi" w:cs="Calibri"/>
                                <w:b/>
                                <w:bCs/>
                                <w:color w:val="003D7C" w:themeColor="text2"/>
                              </w:rPr>
                              <w:t xml:space="preserve">!  </w:t>
                            </w:r>
                          </w:p>
                          <w:p w14:paraId="258993B2" w14:textId="77777777" w:rsidR="00EC79BD" w:rsidRDefault="00EC79BD" w:rsidP="00EC79B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43AE9F" id="Rektangel: rundade hörn 1200761859" o:spid="_x0000_s1043" style="position:absolute;margin-left:-5.9pt;margin-top:12.35pt;width:494.6pt;height:74.9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" fillcolor="#86cdff" strokecolor="#0079a6" strokeweight="2pt">
                <v:fill color2="#dceeff" rotate="t" angle="45" colors="0 #86cdff;.5 #b7deff;1 #dceeff" focus="100%" type="gradient"/>
                <v:textbox>
                  <w:txbxContent>
                    <w:p w14:paraId="79B16556" w14:textId="77777777" w:rsidR="00EC79BD" w:rsidRPr="00081060" w:rsidRDefault="00EC79BD" w:rsidP="00EC79BD">
                      <w:pPr>
                        <w:pStyle w:val="Normal4"/>
                        <w:spacing w:before="0" w:beforeAutospacing="0" w:after="0" w:afterAutospacing="0"/>
                        <w:rPr>
                          <w:rFonts w:asciiTheme="minorHAnsi" w:hAnsiTheme="minorHAnsi" w:cs="Calibri"/>
                          <w:b/>
                          <w:bCs/>
                          <w:color w:val="003D7C" w:themeColor="text2"/>
                        </w:rPr>
                      </w:pPr>
                      <w:r w:rsidRPr="00081060">
                        <w:rPr>
                          <w:rFonts w:asciiTheme="minorHAnsi" w:hAnsiTheme="minorHAnsi" w:cs="Calibri"/>
                          <w:b/>
                          <w:bCs/>
                          <w:color w:val="003D7C" w:themeColor="text2"/>
                        </w:rPr>
                        <w:t xml:space="preserve">Tänk fast kombination av </w:t>
                      </w:r>
                      <w:hyperlink w:anchor="_ORDLISTA" w:history="1">
                        <w:r w:rsidRPr="00081060">
                          <w:rPr>
                            <w:rStyle w:val="Hyperlnk"/>
                            <w:rFonts w:asciiTheme="minorHAnsi" w:hAnsiTheme="minorHAnsi" w:cs="Calibri"/>
                            <w:b/>
                            <w:bCs/>
                            <w:color w:val="B46400" w:themeColor="accent6" w:themeShade="BF"/>
                          </w:rPr>
                          <w:t>ICS</w:t>
                        </w:r>
                      </w:hyperlink>
                      <w:r w:rsidRPr="00081060">
                        <w:rPr>
                          <w:rFonts w:asciiTheme="minorHAnsi" w:hAnsiTheme="minorHAnsi" w:cs="Calibri"/>
                          <w:b/>
                          <w:bCs/>
                          <w:color w:val="003D7C" w:themeColor="text2"/>
                        </w:rPr>
                        <w:t xml:space="preserve">+FABA (formoterol)! </w:t>
                      </w:r>
                      <w:r w:rsidRPr="00081060">
                        <w:rPr>
                          <w:rFonts w:asciiTheme="minorHAnsi" w:hAnsiTheme="minorHAnsi" w:cs="Calibri"/>
                          <w:b/>
                          <w:bCs/>
                          <w:color w:val="003D7C" w:themeColor="text2"/>
                        </w:rPr>
                        <w:br/>
                        <w:t xml:space="preserve">Kan från steg 3 ges som kontinuerlig behandling och vid behov (samma styrka). Detta underlättar för patienten, bara en inhalator behövs! Skriv ”OBS!” i receptet vid styrka över 160 </w:t>
                      </w:r>
                      <w:r w:rsidRPr="00081060">
                        <w:rPr>
                          <w:rStyle w:val="Stark"/>
                          <w:rFonts w:asciiTheme="minorHAnsi" w:eastAsiaTheme="minorEastAsia" w:hAnsiTheme="minorHAnsi" w:cs="Calibri"/>
                          <w:b w:val="0"/>
                          <w:color w:val="003D7C" w:themeColor="text2"/>
                        </w:rPr>
                        <w:t>µg</w:t>
                      </w:r>
                      <w:r w:rsidRPr="00081060">
                        <w:rPr>
                          <w:rFonts w:asciiTheme="minorHAnsi" w:hAnsiTheme="minorHAnsi" w:cs="Calibri"/>
                          <w:b/>
                          <w:bCs/>
                          <w:color w:val="003D7C" w:themeColor="text2"/>
                        </w:rPr>
                        <w:t xml:space="preserve">!  </w:t>
                      </w:r>
                    </w:p>
                    <w:p w14:paraId="258993B2" w14:textId="77777777" w:rsidR="00EC79BD" w:rsidRDefault="00EC79BD" w:rsidP="00EC79BD">
                      <w:r>
                        <w:t>,</w:t>
                      </w:r>
                    </w:p>
                  </w:txbxContent>
                </v:textbox>
                <w10:wrap anchorx="margin"/>
              </v:roundrect>
            </w:pict>
          </mc:Fallback>
        </mc:AlternateContent>
      </w:r>
    </w:p>
    <w:p w14:paraId="75649B33" w14:textId="77777777" w:rsidR="00EC79BD" w:rsidRPr="000C17EB" w:rsidRDefault="00EC79BD" w:rsidP="00EC79BD">
      <w:pPr>
        <w:pStyle w:val="Normal4"/>
        <w:spacing w:before="0" w:beforeAutospacing="0" w:after="0" w:afterAutospacing="0"/>
        <w:rPr>
          <w:rFonts w:asciiTheme="minorHAnsi" w:hAnsiTheme="minorHAnsi" w:cs="Calibri"/>
          <w:b/>
          <w:bCs/>
          <w:color w:val="404040"/>
        </w:rPr>
      </w:pPr>
    </w:p>
    <w:p w14:paraId="2FA2FA40" w14:textId="77777777" w:rsidR="00EC79BD" w:rsidRPr="000C17EB" w:rsidRDefault="00EC79BD" w:rsidP="00EC79BD">
      <w:pPr>
        <w:pStyle w:val="Normal4"/>
        <w:tabs>
          <w:tab w:val="center" w:pos="3968"/>
        </w:tabs>
        <w:spacing w:before="0" w:beforeAutospacing="0" w:after="0" w:afterAutospacing="0"/>
        <w:rPr>
          <w:rFonts w:asciiTheme="minorHAnsi" w:hAnsiTheme="minorHAnsi" w:cs="Calibri"/>
          <w:b/>
          <w:bCs/>
          <w:color w:val="404040"/>
        </w:rPr>
      </w:pPr>
      <w:r w:rsidRPr="000C17EB">
        <w:rPr>
          <w:rFonts w:asciiTheme="minorHAnsi" w:hAnsiTheme="minorHAnsi" w:cs="Calibri"/>
          <w:b/>
          <w:bCs/>
          <w:color w:val="404040"/>
        </w:rPr>
        <w:tab/>
      </w:r>
    </w:p>
    <w:p w14:paraId="1A673382" w14:textId="77777777" w:rsidR="00EC79BD" w:rsidRPr="000C17EB" w:rsidRDefault="00EC79BD" w:rsidP="00EC79BD">
      <w:pPr>
        <w:pStyle w:val="Normal4"/>
        <w:spacing w:before="0" w:beforeAutospacing="0" w:after="0" w:afterAutospacing="0"/>
        <w:rPr>
          <w:rFonts w:asciiTheme="minorHAnsi" w:hAnsiTheme="minorHAnsi" w:cs="Calibri"/>
          <w:b/>
          <w:bCs/>
          <w:color w:val="404040"/>
        </w:rPr>
      </w:pPr>
    </w:p>
    <w:p w14:paraId="042FB5EE" w14:textId="77777777" w:rsidR="00EC79BD" w:rsidRPr="000C17EB" w:rsidRDefault="00EC79BD" w:rsidP="00EC79BD">
      <w:pPr>
        <w:pStyle w:val="Normal4"/>
        <w:spacing w:before="0" w:beforeAutospacing="0" w:after="0" w:afterAutospacing="0"/>
        <w:rPr>
          <w:rFonts w:asciiTheme="minorHAnsi" w:hAnsiTheme="minorHAnsi" w:cs="Calibri"/>
          <w:b/>
          <w:bCs/>
          <w:color w:val="404040"/>
        </w:rPr>
      </w:pPr>
    </w:p>
    <w:p w14:paraId="35632BAD" w14:textId="77777777" w:rsidR="00EC79BD" w:rsidRDefault="00EC79BD" w:rsidP="00EC79BD">
      <w:pPr>
        <w:rPr>
          <w:rStyle w:val="Stark"/>
        </w:rPr>
      </w:pPr>
      <w:bookmarkStart w:id="43" w:name="_Toc150457977"/>
    </w:p>
    <w:p w14:paraId="388F58E0" w14:textId="77777777" w:rsidR="00EC79BD" w:rsidRDefault="00EC79BD" w:rsidP="00EC79BD">
      <w:pPr>
        <w:rPr>
          <w:rStyle w:val="Stark"/>
        </w:rPr>
      </w:pPr>
    </w:p>
    <w:p w14:paraId="6E5158B9" w14:textId="77777777" w:rsidR="00EC79BD" w:rsidRDefault="00EC79BD" w:rsidP="00EC79BD">
      <w:pPr>
        <w:rPr>
          <w:rStyle w:val="Stark"/>
        </w:rPr>
      </w:pPr>
      <w:r w:rsidRPr="000C17EB">
        <w:rPr>
          <w:rFonts w:asciiTheme="minorHAnsi" w:hAnsiTheme="minorHAnsi" w:cs="Calibri"/>
          <w:b/>
          <w:bCs/>
          <w:noProof/>
          <w:color w:val="404040"/>
          <w:u w:val="single"/>
        </w:rPr>
        <mc:AlternateContent>
          <mc:Choice Requires="wps">
            <w:drawing>
              <wp:anchor distT="0" distB="0" distL="114300" distR="114300" simplePos="0" relativeHeight="251762688" behindDoc="1" locked="0" layoutInCell="1" allowOverlap="1" wp14:anchorId="26142DDD" wp14:editId="6F3044E9">
                <wp:simplePos x="0" y="0"/>
                <wp:positionH relativeFrom="margin">
                  <wp:align>center</wp:align>
                </wp:positionH>
                <wp:positionV relativeFrom="paragraph">
                  <wp:posOffset>41638</wp:posOffset>
                </wp:positionV>
                <wp:extent cx="6293922" cy="951230"/>
                <wp:effectExtent l="0" t="0" r="12065" b="20320"/>
                <wp:wrapNone/>
                <wp:docPr id="1200761860" name="Rektangel: rundade hörn 1200761860"/>
                <wp:cNvGraphicFramePr/>
                <a:graphic xmlns:a="http://schemas.openxmlformats.org/drawingml/2006/main">
                  <a:graphicData uri="http://schemas.microsoft.com/office/word/2010/wordprocessingShape">
                    <wps:wsp>
                      <wps:cNvSpPr/>
                      <wps:spPr>
                        <a:xfrm>
                          <a:off x="0" y="0"/>
                          <a:ext cx="6293922" cy="951230"/>
                        </a:xfrm>
                        <a:prstGeom prst="roundRect">
                          <a:avLst/>
                        </a:prstGeom>
                        <a:gradFill flip="none" rotWithShape="1">
                          <a:gsLst>
                            <a:gs pos="0">
                              <a:srgbClr val="D7007F">
                                <a:lumMod val="40000"/>
                                <a:lumOff val="60000"/>
                                <a:tint val="66000"/>
                                <a:satMod val="160000"/>
                              </a:srgbClr>
                            </a:gs>
                            <a:gs pos="50000">
                              <a:srgbClr val="D7007F">
                                <a:lumMod val="40000"/>
                                <a:lumOff val="60000"/>
                                <a:tint val="44500"/>
                                <a:satMod val="160000"/>
                              </a:srgbClr>
                            </a:gs>
                            <a:gs pos="100000">
                              <a:srgbClr val="D7007F">
                                <a:lumMod val="40000"/>
                                <a:lumOff val="60000"/>
                                <a:tint val="23500"/>
                                <a:satMod val="160000"/>
                              </a:srgbClr>
                            </a:gs>
                          </a:gsLst>
                          <a:lin ang="2700000" scaled="1"/>
                          <a:tileRect/>
                        </a:gradFill>
                        <a:ln w="25400" cap="flat" cmpd="sng" algn="ctr">
                          <a:solidFill>
                            <a:srgbClr val="00A6E2">
                              <a:shade val="50000"/>
                            </a:srgbClr>
                          </a:solidFill>
                          <a:prstDash val="solid"/>
                        </a:ln>
                        <a:effectLst/>
                      </wps:spPr>
                      <wps:txbx>
                        <w:txbxContent>
                          <w:p w14:paraId="29F3EC75" w14:textId="77777777" w:rsidR="00EC79BD" w:rsidRPr="00BC4CE8" w:rsidRDefault="00EC79BD" w:rsidP="00EC79BD">
                            <w:pPr>
                              <w:rPr>
                                <w:rFonts w:asciiTheme="minorHAnsi" w:hAnsiTheme="minorHAnsi" w:cs="Calibri"/>
                                <w:b/>
                                <w:bCs/>
                                <w:color w:val="003D7C" w:themeColor="accent2"/>
                                <w:szCs w:val="24"/>
                              </w:rPr>
                            </w:pPr>
                            <w:r w:rsidRPr="00BC4CE8">
                              <w:rPr>
                                <w:rFonts w:asciiTheme="minorHAnsi" w:hAnsiTheme="minorHAnsi" w:cs="Calibri"/>
                                <w:b/>
                                <w:bCs/>
                                <w:color w:val="003D7C" w:themeColor="accent2"/>
                                <w:szCs w:val="24"/>
                              </w:rPr>
                              <w:t xml:space="preserve">Kontrollera och gå igenom </w:t>
                            </w:r>
                            <w:r w:rsidRPr="00BC4CE8">
                              <w:rPr>
                                <w:rFonts w:asciiTheme="minorHAnsi" w:hAnsiTheme="minorHAnsi" w:cs="Calibri"/>
                                <w:b/>
                                <w:bCs/>
                                <w:color w:val="003D7C" w:themeColor="accent2"/>
                                <w:szCs w:val="24"/>
                                <w:u w:val="single"/>
                              </w:rPr>
                              <w:t>inhalationsteknik</w:t>
                            </w:r>
                            <w:r w:rsidRPr="00BC4CE8">
                              <w:rPr>
                                <w:rFonts w:asciiTheme="minorHAnsi" w:hAnsiTheme="minorHAnsi" w:cs="Calibri"/>
                                <w:b/>
                                <w:bCs/>
                                <w:color w:val="003D7C" w:themeColor="accent2"/>
                                <w:szCs w:val="24"/>
                              </w:rPr>
                              <w:t xml:space="preserve"> och </w:t>
                            </w:r>
                            <w:r w:rsidRPr="00BC4CE8">
                              <w:rPr>
                                <w:rFonts w:asciiTheme="minorHAnsi" w:hAnsiTheme="minorHAnsi" w:cs="Calibri"/>
                                <w:b/>
                                <w:bCs/>
                                <w:color w:val="003D7C" w:themeColor="accent2"/>
                                <w:szCs w:val="24"/>
                                <w:u w:val="single"/>
                              </w:rPr>
                              <w:t>följsamhet</w:t>
                            </w:r>
                            <w:r w:rsidRPr="00BC4CE8">
                              <w:rPr>
                                <w:rFonts w:asciiTheme="minorHAnsi" w:hAnsiTheme="minorHAnsi" w:cs="Calibri"/>
                                <w:b/>
                                <w:bCs/>
                                <w:color w:val="003D7C" w:themeColor="accent2"/>
                                <w:szCs w:val="24"/>
                              </w:rPr>
                              <w:t xml:space="preserve"> innan du går vidare i behandlingstrappan! </w:t>
                            </w:r>
                          </w:p>
                          <w:p w14:paraId="0DC30159" w14:textId="77777777" w:rsidR="00EC79BD" w:rsidRPr="00BC4CE8" w:rsidRDefault="00EC79BD" w:rsidP="00EC79BD">
                            <w:pPr>
                              <w:rPr>
                                <w:rFonts w:asciiTheme="minorHAnsi" w:hAnsiTheme="minorHAnsi" w:cs="Calibri"/>
                                <w:b/>
                                <w:bCs/>
                                <w:color w:val="003D7C" w:themeColor="accent2"/>
                                <w:szCs w:val="24"/>
                              </w:rPr>
                            </w:pPr>
                            <w:r w:rsidRPr="00BC4CE8">
                              <w:rPr>
                                <w:rFonts w:asciiTheme="minorHAnsi" w:hAnsiTheme="minorHAnsi" w:cs="Calibri"/>
                                <w:b/>
                                <w:bCs/>
                                <w:color w:val="003D7C" w:themeColor="accent2"/>
                                <w:szCs w:val="24"/>
                              </w:rPr>
                              <w:t>Fråga: ”Hur många doser per vecka glömmer du att ta?” istället för: ”Tar du din medicin?”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142DDD" id="Rektangel: rundade hörn 1200761860" o:spid="_x0000_s1044" style="position:absolute;margin-left:0;margin-top:3.3pt;width:495.6pt;height:74.9pt;z-index:-251553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" fillcolor="#ffa8e2" strokecolor="#0079a6" strokeweight="2pt">
                <v:fill color2="#ffe4f5" rotate="t" angle="45" colors="0 #ffa8e2;.5 #ffc9ec;1 #ffe4f5" focus="100%" type="gradient"/>
                <v:textbox>
                  <w:txbxContent>
                    <w:p w14:paraId="29F3EC75" w14:textId="77777777" w:rsidR="00EC79BD" w:rsidRPr="00BC4CE8" w:rsidRDefault="00EC79BD" w:rsidP="00EC79BD">
                      <w:pPr>
                        <w:rPr>
                          <w:rFonts w:asciiTheme="minorHAnsi" w:hAnsiTheme="minorHAnsi" w:cs="Calibri"/>
                          <w:b/>
                          <w:bCs/>
                          <w:color w:val="003D7C" w:themeColor="accent2"/>
                          <w:szCs w:val="24"/>
                        </w:rPr>
                      </w:pPr>
                      <w:r w:rsidRPr="00BC4CE8">
                        <w:rPr>
                          <w:rFonts w:asciiTheme="minorHAnsi" w:hAnsiTheme="minorHAnsi" w:cs="Calibri"/>
                          <w:b/>
                          <w:bCs/>
                          <w:color w:val="003D7C" w:themeColor="accent2"/>
                          <w:szCs w:val="24"/>
                        </w:rPr>
                        <w:t xml:space="preserve">Kontrollera och gå igenom </w:t>
                      </w:r>
                      <w:r w:rsidRPr="00BC4CE8">
                        <w:rPr>
                          <w:rFonts w:asciiTheme="minorHAnsi" w:hAnsiTheme="minorHAnsi" w:cs="Calibri"/>
                          <w:b/>
                          <w:bCs/>
                          <w:color w:val="003D7C" w:themeColor="accent2"/>
                          <w:szCs w:val="24"/>
                          <w:u w:val="single"/>
                        </w:rPr>
                        <w:t>inhalationsteknik</w:t>
                      </w:r>
                      <w:r w:rsidRPr="00BC4CE8">
                        <w:rPr>
                          <w:rFonts w:asciiTheme="minorHAnsi" w:hAnsiTheme="minorHAnsi" w:cs="Calibri"/>
                          <w:b/>
                          <w:bCs/>
                          <w:color w:val="003D7C" w:themeColor="accent2"/>
                          <w:szCs w:val="24"/>
                        </w:rPr>
                        <w:t xml:space="preserve"> och </w:t>
                      </w:r>
                      <w:r w:rsidRPr="00BC4CE8">
                        <w:rPr>
                          <w:rFonts w:asciiTheme="minorHAnsi" w:hAnsiTheme="minorHAnsi" w:cs="Calibri"/>
                          <w:b/>
                          <w:bCs/>
                          <w:color w:val="003D7C" w:themeColor="accent2"/>
                          <w:szCs w:val="24"/>
                          <w:u w:val="single"/>
                        </w:rPr>
                        <w:t>följsamhet</w:t>
                      </w:r>
                      <w:r w:rsidRPr="00BC4CE8">
                        <w:rPr>
                          <w:rFonts w:asciiTheme="minorHAnsi" w:hAnsiTheme="minorHAnsi" w:cs="Calibri"/>
                          <w:b/>
                          <w:bCs/>
                          <w:color w:val="003D7C" w:themeColor="accent2"/>
                          <w:szCs w:val="24"/>
                        </w:rPr>
                        <w:t xml:space="preserve"> innan du går vidare i behandlingstrappan! </w:t>
                      </w:r>
                    </w:p>
                    <w:p w14:paraId="0DC30159" w14:textId="77777777" w:rsidR="00EC79BD" w:rsidRPr="00BC4CE8" w:rsidRDefault="00EC79BD" w:rsidP="00EC79BD">
                      <w:pPr>
                        <w:rPr>
                          <w:rFonts w:asciiTheme="minorHAnsi" w:hAnsiTheme="minorHAnsi" w:cs="Calibri"/>
                          <w:b/>
                          <w:bCs/>
                          <w:color w:val="003D7C" w:themeColor="accent2"/>
                          <w:szCs w:val="24"/>
                        </w:rPr>
                      </w:pPr>
                      <w:r w:rsidRPr="00BC4CE8">
                        <w:rPr>
                          <w:rFonts w:asciiTheme="minorHAnsi" w:hAnsiTheme="minorHAnsi" w:cs="Calibri"/>
                          <w:b/>
                          <w:bCs/>
                          <w:color w:val="003D7C" w:themeColor="accent2"/>
                          <w:szCs w:val="24"/>
                        </w:rPr>
                        <w:t>Fråga: ”Hur många doser per vecka glömmer du att ta?” istället för: ”Tar du din medicin?”</w:t>
                      </w:r>
                    </w:p>
                  </w:txbxContent>
                </v:textbox>
                <w10:wrap anchorx="margin"/>
              </v:roundrect>
            </w:pict>
          </mc:Fallback>
        </mc:AlternateContent>
      </w:r>
    </w:p>
    <w:p w14:paraId="41C598C2" w14:textId="77777777" w:rsidR="00EC79BD" w:rsidRDefault="00EC79BD" w:rsidP="00EC79BD">
      <w:pPr>
        <w:rPr>
          <w:rStyle w:val="Stark"/>
        </w:rPr>
      </w:pPr>
    </w:p>
    <w:p w14:paraId="54822583" w14:textId="77777777" w:rsidR="00EC79BD" w:rsidRDefault="00EC79BD" w:rsidP="00EC79BD">
      <w:pPr>
        <w:rPr>
          <w:rStyle w:val="Stark"/>
        </w:rPr>
      </w:pPr>
    </w:p>
    <w:p w14:paraId="1FE60708" w14:textId="77777777" w:rsidR="00EC79BD" w:rsidRDefault="00EC79BD" w:rsidP="00EC79BD">
      <w:pPr>
        <w:rPr>
          <w:rStyle w:val="Stark"/>
          <w:b w:val="0"/>
        </w:rPr>
      </w:pPr>
    </w:p>
    <w:p w14:paraId="56A87BB9" w14:textId="77777777" w:rsidR="00EC79BD" w:rsidRDefault="00EC79BD" w:rsidP="00EC79BD">
      <w:pPr>
        <w:rPr>
          <w:rStyle w:val="Stark"/>
          <w:b w:val="0"/>
        </w:rPr>
      </w:pPr>
    </w:p>
    <w:p w14:paraId="189F3C6E" w14:textId="77777777" w:rsidR="00EC79BD" w:rsidRDefault="00EC79BD" w:rsidP="00EC79BD">
      <w:pPr>
        <w:rPr>
          <w:rStyle w:val="Stark"/>
          <w:b w:val="0"/>
        </w:rPr>
      </w:pPr>
    </w:p>
    <w:bookmarkEnd w:id="43"/>
    <w:p w14:paraId="2FDE01BB" w14:textId="77777777" w:rsidR="00EC79BD" w:rsidRPr="00506F10" w:rsidRDefault="00EC79BD" w:rsidP="00EC79BD">
      <w:pPr>
        <w:rPr>
          <w:rStyle w:val="Stark"/>
          <w:bCs/>
          <w:sz w:val="24"/>
          <w:szCs w:val="24"/>
        </w:rPr>
      </w:pPr>
      <w:r>
        <w:rPr>
          <w:rStyle w:val="Stark"/>
          <w:bCs/>
          <w:sz w:val="24"/>
          <w:szCs w:val="24"/>
        </w:rPr>
        <w:br/>
      </w:r>
      <w:r w:rsidRPr="00506F10">
        <w:rPr>
          <w:rStyle w:val="Stark"/>
          <w:bCs/>
          <w:sz w:val="24"/>
          <w:szCs w:val="24"/>
        </w:rPr>
        <w:t>Diagnos</w:t>
      </w:r>
    </w:p>
    <w:p w14:paraId="72F53E7E" w14:textId="77777777" w:rsidR="00EC79BD" w:rsidRPr="000C17EB" w:rsidRDefault="00EC79BD" w:rsidP="00EC79BD">
      <w:pPr>
        <w:pStyle w:val="Normal4"/>
        <w:spacing w:before="0" w:beforeAutospacing="0" w:after="0" w:afterAutospacing="0"/>
        <w:rPr>
          <w:rFonts w:asciiTheme="minorHAnsi" w:hAnsiTheme="minorHAnsi" w:cs="Calibri"/>
          <w:b/>
          <w:bCs/>
          <w:color w:val="404040"/>
        </w:rPr>
      </w:pPr>
      <w:r w:rsidRPr="000C17EB">
        <w:rPr>
          <w:rFonts w:asciiTheme="minorHAnsi" w:hAnsiTheme="minorHAnsi" w:cs="Calibri"/>
          <w:b/>
          <w:bCs/>
          <w:noProof/>
          <w:color w:val="404040"/>
        </w:rPr>
        <mc:AlternateContent>
          <mc:Choice Requires="wps">
            <w:drawing>
              <wp:anchor distT="0" distB="0" distL="114300" distR="114300" simplePos="0" relativeHeight="251758592" behindDoc="1" locked="0" layoutInCell="1" allowOverlap="1" wp14:anchorId="29D07F61" wp14:editId="3EB372E5">
                <wp:simplePos x="0" y="0"/>
                <wp:positionH relativeFrom="margin">
                  <wp:posOffset>-60539</wp:posOffset>
                </wp:positionH>
                <wp:positionV relativeFrom="paragraph">
                  <wp:posOffset>185667</wp:posOffset>
                </wp:positionV>
                <wp:extent cx="6014852" cy="800100"/>
                <wp:effectExtent l="0" t="0" r="24130" b="19050"/>
                <wp:wrapNone/>
                <wp:docPr id="1200761861" name="Rektangel: rundade hörn 1200761861"/>
                <wp:cNvGraphicFramePr/>
                <a:graphic xmlns:a="http://schemas.openxmlformats.org/drawingml/2006/main">
                  <a:graphicData uri="http://schemas.microsoft.com/office/word/2010/wordprocessingShape">
                    <wps:wsp>
                      <wps:cNvSpPr/>
                      <wps:spPr>
                        <a:xfrm>
                          <a:off x="0" y="0"/>
                          <a:ext cx="6014852" cy="800100"/>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0E70B5" id="Rektangel: rundade hörn 1200761861" o:spid="_x0000_s1026" style="position:absolute;margin-left:-4.75pt;margin-top:14.6pt;width:473.6pt;height:63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" fillcolor="#86cdff" strokecolor="#0079a6" strokeweight="2pt">
                <v:fill color2="#dceeff" rotate="t" angle="45" colors="0 #86cdff;.5 #b7deff;1 #dceeff" focus="100%" type="gradient"/>
                <w10:wrap anchorx="margin"/>
              </v:roundrect>
            </w:pict>
          </mc:Fallback>
        </mc:AlternateContent>
      </w:r>
    </w:p>
    <w:p w14:paraId="456B66A1" w14:textId="77777777" w:rsidR="00EC79BD" w:rsidRPr="000C17EB" w:rsidRDefault="00EC79BD" w:rsidP="00EC79BD">
      <w:pPr>
        <w:pStyle w:val="Normal4"/>
        <w:spacing w:before="0" w:beforeAutospacing="0" w:after="0" w:afterAutospacing="0"/>
        <w:rPr>
          <w:rFonts w:asciiTheme="minorHAnsi" w:hAnsiTheme="minorHAnsi" w:cs="Calibri"/>
          <w:b/>
          <w:bCs/>
          <w:i/>
          <w:iCs/>
          <w:color w:val="003D7C" w:themeColor="text2"/>
        </w:rPr>
      </w:pPr>
    </w:p>
    <w:p w14:paraId="444CF5E5" w14:textId="77777777" w:rsidR="00EC79BD" w:rsidRPr="000C17EB" w:rsidRDefault="00EC79BD" w:rsidP="00EC79BD">
      <w:pPr>
        <w:pStyle w:val="Normal4"/>
        <w:spacing w:before="0" w:beforeAutospacing="0" w:after="0" w:afterAutospacing="0"/>
        <w:jc w:val="center"/>
        <w:rPr>
          <w:rFonts w:asciiTheme="minorHAnsi" w:hAnsiTheme="minorHAnsi" w:cs="Calibri"/>
          <w:b/>
          <w:bCs/>
          <w:i/>
          <w:iCs/>
          <w:color w:val="003D7C" w:themeColor="text2"/>
        </w:rPr>
      </w:pPr>
      <w:r w:rsidRPr="000C17EB">
        <w:rPr>
          <w:rFonts w:asciiTheme="minorHAnsi" w:hAnsiTheme="minorHAnsi" w:cs="Calibri"/>
          <w:b/>
          <w:bCs/>
          <w:i/>
          <w:iCs/>
          <w:color w:val="003D7C" w:themeColor="text2"/>
        </w:rPr>
        <w:t>Korrekt diagnos är av stor vikt.</w:t>
      </w:r>
    </w:p>
    <w:p w14:paraId="57823000" w14:textId="77777777" w:rsidR="00EC79BD" w:rsidRPr="000C17EB" w:rsidRDefault="00EC79BD" w:rsidP="00EC79BD">
      <w:pPr>
        <w:pStyle w:val="Normal4"/>
        <w:spacing w:before="0" w:beforeAutospacing="0" w:after="0" w:afterAutospacing="0"/>
        <w:rPr>
          <w:rFonts w:asciiTheme="minorHAnsi" w:hAnsiTheme="minorHAnsi" w:cs="Calibri"/>
          <w:b/>
          <w:bCs/>
          <w:i/>
          <w:iCs/>
          <w:color w:val="003D7C" w:themeColor="text2"/>
        </w:rPr>
      </w:pPr>
    </w:p>
    <w:p w14:paraId="387859B9" w14:textId="77777777" w:rsidR="00EC79BD" w:rsidRPr="000C17EB" w:rsidRDefault="00EC79BD" w:rsidP="00EC79BD">
      <w:pPr>
        <w:pStyle w:val="Normal4"/>
        <w:spacing w:before="0" w:beforeAutospacing="0" w:after="0" w:afterAutospacing="0"/>
        <w:jc w:val="center"/>
        <w:rPr>
          <w:rFonts w:asciiTheme="minorHAnsi" w:hAnsiTheme="minorHAnsi" w:cs="Calibri"/>
          <w:b/>
          <w:bCs/>
          <w:i/>
          <w:iCs/>
          <w:color w:val="404040"/>
        </w:rPr>
      </w:pPr>
      <w:r w:rsidRPr="000C17EB">
        <w:rPr>
          <w:rFonts w:asciiTheme="minorHAnsi" w:hAnsiTheme="minorHAnsi" w:cs="Calibri"/>
          <w:b/>
          <w:bCs/>
          <w:i/>
          <w:iCs/>
          <w:color w:val="003D7C" w:themeColor="text2"/>
        </w:rPr>
        <w:t xml:space="preserve">Normal spirometri och </w:t>
      </w:r>
      <w:hyperlink w:anchor="_ORDLISTA" w:history="1">
        <w:r w:rsidRPr="000C17EB">
          <w:rPr>
            <w:rStyle w:val="Hyperlnk"/>
            <w:rFonts w:asciiTheme="minorHAnsi" w:hAnsiTheme="minorHAnsi" w:cs="Calibri"/>
            <w:b/>
            <w:bCs/>
            <w:i/>
            <w:iCs/>
            <w:color w:val="B46400" w:themeColor="accent6" w:themeShade="BF"/>
          </w:rPr>
          <w:t>PEF</w:t>
        </w:r>
      </w:hyperlink>
      <w:r w:rsidRPr="000C17EB">
        <w:rPr>
          <w:rFonts w:asciiTheme="minorHAnsi" w:hAnsiTheme="minorHAnsi" w:cs="Calibri"/>
          <w:b/>
          <w:bCs/>
          <w:i/>
          <w:iCs/>
          <w:color w:val="0070C0"/>
        </w:rPr>
        <w:t xml:space="preserve"> </w:t>
      </w:r>
      <w:r w:rsidRPr="000C17EB">
        <w:rPr>
          <w:rFonts w:asciiTheme="minorHAnsi" w:hAnsiTheme="minorHAnsi" w:cs="Calibri"/>
          <w:b/>
          <w:bCs/>
          <w:i/>
          <w:iCs/>
          <w:color w:val="003D7C" w:themeColor="text2"/>
        </w:rPr>
        <w:t>utesluter inte astma</w:t>
      </w:r>
      <w:r w:rsidRPr="000C17EB">
        <w:rPr>
          <w:rFonts w:asciiTheme="minorHAnsi" w:hAnsiTheme="minorHAnsi" w:cs="Calibri"/>
          <w:b/>
          <w:bCs/>
          <w:i/>
          <w:iCs/>
          <w:color w:val="404040"/>
        </w:rPr>
        <w:t>.</w:t>
      </w:r>
    </w:p>
    <w:p w14:paraId="7C16F35B" w14:textId="77777777" w:rsidR="00EC79BD" w:rsidRPr="000C17EB" w:rsidRDefault="00EC79BD" w:rsidP="00EC79BD">
      <w:pPr>
        <w:pStyle w:val="Normal4"/>
        <w:spacing w:before="0" w:beforeAutospacing="0" w:after="0" w:afterAutospacing="0"/>
        <w:rPr>
          <w:rFonts w:asciiTheme="minorHAnsi" w:hAnsiTheme="minorHAnsi" w:cs="Calibri"/>
          <w:color w:val="404040"/>
        </w:rPr>
      </w:pPr>
    </w:p>
    <w:p w14:paraId="1782F281" w14:textId="77777777" w:rsidR="00EC79BD" w:rsidRPr="000C17EB" w:rsidRDefault="00EC79BD" w:rsidP="00EC79BD">
      <w:pPr>
        <w:pStyle w:val="Normal4"/>
        <w:spacing w:before="0" w:beforeAutospacing="0" w:after="0" w:afterAutospacing="0"/>
        <w:rPr>
          <w:rFonts w:asciiTheme="minorHAnsi" w:hAnsiTheme="minorHAnsi" w:cs="Calibri"/>
          <w:color w:val="404040"/>
        </w:rPr>
      </w:pPr>
    </w:p>
    <w:p w14:paraId="159E0FDD" w14:textId="77777777" w:rsidR="00EC79BD" w:rsidRPr="00506F10" w:rsidRDefault="00EC79BD" w:rsidP="00EC79BD">
      <w:pPr>
        <w:pStyle w:val="Rubrik3"/>
        <w:rPr>
          <w:rFonts w:asciiTheme="minorHAnsi" w:hAnsiTheme="minorHAnsi" w:cs="Calibri"/>
          <w:i/>
          <w:iCs/>
          <w:szCs w:val="24"/>
        </w:rPr>
      </w:pPr>
      <w:bookmarkStart w:id="44" w:name="_Toc150457978"/>
      <w:r w:rsidRPr="00506F10">
        <w:rPr>
          <w:rFonts w:asciiTheme="minorHAnsi" w:hAnsiTheme="minorHAnsi" w:cs="Calibri"/>
          <w:szCs w:val="24"/>
        </w:rPr>
        <w:t>Flödesschema astmautredning</w:t>
      </w:r>
      <w:bookmarkEnd w:id="44"/>
    </w:p>
    <w:p w14:paraId="6BD35252" w14:textId="77777777" w:rsidR="00EC79BD" w:rsidRPr="000C17EB" w:rsidRDefault="00EC79BD" w:rsidP="00EC79BD">
      <w:pPr>
        <w:pStyle w:val="Normal4"/>
        <w:spacing w:before="0" w:beforeAutospacing="0" w:after="0" w:afterAutospacing="0"/>
        <w:rPr>
          <w:rFonts w:asciiTheme="minorHAnsi" w:hAnsiTheme="minorHAnsi" w:cs="Calibri"/>
          <w:b/>
          <w:bCs/>
          <w:color w:val="404040"/>
        </w:rPr>
      </w:pPr>
      <w:r w:rsidRPr="000C17EB">
        <w:rPr>
          <w:rFonts w:asciiTheme="minorHAnsi" w:hAnsiTheme="minorHAnsi" w:cs="Calibri"/>
          <w:b/>
          <w:bCs/>
          <w:noProof/>
          <w:color w:val="404040"/>
        </w:rPr>
        <w:drawing>
          <wp:inline distT="0" distB="0" distL="0" distR="0" wp14:anchorId="054BA00C" wp14:editId="4147B291">
            <wp:extent cx="6076950" cy="3395312"/>
            <wp:effectExtent l="0" t="0" r="0" b="0"/>
            <wp:docPr id="41" name="Bildobjekt 41" descr="En bild som visar text, skärmbild, Teckensnitt,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ildobjekt 41" descr="En bild som visar text, skärmbild, Teckensnitt, diagram&#10;&#10;Automatiskt genererad beskrivning"/>
                    <pic:cNvPicPr/>
                  </pic:nvPicPr>
                  <pic:blipFill>
                    <a:blip r:embed="rId26"/>
                    <a:stretch>
                      <a:fillRect/>
                    </a:stretch>
                  </pic:blipFill>
                  <pic:spPr>
                    <a:xfrm>
                      <a:off x="0" y="0"/>
                      <a:ext cx="6096097" cy="3406010"/>
                    </a:xfrm>
                    <a:prstGeom prst="rect">
                      <a:avLst/>
                    </a:prstGeom>
                  </pic:spPr>
                </pic:pic>
              </a:graphicData>
            </a:graphic>
          </wp:inline>
        </w:drawing>
      </w:r>
    </w:p>
    <w:p w14:paraId="250A071B" w14:textId="77777777" w:rsidR="00EC79BD" w:rsidRPr="000C17EB" w:rsidRDefault="00EC79BD" w:rsidP="00EC79BD">
      <w:pPr>
        <w:pStyle w:val="Normal4"/>
        <w:spacing w:before="0" w:beforeAutospacing="0" w:after="0" w:afterAutospacing="0"/>
        <w:rPr>
          <w:rFonts w:asciiTheme="minorHAnsi" w:hAnsiTheme="minorHAnsi" w:cs="Calibri"/>
          <w:color w:val="404040"/>
          <w:u w:val="single"/>
        </w:rPr>
      </w:pPr>
    </w:p>
    <w:p w14:paraId="0CBF5F45" w14:textId="77777777" w:rsidR="00EC79BD" w:rsidRPr="000C17EB" w:rsidRDefault="00EC79BD" w:rsidP="00EC79BD">
      <w:pPr>
        <w:pStyle w:val="Normal4"/>
        <w:spacing w:before="240" w:beforeAutospacing="0" w:after="0" w:afterAutospacing="0"/>
        <w:rPr>
          <w:rFonts w:asciiTheme="minorHAnsi" w:hAnsiTheme="minorHAnsi" w:cs="Calibri"/>
          <w:color w:val="404040"/>
          <w:u w:val="single"/>
        </w:rPr>
      </w:pPr>
      <w:r w:rsidRPr="000C17EB">
        <w:rPr>
          <w:rFonts w:asciiTheme="minorHAnsi" w:hAnsiTheme="minorHAnsi" w:cs="Calibri"/>
          <w:noProof/>
        </w:rPr>
        <w:lastRenderedPageBreak/>
        <mc:AlternateContent>
          <mc:Choice Requires="wps">
            <w:drawing>
              <wp:inline distT="0" distB="0" distL="0" distR="0" wp14:anchorId="769A4614" wp14:editId="177F7291">
                <wp:extent cx="6097979" cy="883920"/>
                <wp:effectExtent l="0" t="0" r="17145" b="11430"/>
                <wp:docPr id="1200761862" name="Rektangel: rundade hörn 1200761862"/>
                <wp:cNvGraphicFramePr/>
                <a:graphic xmlns:a="http://schemas.openxmlformats.org/drawingml/2006/main">
                  <a:graphicData uri="http://schemas.microsoft.com/office/word/2010/wordprocessingShape">
                    <wps:wsp>
                      <wps:cNvSpPr/>
                      <wps:spPr>
                        <a:xfrm>
                          <a:off x="0" y="0"/>
                          <a:ext cx="6097979" cy="883920"/>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txbx>
                        <w:txbxContent>
                          <w:p w14:paraId="0D1779B1" w14:textId="77777777" w:rsidR="00EC79BD" w:rsidRPr="00506F10" w:rsidRDefault="00EC79BD" w:rsidP="00EC79BD">
                            <w:pPr>
                              <w:jc w:val="center"/>
                              <w:rPr>
                                <w:rFonts w:asciiTheme="minorHAnsi" w:hAnsiTheme="minorHAnsi" w:cs="Calibri"/>
                                <w:color w:val="003D7C" w:themeColor="text2"/>
                                <w:sz w:val="24"/>
                                <w:szCs w:val="24"/>
                              </w:rPr>
                            </w:pPr>
                            <w:r w:rsidRPr="00506F10">
                              <w:rPr>
                                <w:rFonts w:asciiTheme="minorHAnsi" w:hAnsiTheme="minorHAnsi" w:cs="Calibri"/>
                                <w:b/>
                                <w:bCs/>
                                <w:color w:val="003D7C" w:themeColor="text2"/>
                                <w:sz w:val="24"/>
                                <w:szCs w:val="24"/>
                              </w:rPr>
                              <w:t xml:space="preserve">Betänk samsjuklighet! </w:t>
                            </w:r>
                            <w:r w:rsidRPr="00506F10">
                              <w:rPr>
                                <w:rFonts w:asciiTheme="minorHAnsi" w:hAnsiTheme="minorHAnsi" w:cs="Calibri"/>
                                <w:color w:val="003D7C" w:themeColor="text2"/>
                                <w:sz w:val="24"/>
                                <w:szCs w:val="24"/>
                              </w:rPr>
                              <w:t xml:space="preserve"> </w:t>
                            </w:r>
                          </w:p>
                          <w:p w14:paraId="58A44448" w14:textId="77777777" w:rsidR="00EC79BD" w:rsidRPr="00506F10" w:rsidRDefault="00EC79BD" w:rsidP="00EC79BD">
                            <w:pPr>
                              <w:jc w:val="center"/>
                              <w:rPr>
                                <w:rFonts w:asciiTheme="minorHAnsi" w:hAnsiTheme="minorHAnsi" w:cs="Calibri"/>
                                <w:color w:val="003D7C" w:themeColor="text2"/>
                                <w:sz w:val="24"/>
                                <w:szCs w:val="24"/>
                              </w:rPr>
                            </w:pPr>
                            <w:r w:rsidRPr="00506F10">
                              <w:rPr>
                                <w:rFonts w:asciiTheme="minorHAnsi" w:hAnsiTheme="minorHAnsi" w:cs="Calibri"/>
                                <w:color w:val="003D7C" w:themeColor="text2"/>
                                <w:sz w:val="24"/>
                                <w:szCs w:val="24"/>
                              </w:rPr>
                              <w:t xml:space="preserve">KOL, rinit, sensorisk hyperreaktivitet, </w:t>
                            </w:r>
                            <w:hyperlink w:anchor="_ORDLISTA" w:history="1">
                              <w:r w:rsidRPr="00506F10">
                                <w:rPr>
                                  <w:rStyle w:val="Hyperlnk"/>
                                  <w:rFonts w:asciiTheme="minorHAnsi" w:hAnsiTheme="minorHAnsi" w:cs="Calibri"/>
                                  <w:color w:val="B46400" w:themeColor="accent6" w:themeShade="BF"/>
                                  <w:sz w:val="24"/>
                                  <w:szCs w:val="24"/>
                                </w:rPr>
                                <w:t>EILO</w:t>
                              </w:r>
                            </w:hyperlink>
                            <w:r w:rsidRPr="00506F10">
                              <w:rPr>
                                <w:rFonts w:asciiTheme="minorHAnsi" w:hAnsiTheme="minorHAnsi" w:cs="Calibri"/>
                                <w:color w:val="003D7C" w:themeColor="text2"/>
                                <w:sz w:val="24"/>
                                <w:szCs w:val="24"/>
                              </w:rPr>
                              <w:t>, hjärtsjukdom, bronkiektasier, dysfunktionell andning och andra lungsjukdomar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69A4614" id="Rektangel: rundade hörn 1200761862" o:spid="_x0000_s1045" style="width:480.15pt;height:6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" fillcolor="#86cdff" strokecolor="#0079a6" strokeweight="2pt">
                <v:fill color2="#dceeff" rotate="t" angle="45" colors="0 #86cdff;.5 #b7deff;1 #dceeff" focus="100%" type="gradient"/>
                <v:textbox>
                  <w:txbxContent>
                    <w:p w14:paraId="0D1779B1" w14:textId="77777777" w:rsidR="00EC79BD" w:rsidRPr="00506F10" w:rsidRDefault="00EC79BD" w:rsidP="00EC79BD">
                      <w:pPr>
                        <w:jc w:val="center"/>
                        <w:rPr>
                          <w:rFonts w:asciiTheme="minorHAnsi" w:hAnsiTheme="minorHAnsi" w:cs="Calibri"/>
                          <w:color w:val="003D7C" w:themeColor="text2"/>
                          <w:sz w:val="24"/>
                          <w:szCs w:val="24"/>
                        </w:rPr>
                      </w:pPr>
                      <w:r w:rsidRPr="00506F10">
                        <w:rPr>
                          <w:rFonts w:asciiTheme="minorHAnsi" w:hAnsiTheme="minorHAnsi" w:cs="Calibri"/>
                          <w:b/>
                          <w:bCs/>
                          <w:color w:val="003D7C" w:themeColor="text2"/>
                          <w:sz w:val="24"/>
                          <w:szCs w:val="24"/>
                        </w:rPr>
                        <w:t xml:space="preserve">Betänk samsjuklighet! </w:t>
                      </w:r>
                      <w:r w:rsidRPr="00506F10">
                        <w:rPr>
                          <w:rFonts w:asciiTheme="minorHAnsi" w:hAnsiTheme="minorHAnsi" w:cs="Calibri"/>
                          <w:color w:val="003D7C" w:themeColor="text2"/>
                          <w:sz w:val="24"/>
                          <w:szCs w:val="24"/>
                        </w:rPr>
                        <w:t xml:space="preserve"> </w:t>
                      </w:r>
                    </w:p>
                    <w:p w14:paraId="58A44448" w14:textId="77777777" w:rsidR="00EC79BD" w:rsidRPr="00506F10" w:rsidRDefault="00EC79BD" w:rsidP="00EC79BD">
                      <w:pPr>
                        <w:jc w:val="center"/>
                        <w:rPr>
                          <w:rFonts w:asciiTheme="minorHAnsi" w:hAnsiTheme="minorHAnsi" w:cs="Calibri"/>
                          <w:color w:val="003D7C" w:themeColor="text2"/>
                          <w:sz w:val="24"/>
                          <w:szCs w:val="24"/>
                        </w:rPr>
                      </w:pPr>
                      <w:r w:rsidRPr="00506F10">
                        <w:rPr>
                          <w:rFonts w:asciiTheme="minorHAnsi" w:hAnsiTheme="minorHAnsi" w:cs="Calibri"/>
                          <w:color w:val="003D7C" w:themeColor="text2"/>
                          <w:sz w:val="24"/>
                          <w:szCs w:val="24"/>
                        </w:rPr>
                        <w:t xml:space="preserve">KOL, rinit, sensorisk hyperreaktivitet, </w:t>
                      </w:r>
                      <w:hyperlink w:anchor="_ORDLISTA" w:history="1">
                        <w:r w:rsidRPr="00506F10">
                          <w:rPr>
                            <w:rStyle w:val="Hyperlnk"/>
                            <w:rFonts w:asciiTheme="minorHAnsi" w:hAnsiTheme="minorHAnsi" w:cs="Calibri"/>
                            <w:color w:val="B46400" w:themeColor="accent6" w:themeShade="BF"/>
                            <w:sz w:val="24"/>
                            <w:szCs w:val="24"/>
                          </w:rPr>
                          <w:t>EILO</w:t>
                        </w:r>
                      </w:hyperlink>
                      <w:r w:rsidRPr="00506F10">
                        <w:rPr>
                          <w:rFonts w:asciiTheme="minorHAnsi" w:hAnsiTheme="minorHAnsi" w:cs="Calibri"/>
                          <w:color w:val="003D7C" w:themeColor="text2"/>
                          <w:sz w:val="24"/>
                          <w:szCs w:val="24"/>
                        </w:rPr>
                        <w:t>, hjärtsjukdom, bronkiektasier, dysfunktionell andning och andra lungsjukdomar</w:t>
                      </w:r>
                    </w:p>
                  </w:txbxContent>
                </v:textbox>
                <w10:anchorlock/>
              </v:roundrect>
            </w:pict>
          </mc:Fallback>
        </mc:AlternateContent>
      </w:r>
    </w:p>
    <w:p w14:paraId="24B67FFB" w14:textId="77777777" w:rsidR="00EC79BD" w:rsidRPr="00506F10" w:rsidRDefault="00EC79BD" w:rsidP="00EC79BD">
      <w:pPr>
        <w:pStyle w:val="Rubrik3"/>
        <w:rPr>
          <w:rFonts w:cs="Calibri"/>
          <w:szCs w:val="24"/>
        </w:rPr>
      </w:pPr>
      <w:r w:rsidRPr="00506F10">
        <w:rPr>
          <w:rFonts w:cs="Calibri"/>
          <w:szCs w:val="24"/>
        </w:rPr>
        <w:t xml:space="preserve">Sätta astmadiagnos </w:t>
      </w:r>
    </w:p>
    <w:p w14:paraId="08589694" w14:textId="77777777" w:rsidR="00EC79BD" w:rsidRPr="00C056A4" w:rsidRDefault="00EC79BD" w:rsidP="00EC79BD">
      <w:pPr>
        <w:numPr>
          <w:ilvl w:val="0"/>
          <w:numId w:val="88"/>
        </w:numPr>
        <w:shd w:val="clear" w:color="auto" w:fill="FFFFFF"/>
        <w:tabs>
          <w:tab w:val="clear" w:pos="284"/>
        </w:tabs>
        <w:spacing w:line="240" w:lineRule="auto"/>
        <w:rPr>
          <w:rStyle w:val="Stark"/>
          <w:rFonts w:asciiTheme="minorHAnsi" w:hAnsiTheme="minorHAnsi"/>
          <w:bCs/>
          <w:iCs/>
          <w:sz w:val="24"/>
          <w:szCs w:val="24"/>
        </w:rPr>
      </w:pPr>
      <w:r w:rsidRPr="00C056A4">
        <w:rPr>
          <w:rStyle w:val="Stark"/>
          <w:rFonts w:asciiTheme="minorHAnsi" w:hAnsiTheme="minorHAnsi"/>
          <w:bCs/>
          <w:iCs/>
          <w:sz w:val="24"/>
          <w:szCs w:val="24"/>
        </w:rPr>
        <w:t>Anamnes som talar för astma</w:t>
      </w:r>
    </w:p>
    <w:p w14:paraId="49956FCD" w14:textId="77777777" w:rsidR="00EC79BD" w:rsidRPr="00C056A4" w:rsidRDefault="00EC79BD" w:rsidP="00EC79BD">
      <w:pPr>
        <w:numPr>
          <w:ilvl w:val="1"/>
          <w:numId w:val="88"/>
        </w:numPr>
        <w:shd w:val="clear" w:color="auto" w:fill="FFFFFF"/>
        <w:tabs>
          <w:tab w:val="clear" w:pos="284"/>
        </w:tabs>
        <w:spacing w:line="276" w:lineRule="auto"/>
        <w:rPr>
          <w:rStyle w:val="Stark"/>
          <w:rFonts w:asciiTheme="minorHAnsi" w:hAnsiTheme="minorHAnsi"/>
          <w:b w:val="0"/>
          <w:sz w:val="24"/>
          <w:szCs w:val="24"/>
        </w:rPr>
      </w:pPr>
      <w:r w:rsidRPr="00C056A4">
        <w:rPr>
          <w:rStyle w:val="Stark"/>
          <w:rFonts w:asciiTheme="minorHAnsi" w:hAnsiTheme="minorHAnsi"/>
          <w:b w:val="0"/>
          <w:sz w:val="24"/>
          <w:szCs w:val="24"/>
        </w:rPr>
        <w:t>Ärftlighet för astma och allergi</w:t>
      </w:r>
    </w:p>
    <w:p w14:paraId="04EEE29E" w14:textId="77777777" w:rsidR="00EC79BD" w:rsidRPr="00C056A4" w:rsidRDefault="00EC79BD" w:rsidP="00EC79BD">
      <w:pPr>
        <w:numPr>
          <w:ilvl w:val="1"/>
          <w:numId w:val="88"/>
        </w:numPr>
        <w:shd w:val="clear" w:color="auto" w:fill="FFFFFF"/>
        <w:tabs>
          <w:tab w:val="clear" w:pos="284"/>
        </w:tabs>
        <w:spacing w:line="276" w:lineRule="auto"/>
        <w:rPr>
          <w:rStyle w:val="Stark"/>
          <w:rFonts w:asciiTheme="minorHAnsi" w:hAnsiTheme="minorHAnsi"/>
          <w:b w:val="0"/>
          <w:sz w:val="24"/>
          <w:szCs w:val="24"/>
        </w:rPr>
      </w:pPr>
      <w:r w:rsidRPr="00C056A4">
        <w:rPr>
          <w:rStyle w:val="Stark"/>
          <w:rFonts w:asciiTheme="minorHAnsi" w:hAnsiTheme="minorHAnsi"/>
          <w:b w:val="0"/>
          <w:sz w:val="24"/>
          <w:szCs w:val="24"/>
        </w:rPr>
        <w:t xml:space="preserve">Riskfaktorer: </w:t>
      </w:r>
    </w:p>
    <w:p w14:paraId="5B788464" w14:textId="77777777" w:rsidR="00EC79BD" w:rsidRPr="00C056A4" w:rsidRDefault="00EC79BD" w:rsidP="00EC79BD">
      <w:pPr>
        <w:numPr>
          <w:ilvl w:val="2"/>
          <w:numId w:val="88"/>
        </w:numPr>
        <w:shd w:val="clear" w:color="auto" w:fill="FFFFFF"/>
        <w:tabs>
          <w:tab w:val="clear" w:pos="284"/>
        </w:tabs>
        <w:spacing w:line="240" w:lineRule="auto"/>
        <w:rPr>
          <w:rStyle w:val="Stark"/>
          <w:rFonts w:asciiTheme="minorHAnsi" w:hAnsiTheme="minorHAnsi"/>
          <w:b w:val="0"/>
          <w:sz w:val="24"/>
          <w:szCs w:val="24"/>
        </w:rPr>
      </w:pPr>
      <w:r w:rsidRPr="00C056A4">
        <w:rPr>
          <w:rStyle w:val="Stark"/>
          <w:rFonts w:asciiTheme="minorHAnsi" w:hAnsiTheme="minorHAnsi"/>
          <w:b w:val="0"/>
          <w:sz w:val="24"/>
          <w:szCs w:val="24"/>
        </w:rPr>
        <w:t xml:space="preserve"> Luftvägssymptom i barndomen</w:t>
      </w:r>
    </w:p>
    <w:p w14:paraId="397BC4A0" w14:textId="77777777" w:rsidR="00EC79BD" w:rsidRPr="00C056A4" w:rsidRDefault="00EC79BD" w:rsidP="00EC79BD">
      <w:pPr>
        <w:numPr>
          <w:ilvl w:val="2"/>
          <w:numId w:val="88"/>
        </w:numPr>
        <w:shd w:val="clear" w:color="auto" w:fill="FFFFFF"/>
        <w:tabs>
          <w:tab w:val="clear" w:pos="284"/>
        </w:tabs>
        <w:spacing w:line="240" w:lineRule="auto"/>
        <w:rPr>
          <w:rStyle w:val="Stark"/>
          <w:rFonts w:asciiTheme="minorHAnsi" w:hAnsiTheme="minorHAnsi"/>
          <w:b w:val="0"/>
          <w:sz w:val="24"/>
          <w:szCs w:val="24"/>
        </w:rPr>
      </w:pPr>
      <w:r w:rsidRPr="00C056A4">
        <w:rPr>
          <w:rStyle w:val="Stark"/>
          <w:rFonts w:asciiTheme="minorHAnsi" w:hAnsiTheme="minorHAnsi"/>
          <w:b w:val="0"/>
          <w:sz w:val="24"/>
          <w:szCs w:val="24"/>
        </w:rPr>
        <w:t>Allergisk rinit</w:t>
      </w:r>
    </w:p>
    <w:p w14:paraId="5C32EEDD" w14:textId="77777777" w:rsidR="00EC79BD" w:rsidRPr="00C056A4" w:rsidRDefault="00EC79BD" w:rsidP="00EC79BD">
      <w:pPr>
        <w:numPr>
          <w:ilvl w:val="2"/>
          <w:numId w:val="88"/>
        </w:numPr>
        <w:shd w:val="clear" w:color="auto" w:fill="FFFFFF"/>
        <w:tabs>
          <w:tab w:val="clear" w:pos="284"/>
        </w:tabs>
        <w:spacing w:line="240" w:lineRule="auto"/>
        <w:rPr>
          <w:rStyle w:val="Stark"/>
          <w:rFonts w:asciiTheme="minorHAnsi" w:hAnsiTheme="minorHAnsi"/>
          <w:b w:val="0"/>
          <w:sz w:val="24"/>
          <w:szCs w:val="24"/>
        </w:rPr>
      </w:pPr>
      <w:r w:rsidRPr="00C056A4">
        <w:rPr>
          <w:rStyle w:val="Stark"/>
          <w:rFonts w:asciiTheme="minorHAnsi" w:hAnsiTheme="minorHAnsi"/>
          <w:b w:val="0"/>
          <w:sz w:val="24"/>
          <w:szCs w:val="24"/>
        </w:rPr>
        <w:t>Eksem</w:t>
      </w:r>
    </w:p>
    <w:p w14:paraId="29026BBA" w14:textId="77777777" w:rsidR="00EC79BD" w:rsidRPr="00C056A4" w:rsidRDefault="00EC79BD" w:rsidP="00EC79BD">
      <w:pPr>
        <w:numPr>
          <w:ilvl w:val="2"/>
          <w:numId w:val="88"/>
        </w:numPr>
        <w:shd w:val="clear" w:color="auto" w:fill="FFFFFF"/>
        <w:tabs>
          <w:tab w:val="clear" w:pos="284"/>
        </w:tabs>
        <w:spacing w:line="240" w:lineRule="auto"/>
        <w:rPr>
          <w:rStyle w:val="Stark"/>
          <w:rFonts w:asciiTheme="minorHAnsi" w:hAnsiTheme="minorHAnsi"/>
          <w:b w:val="0"/>
          <w:sz w:val="24"/>
          <w:szCs w:val="24"/>
        </w:rPr>
      </w:pPr>
      <w:r w:rsidRPr="00C056A4">
        <w:rPr>
          <w:rStyle w:val="Stark"/>
          <w:rFonts w:asciiTheme="minorHAnsi" w:hAnsiTheme="minorHAnsi"/>
          <w:b w:val="0"/>
          <w:sz w:val="24"/>
          <w:szCs w:val="24"/>
        </w:rPr>
        <w:t>Rökning</w:t>
      </w:r>
    </w:p>
    <w:p w14:paraId="5CEB976F" w14:textId="77777777" w:rsidR="00EC79BD" w:rsidRPr="00C056A4" w:rsidRDefault="00EC79BD" w:rsidP="00EC79BD">
      <w:pPr>
        <w:numPr>
          <w:ilvl w:val="2"/>
          <w:numId w:val="88"/>
        </w:numPr>
        <w:shd w:val="clear" w:color="auto" w:fill="FFFFFF"/>
        <w:tabs>
          <w:tab w:val="clear" w:pos="284"/>
        </w:tabs>
        <w:spacing w:line="240" w:lineRule="auto"/>
        <w:rPr>
          <w:rStyle w:val="Stark"/>
          <w:rFonts w:asciiTheme="minorHAnsi" w:hAnsiTheme="minorHAnsi"/>
          <w:b w:val="0"/>
          <w:sz w:val="24"/>
          <w:szCs w:val="24"/>
        </w:rPr>
      </w:pPr>
      <w:r w:rsidRPr="00C056A4">
        <w:rPr>
          <w:rStyle w:val="Stark"/>
          <w:rFonts w:asciiTheme="minorHAnsi" w:hAnsiTheme="minorHAnsi"/>
          <w:b w:val="0"/>
          <w:sz w:val="24"/>
          <w:szCs w:val="24"/>
        </w:rPr>
        <w:t>Yrkes- eller fritidsmiljö</w:t>
      </w:r>
    </w:p>
    <w:p w14:paraId="551D677F" w14:textId="77777777" w:rsidR="00EC79BD" w:rsidRPr="00C056A4" w:rsidRDefault="00EC79BD" w:rsidP="00EC79BD">
      <w:pPr>
        <w:numPr>
          <w:ilvl w:val="3"/>
          <w:numId w:val="88"/>
        </w:numPr>
        <w:shd w:val="clear" w:color="auto" w:fill="FFFFFF"/>
        <w:tabs>
          <w:tab w:val="clear" w:pos="284"/>
        </w:tabs>
        <w:spacing w:line="240" w:lineRule="auto"/>
        <w:rPr>
          <w:rStyle w:val="Stark"/>
          <w:rFonts w:asciiTheme="minorHAnsi" w:hAnsiTheme="minorHAnsi"/>
          <w:b w:val="0"/>
          <w:sz w:val="24"/>
          <w:szCs w:val="24"/>
        </w:rPr>
      </w:pPr>
      <w:r w:rsidRPr="00C056A4">
        <w:rPr>
          <w:rStyle w:val="Stark"/>
          <w:rFonts w:asciiTheme="minorHAnsi" w:hAnsiTheme="minorHAnsi"/>
          <w:b w:val="0"/>
          <w:sz w:val="24"/>
          <w:szCs w:val="24"/>
        </w:rPr>
        <w:t xml:space="preserve">Vid astmadebut i vuxen ålder bör exponering på arbetet alltid utredas. </w:t>
      </w:r>
      <w:r w:rsidRPr="00C056A4">
        <w:rPr>
          <w:rStyle w:val="Stark"/>
          <w:rFonts w:asciiTheme="minorHAnsi" w:hAnsiTheme="minorHAnsi"/>
          <w:b w:val="0"/>
          <w:sz w:val="24"/>
          <w:szCs w:val="24"/>
        </w:rPr>
        <w:br/>
      </w:r>
    </w:p>
    <w:p w14:paraId="64185BBC" w14:textId="77777777" w:rsidR="00EC79BD" w:rsidRPr="00C056A4" w:rsidRDefault="00EC79BD" w:rsidP="00EC79BD">
      <w:pPr>
        <w:pStyle w:val="Liststycke"/>
        <w:numPr>
          <w:ilvl w:val="0"/>
          <w:numId w:val="88"/>
        </w:numPr>
        <w:shd w:val="clear" w:color="auto" w:fill="FFFFFF"/>
        <w:tabs>
          <w:tab w:val="clear" w:pos="284"/>
        </w:tabs>
        <w:spacing w:line="276" w:lineRule="auto"/>
        <w:rPr>
          <w:rFonts w:asciiTheme="minorHAnsi" w:eastAsia="Times New Roman" w:hAnsiTheme="minorHAnsi" w:cs="Calibri"/>
          <w:b/>
          <w:bCs/>
          <w:sz w:val="24"/>
          <w:szCs w:val="28"/>
          <w:lang w:eastAsia="sv-SE"/>
        </w:rPr>
      </w:pPr>
      <w:r w:rsidRPr="00C056A4">
        <w:rPr>
          <w:rFonts w:asciiTheme="minorHAnsi" w:eastAsia="Times New Roman" w:hAnsiTheme="minorHAnsi" w:cs="Calibri"/>
          <w:b/>
          <w:bCs/>
          <w:sz w:val="24"/>
          <w:szCs w:val="28"/>
          <w:lang w:eastAsia="sv-SE"/>
        </w:rPr>
        <w:t>Symptom som talar för astma</w:t>
      </w:r>
    </w:p>
    <w:p w14:paraId="15842B05" w14:textId="77777777" w:rsidR="00EC79BD" w:rsidRPr="00C056A4" w:rsidRDefault="00EC79BD" w:rsidP="00EC79BD">
      <w:pPr>
        <w:pStyle w:val="Liststycke"/>
        <w:numPr>
          <w:ilvl w:val="1"/>
          <w:numId w:val="88"/>
        </w:numPr>
        <w:shd w:val="clear" w:color="auto" w:fill="FFFFFF"/>
        <w:tabs>
          <w:tab w:val="clear" w:pos="284"/>
        </w:tabs>
        <w:spacing w:line="276" w:lineRule="auto"/>
        <w:rPr>
          <w:rFonts w:asciiTheme="minorHAnsi" w:eastAsia="Times New Roman" w:hAnsiTheme="minorHAnsi" w:cs="Calibri"/>
          <w:sz w:val="24"/>
          <w:szCs w:val="28"/>
          <w:lang w:eastAsia="sv-SE"/>
        </w:rPr>
      </w:pPr>
      <w:r w:rsidRPr="00C056A4">
        <w:rPr>
          <w:rFonts w:asciiTheme="minorHAnsi" w:eastAsia="Times New Roman" w:hAnsiTheme="minorHAnsi" w:cs="Calibri"/>
          <w:sz w:val="24"/>
          <w:szCs w:val="28"/>
          <w:lang w:eastAsia="sv-SE"/>
        </w:rPr>
        <w:t>Pipande andning</w:t>
      </w:r>
    </w:p>
    <w:p w14:paraId="0A730BA1" w14:textId="77777777" w:rsidR="00EC79BD" w:rsidRPr="00C056A4" w:rsidRDefault="00EC79BD" w:rsidP="00EC79BD">
      <w:pPr>
        <w:numPr>
          <w:ilvl w:val="1"/>
          <w:numId w:val="88"/>
        </w:numPr>
        <w:shd w:val="clear" w:color="auto" w:fill="FFFFFF"/>
        <w:tabs>
          <w:tab w:val="clear" w:pos="284"/>
        </w:tabs>
        <w:spacing w:line="276" w:lineRule="auto"/>
        <w:rPr>
          <w:rStyle w:val="Stark"/>
          <w:rFonts w:asciiTheme="minorHAnsi" w:hAnsiTheme="minorHAnsi"/>
          <w:b w:val="0"/>
          <w:sz w:val="24"/>
          <w:szCs w:val="24"/>
        </w:rPr>
      </w:pPr>
      <w:r w:rsidRPr="00C056A4">
        <w:rPr>
          <w:rStyle w:val="Stark"/>
          <w:rFonts w:asciiTheme="minorHAnsi" w:hAnsiTheme="minorHAnsi"/>
          <w:b w:val="0"/>
          <w:sz w:val="24"/>
          <w:szCs w:val="24"/>
        </w:rPr>
        <w:t>Andnöd</w:t>
      </w:r>
    </w:p>
    <w:p w14:paraId="7A91C46D" w14:textId="77777777" w:rsidR="00EC79BD" w:rsidRPr="00C056A4" w:rsidRDefault="00EC79BD" w:rsidP="00EC79BD">
      <w:pPr>
        <w:numPr>
          <w:ilvl w:val="1"/>
          <w:numId w:val="88"/>
        </w:numPr>
        <w:shd w:val="clear" w:color="auto" w:fill="FFFFFF"/>
        <w:tabs>
          <w:tab w:val="clear" w:pos="284"/>
        </w:tabs>
        <w:spacing w:line="276" w:lineRule="auto"/>
        <w:rPr>
          <w:rStyle w:val="Stark"/>
          <w:rFonts w:asciiTheme="minorHAnsi" w:hAnsiTheme="minorHAnsi"/>
          <w:b w:val="0"/>
          <w:sz w:val="24"/>
          <w:szCs w:val="24"/>
        </w:rPr>
      </w:pPr>
      <w:r w:rsidRPr="00C056A4">
        <w:rPr>
          <w:rStyle w:val="Stark"/>
          <w:rFonts w:asciiTheme="minorHAnsi" w:hAnsiTheme="minorHAnsi"/>
          <w:b w:val="0"/>
          <w:sz w:val="24"/>
          <w:szCs w:val="24"/>
        </w:rPr>
        <w:t>Tryck över bröstet</w:t>
      </w:r>
    </w:p>
    <w:p w14:paraId="4529787E" w14:textId="77777777" w:rsidR="00EC79BD" w:rsidRPr="00C056A4" w:rsidRDefault="00EC79BD" w:rsidP="00EC79BD">
      <w:pPr>
        <w:numPr>
          <w:ilvl w:val="1"/>
          <w:numId w:val="88"/>
        </w:numPr>
        <w:shd w:val="clear" w:color="auto" w:fill="FFFFFF"/>
        <w:tabs>
          <w:tab w:val="clear" w:pos="284"/>
        </w:tabs>
        <w:spacing w:line="276" w:lineRule="auto"/>
        <w:rPr>
          <w:rStyle w:val="Stark"/>
          <w:rFonts w:asciiTheme="minorHAnsi" w:hAnsiTheme="minorHAnsi"/>
          <w:b w:val="0"/>
          <w:sz w:val="24"/>
          <w:szCs w:val="24"/>
        </w:rPr>
      </w:pPr>
      <w:r w:rsidRPr="00C056A4">
        <w:rPr>
          <w:rStyle w:val="Stark"/>
          <w:rFonts w:asciiTheme="minorHAnsi" w:hAnsiTheme="minorHAnsi"/>
          <w:b w:val="0"/>
          <w:sz w:val="24"/>
          <w:szCs w:val="24"/>
        </w:rPr>
        <w:t>Hosta</w:t>
      </w:r>
      <w:r w:rsidRPr="00C056A4">
        <w:rPr>
          <w:rStyle w:val="Stark"/>
          <w:rFonts w:asciiTheme="minorHAnsi" w:hAnsiTheme="minorHAnsi"/>
          <w:b w:val="0"/>
          <w:sz w:val="24"/>
          <w:szCs w:val="24"/>
        </w:rPr>
        <w:br/>
      </w:r>
    </w:p>
    <w:p w14:paraId="63004D04" w14:textId="77777777" w:rsidR="00EC79BD" w:rsidRPr="00C056A4" w:rsidRDefault="00EC79BD" w:rsidP="00EC79BD">
      <w:pPr>
        <w:numPr>
          <w:ilvl w:val="0"/>
          <w:numId w:val="88"/>
        </w:numPr>
        <w:shd w:val="clear" w:color="auto" w:fill="FFFFFF"/>
        <w:tabs>
          <w:tab w:val="clear" w:pos="284"/>
        </w:tabs>
        <w:spacing w:line="276" w:lineRule="auto"/>
        <w:rPr>
          <w:rStyle w:val="Stark"/>
          <w:rFonts w:asciiTheme="minorHAnsi" w:hAnsiTheme="minorHAnsi"/>
          <w:bCs/>
          <w:iCs/>
          <w:sz w:val="24"/>
          <w:szCs w:val="24"/>
        </w:rPr>
      </w:pPr>
      <w:r w:rsidRPr="00C056A4">
        <w:rPr>
          <w:rStyle w:val="Stark"/>
          <w:rFonts w:asciiTheme="minorHAnsi" w:hAnsiTheme="minorHAnsi"/>
          <w:bCs/>
          <w:iCs/>
          <w:sz w:val="24"/>
          <w:szCs w:val="24"/>
        </w:rPr>
        <w:t>Status som talar för astma</w:t>
      </w:r>
    </w:p>
    <w:p w14:paraId="1D978B17" w14:textId="77777777" w:rsidR="00EC79BD" w:rsidRPr="00C056A4" w:rsidRDefault="00EC79BD" w:rsidP="00EC79BD">
      <w:pPr>
        <w:numPr>
          <w:ilvl w:val="1"/>
          <w:numId w:val="88"/>
        </w:numPr>
        <w:shd w:val="clear" w:color="auto" w:fill="FFFFFF"/>
        <w:tabs>
          <w:tab w:val="clear" w:pos="284"/>
        </w:tabs>
        <w:spacing w:line="276" w:lineRule="auto"/>
        <w:rPr>
          <w:rStyle w:val="Stark"/>
          <w:rFonts w:asciiTheme="minorHAnsi" w:hAnsiTheme="minorHAnsi"/>
          <w:b w:val="0"/>
          <w:sz w:val="24"/>
          <w:szCs w:val="24"/>
        </w:rPr>
      </w:pPr>
      <w:r w:rsidRPr="00C056A4">
        <w:rPr>
          <w:rStyle w:val="Stark"/>
          <w:rFonts w:asciiTheme="minorHAnsi" w:hAnsiTheme="minorHAnsi"/>
          <w:b w:val="0"/>
          <w:sz w:val="24"/>
          <w:szCs w:val="24"/>
        </w:rPr>
        <w:t>Typiskt normal lungauskultation. Klassiska ronki oftast enbart vid forcerad expiration eller vid försämring</w:t>
      </w:r>
    </w:p>
    <w:p w14:paraId="59BFB5C4" w14:textId="77777777" w:rsidR="00EC79BD" w:rsidRDefault="00EC79BD" w:rsidP="00EC79BD">
      <w:pPr>
        <w:numPr>
          <w:ilvl w:val="1"/>
          <w:numId w:val="88"/>
        </w:numPr>
        <w:shd w:val="clear" w:color="auto" w:fill="FFFFFF"/>
        <w:tabs>
          <w:tab w:val="clear" w:pos="284"/>
        </w:tabs>
        <w:spacing w:line="276" w:lineRule="auto"/>
        <w:rPr>
          <w:rStyle w:val="Stark"/>
          <w:rFonts w:asciiTheme="minorHAnsi" w:hAnsiTheme="minorHAnsi"/>
          <w:b w:val="0"/>
          <w:sz w:val="24"/>
          <w:szCs w:val="24"/>
        </w:rPr>
      </w:pPr>
      <w:r w:rsidRPr="00C056A4">
        <w:rPr>
          <w:rStyle w:val="Stark"/>
          <w:rFonts w:asciiTheme="minorHAnsi" w:hAnsiTheme="minorHAnsi"/>
          <w:b w:val="0"/>
          <w:sz w:val="24"/>
          <w:szCs w:val="24"/>
        </w:rPr>
        <w:t>Näspolypos? Rinit?</w:t>
      </w:r>
    </w:p>
    <w:p w14:paraId="2AACF3D3" w14:textId="17CAEC28" w:rsidR="00EC79BD" w:rsidRDefault="00EC79BD" w:rsidP="00EC79BD">
      <w:pPr>
        <w:tabs>
          <w:tab w:val="clear" w:pos="284"/>
        </w:tabs>
        <w:spacing w:after="120" w:line="260" w:lineRule="atLeast"/>
        <w:rPr>
          <w:rStyle w:val="Stark"/>
          <w:rFonts w:asciiTheme="minorHAnsi" w:hAnsiTheme="minorHAnsi"/>
          <w:b w:val="0"/>
          <w:sz w:val="24"/>
          <w:szCs w:val="24"/>
        </w:rPr>
      </w:pPr>
    </w:p>
    <w:p w14:paraId="4812B467" w14:textId="77777777" w:rsidR="00EC79BD" w:rsidRPr="00C056A4" w:rsidRDefault="00EC79BD" w:rsidP="00EC79BD">
      <w:pPr>
        <w:numPr>
          <w:ilvl w:val="0"/>
          <w:numId w:val="88"/>
        </w:numPr>
        <w:shd w:val="clear" w:color="auto" w:fill="FFFFFF"/>
        <w:tabs>
          <w:tab w:val="clear" w:pos="284"/>
        </w:tabs>
        <w:spacing w:line="240" w:lineRule="auto"/>
        <w:rPr>
          <w:rStyle w:val="Stark"/>
          <w:rFonts w:asciiTheme="minorHAnsi" w:hAnsiTheme="minorHAnsi"/>
          <w:bCs/>
          <w:iCs/>
          <w:sz w:val="24"/>
          <w:szCs w:val="24"/>
        </w:rPr>
      </w:pPr>
      <w:r w:rsidRPr="00C056A4">
        <w:rPr>
          <w:rStyle w:val="Stark"/>
          <w:rFonts w:asciiTheme="minorHAnsi" w:hAnsiTheme="minorHAnsi"/>
          <w:bCs/>
          <w:iCs/>
          <w:sz w:val="24"/>
          <w:szCs w:val="24"/>
        </w:rPr>
        <w:t xml:space="preserve">Undersökningar som kan bekräfta astma </w:t>
      </w:r>
    </w:p>
    <w:p w14:paraId="109FA997" w14:textId="77777777" w:rsidR="00EC79BD" w:rsidRPr="00C056A4" w:rsidRDefault="00EC79BD" w:rsidP="00EC79BD">
      <w:pPr>
        <w:numPr>
          <w:ilvl w:val="1"/>
          <w:numId w:val="88"/>
        </w:numPr>
        <w:shd w:val="clear" w:color="auto" w:fill="FFFFFF"/>
        <w:tabs>
          <w:tab w:val="clear" w:pos="284"/>
        </w:tabs>
        <w:spacing w:line="276" w:lineRule="auto"/>
        <w:rPr>
          <w:rStyle w:val="Stark"/>
          <w:rFonts w:asciiTheme="minorHAnsi" w:hAnsiTheme="minorHAnsi"/>
          <w:b w:val="0"/>
          <w:sz w:val="24"/>
          <w:szCs w:val="24"/>
        </w:rPr>
      </w:pPr>
      <w:r w:rsidRPr="00C056A4">
        <w:rPr>
          <w:rStyle w:val="Stark"/>
          <w:rFonts w:asciiTheme="minorHAnsi" w:hAnsiTheme="minorHAnsi"/>
          <w:b w:val="0"/>
          <w:sz w:val="24"/>
          <w:szCs w:val="24"/>
        </w:rPr>
        <w:t xml:space="preserve">Spirometri med reversibilitetstest: </w:t>
      </w:r>
    </w:p>
    <w:p w14:paraId="5839B4FC" w14:textId="77777777" w:rsidR="00EC79BD" w:rsidRPr="00C056A4" w:rsidRDefault="00EC79BD" w:rsidP="00EC79BD">
      <w:pPr>
        <w:numPr>
          <w:ilvl w:val="2"/>
          <w:numId w:val="88"/>
        </w:numPr>
        <w:shd w:val="clear" w:color="auto" w:fill="FFFFFF"/>
        <w:tabs>
          <w:tab w:val="clear" w:pos="284"/>
        </w:tabs>
        <w:spacing w:line="276" w:lineRule="auto"/>
        <w:rPr>
          <w:rStyle w:val="Stark"/>
          <w:rFonts w:asciiTheme="minorHAnsi" w:hAnsiTheme="minorHAnsi"/>
          <w:b w:val="0"/>
          <w:sz w:val="24"/>
          <w:szCs w:val="24"/>
        </w:rPr>
      </w:pPr>
      <w:r w:rsidRPr="00C056A4">
        <w:rPr>
          <w:rStyle w:val="Stark"/>
          <w:rFonts w:asciiTheme="minorHAnsi" w:hAnsiTheme="minorHAnsi"/>
          <w:b w:val="0"/>
          <w:sz w:val="24"/>
          <w:szCs w:val="24"/>
        </w:rPr>
        <w:t xml:space="preserve">Positivt bronkodilatationstest indikerar astma </w:t>
      </w:r>
      <w:r w:rsidRPr="00C056A4">
        <w:rPr>
          <w:rStyle w:val="Stark"/>
          <w:rFonts w:asciiTheme="minorHAnsi" w:hAnsiTheme="minorHAnsi"/>
          <w:b w:val="0"/>
          <w:sz w:val="24"/>
          <w:szCs w:val="24"/>
        </w:rPr>
        <w:br/>
        <w:t>(</w:t>
      </w:r>
      <w:hyperlink w:anchor="_ORDLISTA" w:history="1">
        <w:r w:rsidRPr="00C056A4">
          <w:rPr>
            <w:rStyle w:val="Stark"/>
            <w:rFonts w:asciiTheme="minorHAnsi" w:hAnsiTheme="minorHAnsi"/>
            <w:b w:val="0"/>
            <w:sz w:val="24"/>
            <w:szCs w:val="24"/>
          </w:rPr>
          <w:t>FEV1</w:t>
        </w:r>
      </w:hyperlink>
      <w:r w:rsidRPr="00C056A4">
        <w:rPr>
          <w:rStyle w:val="Stark"/>
          <w:rFonts w:asciiTheme="minorHAnsi" w:hAnsiTheme="minorHAnsi"/>
          <w:b w:val="0"/>
          <w:sz w:val="24"/>
          <w:szCs w:val="24"/>
        </w:rPr>
        <w:t xml:space="preserve"> ökar med minst 12% och 200 ml)</w:t>
      </w:r>
      <w:r w:rsidRPr="00C056A4">
        <w:rPr>
          <w:rStyle w:val="Stark"/>
          <w:rFonts w:asciiTheme="minorHAnsi" w:hAnsiTheme="minorHAnsi"/>
          <w:b w:val="0"/>
          <w:sz w:val="24"/>
          <w:szCs w:val="24"/>
        </w:rPr>
        <w:br/>
        <w:t>Hälften av KOL-patienterna har också signifikant reversibilitet men till skillnad från hos astmapatienter kommer FEV1/</w:t>
      </w:r>
      <w:hyperlink w:anchor="_ORDLISTA" w:history="1">
        <w:r w:rsidRPr="00C056A4">
          <w:rPr>
            <w:rStyle w:val="Stark"/>
            <w:rFonts w:asciiTheme="minorHAnsi" w:hAnsiTheme="minorHAnsi"/>
            <w:b w:val="0"/>
            <w:sz w:val="24"/>
            <w:szCs w:val="24"/>
          </w:rPr>
          <w:t>FVC</w:t>
        </w:r>
      </w:hyperlink>
      <w:r w:rsidRPr="00C056A4">
        <w:rPr>
          <w:rStyle w:val="Stark"/>
          <w:rFonts w:asciiTheme="minorHAnsi" w:hAnsiTheme="minorHAnsi"/>
          <w:b w:val="0"/>
          <w:sz w:val="24"/>
          <w:szCs w:val="24"/>
        </w:rPr>
        <w:t>-kvoten aldrig normaliseras</w:t>
      </w:r>
    </w:p>
    <w:p w14:paraId="38E10B0D" w14:textId="77777777" w:rsidR="00EC79BD" w:rsidRPr="00C056A4" w:rsidRDefault="00EC79BD" w:rsidP="00EC79BD">
      <w:pPr>
        <w:numPr>
          <w:ilvl w:val="2"/>
          <w:numId w:val="88"/>
        </w:numPr>
        <w:shd w:val="clear" w:color="auto" w:fill="FFFFFF"/>
        <w:tabs>
          <w:tab w:val="clear" w:pos="284"/>
        </w:tabs>
        <w:spacing w:line="276" w:lineRule="auto"/>
        <w:rPr>
          <w:rStyle w:val="Stark"/>
          <w:rFonts w:asciiTheme="minorHAnsi" w:hAnsiTheme="minorHAnsi"/>
          <w:b w:val="0"/>
          <w:sz w:val="24"/>
          <w:szCs w:val="24"/>
        </w:rPr>
      </w:pPr>
      <w:r w:rsidRPr="00C056A4">
        <w:rPr>
          <w:rStyle w:val="Stark"/>
          <w:rFonts w:asciiTheme="minorHAnsi" w:hAnsiTheme="minorHAnsi"/>
          <w:b w:val="0"/>
          <w:sz w:val="24"/>
          <w:szCs w:val="24"/>
        </w:rPr>
        <w:t xml:space="preserve">Normal spirometri utesluter inte astma   </w:t>
      </w:r>
    </w:p>
    <w:p w14:paraId="2C71D3F5" w14:textId="77777777" w:rsidR="00EC79BD" w:rsidRPr="00C056A4" w:rsidRDefault="00EC79BD" w:rsidP="00EC79BD">
      <w:pPr>
        <w:numPr>
          <w:ilvl w:val="1"/>
          <w:numId w:val="88"/>
        </w:numPr>
        <w:shd w:val="clear" w:color="auto" w:fill="FFFFFF"/>
        <w:tabs>
          <w:tab w:val="clear" w:pos="284"/>
        </w:tabs>
        <w:spacing w:line="276" w:lineRule="auto"/>
        <w:rPr>
          <w:rStyle w:val="Stark"/>
          <w:rFonts w:asciiTheme="minorHAnsi" w:hAnsiTheme="minorHAnsi"/>
          <w:b w:val="0"/>
          <w:sz w:val="24"/>
          <w:szCs w:val="24"/>
        </w:rPr>
      </w:pPr>
      <w:hyperlink w:anchor="_ORDLISTA" w:history="1">
        <w:r w:rsidRPr="00C056A4">
          <w:rPr>
            <w:rStyle w:val="Stark"/>
            <w:rFonts w:asciiTheme="minorHAnsi" w:hAnsiTheme="minorHAnsi"/>
            <w:b w:val="0"/>
            <w:sz w:val="24"/>
            <w:szCs w:val="24"/>
          </w:rPr>
          <w:t>PEF</w:t>
        </w:r>
      </w:hyperlink>
      <w:r w:rsidRPr="00C056A4">
        <w:rPr>
          <w:rStyle w:val="Stark"/>
          <w:rFonts w:asciiTheme="minorHAnsi" w:hAnsiTheme="minorHAnsi"/>
          <w:b w:val="0"/>
          <w:sz w:val="24"/>
          <w:szCs w:val="24"/>
        </w:rPr>
        <w:t xml:space="preserve">: </w:t>
      </w:r>
    </w:p>
    <w:p w14:paraId="25DD1680" w14:textId="77777777" w:rsidR="00EC79BD" w:rsidRPr="00C056A4" w:rsidRDefault="00EC79BD" w:rsidP="00EC79BD">
      <w:pPr>
        <w:numPr>
          <w:ilvl w:val="2"/>
          <w:numId w:val="88"/>
        </w:numPr>
        <w:shd w:val="clear" w:color="auto" w:fill="FFFFFF"/>
        <w:tabs>
          <w:tab w:val="clear" w:pos="284"/>
        </w:tabs>
        <w:spacing w:line="276" w:lineRule="auto"/>
        <w:rPr>
          <w:rStyle w:val="Stark"/>
          <w:rFonts w:asciiTheme="minorHAnsi" w:hAnsiTheme="minorHAnsi"/>
          <w:b w:val="0"/>
          <w:sz w:val="24"/>
          <w:szCs w:val="24"/>
        </w:rPr>
      </w:pPr>
      <w:r w:rsidRPr="00C056A4">
        <w:rPr>
          <w:rStyle w:val="Stark"/>
          <w:rFonts w:asciiTheme="minorHAnsi" w:hAnsiTheme="minorHAnsi"/>
          <w:b w:val="0"/>
          <w:sz w:val="24"/>
          <w:szCs w:val="24"/>
        </w:rPr>
        <w:t>Ska utföras om bronkodilatation inte kan påvisas vid spirometri</w:t>
      </w:r>
    </w:p>
    <w:p w14:paraId="2DB504B1" w14:textId="77777777" w:rsidR="00EC79BD" w:rsidRPr="00C056A4" w:rsidRDefault="00EC79BD" w:rsidP="00EC79BD">
      <w:pPr>
        <w:numPr>
          <w:ilvl w:val="2"/>
          <w:numId w:val="88"/>
        </w:numPr>
        <w:shd w:val="clear" w:color="auto" w:fill="FFFFFF"/>
        <w:tabs>
          <w:tab w:val="clear" w:pos="284"/>
        </w:tabs>
        <w:spacing w:line="276" w:lineRule="auto"/>
        <w:rPr>
          <w:rStyle w:val="Stark"/>
          <w:rFonts w:asciiTheme="minorHAnsi" w:hAnsiTheme="minorHAnsi"/>
          <w:b w:val="0"/>
          <w:sz w:val="24"/>
          <w:szCs w:val="24"/>
        </w:rPr>
      </w:pPr>
      <w:r w:rsidRPr="00C056A4">
        <w:rPr>
          <w:rStyle w:val="Stark"/>
          <w:rFonts w:asciiTheme="minorHAnsi" w:hAnsiTheme="minorHAnsi"/>
          <w:b w:val="0"/>
          <w:sz w:val="24"/>
          <w:szCs w:val="24"/>
        </w:rPr>
        <w:t>Vid ansträngningsutlösta besvär görs först mätning morgon och kväll i 3 dagar sedan 4 dagar med PEF innan och efter/under ansträngning</w:t>
      </w:r>
      <w:r w:rsidRPr="00C056A4">
        <w:rPr>
          <w:rStyle w:val="Stark"/>
          <w:rFonts w:asciiTheme="minorHAnsi" w:hAnsiTheme="minorHAnsi"/>
          <w:b w:val="0"/>
          <w:sz w:val="24"/>
          <w:szCs w:val="24"/>
        </w:rPr>
        <w:br/>
        <w:t>Förskriv en luftrörsvidgande inhalator och instruera patienten och använda vid ansträngningsutlösta besvär och att de notera PEF innan och efter luftrörsvidgande behandling</w:t>
      </w:r>
    </w:p>
    <w:p w14:paraId="1481CC20" w14:textId="77777777" w:rsidR="00EC79BD" w:rsidRPr="00C056A4" w:rsidRDefault="00EC79BD" w:rsidP="00EC79BD">
      <w:pPr>
        <w:numPr>
          <w:ilvl w:val="2"/>
          <w:numId w:val="88"/>
        </w:numPr>
        <w:shd w:val="clear" w:color="auto" w:fill="FFFFFF"/>
        <w:tabs>
          <w:tab w:val="clear" w:pos="284"/>
        </w:tabs>
        <w:spacing w:line="276" w:lineRule="auto"/>
        <w:rPr>
          <w:rStyle w:val="Stark"/>
          <w:rFonts w:asciiTheme="minorHAnsi" w:hAnsiTheme="minorHAnsi"/>
          <w:b w:val="0"/>
          <w:sz w:val="24"/>
          <w:szCs w:val="24"/>
        </w:rPr>
      </w:pPr>
      <w:hyperlink r:id="rId27" w:history="1">
        <w:r w:rsidRPr="00C056A4">
          <w:rPr>
            <w:rStyle w:val="Stark"/>
            <w:rFonts w:asciiTheme="minorHAnsi" w:hAnsiTheme="minorHAnsi"/>
            <w:b w:val="0"/>
            <w:sz w:val="24"/>
            <w:szCs w:val="24"/>
          </w:rPr>
          <w:t>Noggranna instruktioner</w:t>
        </w:r>
      </w:hyperlink>
      <w:r w:rsidRPr="00C056A4">
        <w:rPr>
          <w:rStyle w:val="Stark"/>
          <w:rFonts w:asciiTheme="minorHAnsi" w:hAnsiTheme="minorHAnsi"/>
          <w:b w:val="0"/>
          <w:sz w:val="24"/>
          <w:szCs w:val="24"/>
        </w:rPr>
        <w:t xml:space="preserve"> är avgörande</w:t>
      </w:r>
    </w:p>
    <w:p w14:paraId="5280A896" w14:textId="77777777" w:rsidR="00EC79BD" w:rsidRPr="00C056A4" w:rsidRDefault="00EC79BD" w:rsidP="00EC79BD">
      <w:pPr>
        <w:numPr>
          <w:ilvl w:val="2"/>
          <w:numId w:val="88"/>
        </w:numPr>
        <w:shd w:val="clear" w:color="auto" w:fill="FFFFFF"/>
        <w:tabs>
          <w:tab w:val="clear" w:pos="284"/>
        </w:tabs>
        <w:spacing w:line="276" w:lineRule="auto"/>
        <w:rPr>
          <w:rFonts w:asciiTheme="minorHAnsi" w:hAnsiTheme="minorHAnsi"/>
          <w:iCs/>
          <w:sz w:val="24"/>
          <w:szCs w:val="24"/>
        </w:rPr>
      </w:pPr>
      <w:r w:rsidRPr="00C056A4">
        <w:rPr>
          <w:rFonts w:asciiTheme="minorHAnsi" w:eastAsia="Times New Roman" w:hAnsiTheme="minorHAnsi" w:cs="Calibri"/>
          <w:sz w:val="24"/>
          <w:szCs w:val="28"/>
          <w:lang w:eastAsia="sv-SE"/>
        </w:rPr>
        <w:lastRenderedPageBreak/>
        <w:t>Lämpliga PEF-kurvor att skriva ut finns på viss.nu och på medicininstruktioner.se bland annat</w:t>
      </w:r>
    </w:p>
    <w:p w14:paraId="2CD06ED7" w14:textId="77777777" w:rsidR="00EC79BD" w:rsidRPr="00C056A4" w:rsidRDefault="00EC79BD" w:rsidP="00EC79BD">
      <w:pPr>
        <w:numPr>
          <w:ilvl w:val="2"/>
          <w:numId w:val="88"/>
        </w:numPr>
        <w:shd w:val="clear" w:color="auto" w:fill="FFFFFF"/>
        <w:tabs>
          <w:tab w:val="clear" w:pos="284"/>
        </w:tabs>
        <w:spacing w:line="276" w:lineRule="auto"/>
        <w:rPr>
          <w:rFonts w:asciiTheme="minorHAnsi" w:hAnsiTheme="minorHAnsi"/>
          <w:bCs/>
          <w:iCs/>
          <w:sz w:val="24"/>
          <w:szCs w:val="24"/>
        </w:rPr>
      </w:pPr>
      <w:r w:rsidRPr="00C056A4">
        <w:rPr>
          <w:rFonts w:asciiTheme="minorHAnsi" w:eastAsia="Times New Roman" w:hAnsiTheme="minorHAnsi" w:cs="Calibri"/>
          <w:color w:val="000000" w:themeColor="text1"/>
          <w:sz w:val="24"/>
          <w:szCs w:val="28"/>
          <w:lang w:eastAsia="sv-SE"/>
        </w:rPr>
        <w:t>Variabilitet – kan mätas på flera sätt</w:t>
      </w:r>
    </w:p>
    <w:p w14:paraId="5338FA9B" w14:textId="77777777" w:rsidR="00EC79BD" w:rsidRPr="000B0E24" w:rsidRDefault="00EC79BD" w:rsidP="00EC79BD">
      <w:pPr>
        <w:pStyle w:val="Liststycke"/>
        <w:numPr>
          <w:ilvl w:val="0"/>
          <w:numId w:val="89"/>
        </w:numPr>
        <w:shd w:val="clear" w:color="auto" w:fill="FFFFFF"/>
        <w:tabs>
          <w:tab w:val="clear" w:pos="284"/>
        </w:tabs>
        <w:spacing w:line="276" w:lineRule="auto"/>
        <w:rPr>
          <w:rFonts w:asciiTheme="minorHAnsi" w:eastAsia="Times New Roman" w:hAnsiTheme="minorHAnsi" w:cs="Times New Roman"/>
          <w:iCs/>
          <w:color w:val="000000" w:themeColor="text1"/>
          <w:sz w:val="24"/>
          <w:szCs w:val="28"/>
          <w:u w:val="single"/>
          <w:lang w:eastAsia="sv-SE"/>
        </w:rPr>
      </w:pPr>
      <w:r w:rsidRPr="000B0E24">
        <w:rPr>
          <w:rFonts w:asciiTheme="minorHAnsi" w:eastAsia="Times New Roman" w:hAnsiTheme="minorHAnsi" w:cs="Calibri"/>
          <w:color w:val="000000" w:themeColor="text1"/>
          <w:sz w:val="24"/>
          <w:szCs w:val="28"/>
          <w:lang w:eastAsia="sv-SE"/>
        </w:rPr>
        <w:t>Dygnsvariabilitet på minst 13% talar för astma</w:t>
      </w:r>
      <w:r w:rsidRPr="000B0E24">
        <w:rPr>
          <w:rFonts w:asciiTheme="minorHAnsi" w:eastAsia="Times New Roman" w:hAnsiTheme="minorHAnsi" w:cs="Calibri"/>
          <w:color w:val="000000" w:themeColor="text1"/>
          <w:sz w:val="24"/>
          <w:szCs w:val="28"/>
          <w:u w:val="single"/>
          <w:lang w:eastAsia="sv-SE"/>
        </w:rPr>
        <w:t xml:space="preserve"> </w:t>
      </w:r>
      <m:oMath>
        <m:f>
          <m:fPr>
            <m:ctrlPr>
              <w:rPr>
                <w:rFonts w:ascii="Cambria Math" w:eastAsia="Times New Roman" w:hAnsi="Cambria Math" w:cs="Times New Roman"/>
                <w:iCs/>
                <w:sz w:val="24"/>
                <w:szCs w:val="28"/>
                <w:lang w:eastAsia="sv-SE"/>
              </w:rPr>
            </m:ctrlPr>
          </m:fPr>
          <m:num>
            <m:d>
              <m:dPr>
                <m:ctrlPr>
                  <w:rPr>
                    <w:rFonts w:ascii="Cambria Math" w:eastAsia="Times New Roman" w:hAnsi="Cambria Math" w:cs="Times New Roman"/>
                    <w:iCs/>
                    <w:sz w:val="24"/>
                    <w:szCs w:val="28"/>
                    <w:lang w:eastAsia="sv-SE"/>
                  </w:rPr>
                </m:ctrlPr>
              </m:dPr>
              <m:e>
                <m:r>
                  <m:rPr>
                    <m:sty m:val="p"/>
                  </m:rPr>
                  <w:rPr>
                    <w:rFonts w:ascii="Cambria Math" w:eastAsia="Times New Roman" w:hAnsi="Cambria Math" w:cs="Times New Roman"/>
                    <w:sz w:val="24"/>
                    <w:szCs w:val="28"/>
                    <w:lang w:eastAsia="sv-SE"/>
                  </w:rPr>
                  <m:t>(dagens högsta värde-dagens lägsta värde)x100</m:t>
                </m:r>
              </m:e>
            </m:d>
          </m:num>
          <m:den>
            <m:r>
              <m:rPr>
                <m:sty m:val="p"/>
              </m:rPr>
              <w:rPr>
                <w:rFonts w:ascii="Cambria Math" w:eastAsia="Times New Roman" w:hAnsi="Cambria Math" w:cs="Times New Roman"/>
                <w:sz w:val="24"/>
                <w:szCs w:val="28"/>
                <w:lang w:eastAsia="sv-SE"/>
              </w:rPr>
              <m:t>(dagens högsta värde-dagens lägsta värde) x0,5</m:t>
            </m:r>
          </m:den>
        </m:f>
      </m:oMath>
    </w:p>
    <w:p w14:paraId="4BF2F79B" w14:textId="77777777" w:rsidR="00EC79BD" w:rsidRPr="000B0E24" w:rsidRDefault="00EC79BD" w:rsidP="00EC79BD">
      <w:pPr>
        <w:pStyle w:val="Liststycke"/>
        <w:numPr>
          <w:ilvl w:val="0"/>
          <w:numId w:val="89"/>
        </w:numPr>
        <w:shd w:val="clear" w:color="auto" w:fill="FFFFFF"/>
        <w:tabs>
          <w:tab w:val="clear" w:pos="284"/>
        </w:tabs>
        <w:spacing w:line="276" w:lineRule="auto"/>
        <w:rPr>
          <w:rFonts w:asciiTheme="minorHAnsi" w:eastAsia="Times New Roman" w:hAnsiTheme="minorHAnsi" w:cs="Times New Roman"/>
          <w:iCs/>
          <w:color w:val="000000" w:themeColor="text1"/>
          <w:sz w:val="24"/>
          <w:szCs w:val="28"/>
          <w:u w:val="single"/>
          <w:lang w:eastAsia="sv-SE"/>
        </w:rPr>
      </w:pPr>
      <w:r w:rsidRPr="000B0E24">
        <w:rPr>
          <w:rFonts w:asciiTheme="minorHAnsi" w:eastAsia="Times New Roman" w:hAnsiTheme="minorHAnsi" w:cs="Times New Roman"/>
          <w:sz w:val="24"/>
          <w:szCs w:val="28"/>
          <w:lang w:eastAsia="sv-SE"/>
        </w:rPr>
        <w:t xml:space="preserve">Periodvariabilitet på minst 20% talar för astma </w:t>
      </w:r>
      <m:oMath>
        <m:f>
          <m:fPr>
            <m:ctrlPr>
              <w:rPr>
                <w:rFonts w:ascii="Cambria Math" w:eastAsia="Times New Roman" w:hAnsi="Cambria Math" w:cs="Times New Roman"/>
                <w:iCs/>
                <w:sz w:val="24"/>
                <w:szCs w:val="24"/>
                <w:lang w:eastAsia="sv-SE"/>
              </w:rPr>
            </m:ctrlPr>
          </m:fPr>
          <m:num>
            <m:d>
              <m:dPr>
                <m:ctrlPr>
                  <w:rPr>
                    <w:rFonts w:ascii="Cambria Math" w:eastAsia="Times New Roman" w:hAnsi="Cambria Math" w:cs="Times New Roman"/>
                    <w:iCs/>
                    <w:sz w:val="24"/>
                    <w:szCs w:val="24"/>
                    <w:lang w:eastAsia="sv-SE"/>
                  </w:rPr>
                </m:ctrlPr>
              </m:dPr>
              <m:e>
                <m:r>
                  <m:rPr>
                    <m:sty m:val="p"/>
                  </m:rPr>
                  <w:rPr>
                    <w:rFonts w:ascii="Cambria Math" w:eastAsia="Times New Roman" w:hAnsi="Cambria Math" w:cs="Times New Roman"/>
                    <w:sz w:val="24"/>
                    <w:szCs w:val="24"/>
                    <w:lang w:eastAsia="sv-SE"/>
                  </w:rPr>
                  <m:t>(periodens högsta värde-periodens lägsta värde)x100</m:t>
                </m:r>
              </m:e>
            </m:d>
          </m:num>
          <m:den>
            <m:r>
              <m:rPr>
                <m:sty m:val="p"/>
              </m:rPr>
              <w:rPr>
                <w:rFonts w:ascii="Cambria Math" w:eastAsia="Times New Roman" w:hAnsi="Cambria Math" w:cs="Times New Roman"/>
                <w:sz w:val="24"/>
                <w:szCs w:val="24"/>
                <w:lang w:eastAsia="sv-SE"/>
              </w:rPr>
              <m:t>periodens högsta värde</m:t>
            </m:r>
          </m:den>
        </m:f>
      </m:oMath>
    </w:p>
    <w:p w14:paraId="4311D358" w14:textId="77777777" w:rsidR="00EC79BD" w:rsidRPr="000B0E24" w:rsidRDefault="00EC79BD" w:rsidP="00EC79BD">
      <w:pPr>
        <w:numPr>
          <w:ilvl w:val="0"/>
          <w:numId w:val="89"/>
        </w:numPr>
        <w:shd w:val="clear" w:color="auto" w:fill="FFFFFF"/>
        <w:tabs>
          <w:tab w:val="clear" w:pos="284"/>
        </w:tabs>
        <w:spacing w:before="100" w:beforeAutospacing="1" w:after="100" w:afterAutospacing="1" w:line="240" w:lineRule="auto"/>
        <w:rPr>
          <w:rStyle w:val="Stark"/>
          <w:rFonts w:asciiTheme="minorHAnsi" w:eastAsia="Times New Roman" w:hAnsiTheme="minorHAnsi" w:cs="Times New Roman"/>
          <w:bCs/>
          <w:iCs/>
          <w:sz w:val="24"/>
          <w:szCs w:val="28"/>
          <w:lang w:eastAsia="sv-SE"/>
        </w:rPr>
      </w:pPr>
      <w:r w:rsidRPr="000B0E24">
        <w:rPr>
          <w:rFonts w:asciiTheme="minorHAnsi" w:eastAsia="Times New Roman" w:hAnsiTheme="minorHAnsi" w:cs="Times New Roman"/>
          <w:sz w:val="24"/>
          <w:szCs w:val="28"/>
          <w:lang w:eastAsia="sv-SE"/>
        </w:rPr>
        <w:t xml:space="preserve">PEF-reversibilitet med beta-2-stimulerare på minst 15% talar för astma </w:t>
      </w:r>
      <m:oMath>
        <m:f>
          <m:fPr>
            <m:ctrlPr>
              <w:rPr>
                <w:rFonts w:ascii="Cambria Math" w:eastAsia="Times New Roman" w:hAnsi="Cambria Math" w:cs="Times New Roman"/>
                <w:iCs/>
                <w:sz w:val="24"/>
                <w:szCs w:val="24"/>
                <w:lang w:eastAsia="sv-SE"/>
              </w:rPr>
            </m:ctrlPr>
          </m:fPr>
          <m:num>
            <m:d>
              <m:dPr>
                <m:ctrlPr>
                  <w:rPr>
                    <w:rFonts w:ascii="Cambria Math" w:eastAsia="Times New Roman" w:hAnsi="Cambria Math" w:cs="Times New Roman"/>
                    <w:iCs/>
                    <w:sz w:val="24"/>
                    <w:szCs w:val="24"/>
                    <w:lang w:eastAsia="sv-SE"/>
                  </w:rPr>
                </m:ctrlPr>
              </m:dPr>
              <m:e>
                <m:r>
                  <m:rPr>
                    <m:sty m:val="p"/>
                  </m:rPr>
                  <w:rPr>
                    <w:rFonts w:ascii="Cambria Math" w:eastAsia="Times New Roman" w:hAnsi="Cambria Math" w:cs="Times New Roman"/>
                    <w:sz w:val="24"/>
                    <w:szCs w:val="24"/>
                    <w:lang w:eastAsia="sv-SE"/>
                  </w:rPr>
                  <m:t>(högst värde efter bronkvidgare-lägsta värde före bronkvidgare)x100</m:t>
                </m:r>
              </m:e>
            </m:d>
          </m:num>
          <m:den>
            <m:eqArr>
              <m:eqArrPr>
                <m:ctrlPr>
                  <w:rPr>
                    <w:rFonts w:ascii="Cambria Math" w:eastAsia="Times New Roman" w:hAnsi="Cambria Math" w:cs="Times New Roman"/>
                    <w:iCs/>
                    <w:sz w:val="24"/>
                    <w:szCs w:val="24"/>
                    <w:lang w:eastAsia="sv-SE"/>
                  </w:rPr>
                </m:ctrlPr>
              </m:eqArrPr>
              <m:e>
                <m:r>
                  <m:rPr>
                    <m:sty m:val="p"/>
                  </m:rPr>
                  <w:rPr>
                    <w:rFonts w:ascii="Cambria Math" w:eastAsia="Times New Roman" w:hAnsi="Cambria Math" w:cs="Times New Roman"/>
                    <w:sz w:val="24"/>
                    <w:szCs w:val="24"/>
                    <w:lang w:eastAsia="sv-SE"/>
                  </w:rPr>
                  <m:t>medelvärde för alla uppmätta värden</m:t>
                </m:r>
              </m:e>
              <m:e/>
            </m:eqArr>
          </m:den>
        </m:f>
      </m:oMath>
    </w:p>
    <w:p w14:paraId="1DE5AF3D" w14:textId="77777777" w:rsidR="00EC79BD" w:rsidRPr="00C056A4" w:rsidRDefault="00EC79BD" w:rsidP="00EC79BD">
      <w:pPr>
        <w:pStyle w:val="Liststycke"/>
        <w:numPr>
          <w:ilvl w:val="1"/>
          <w:numId w:val="89"/>
        </w:numPr>
        <w:shd w:val="clear" w:color="auto" w:fill="FFFFFF"/>
        <w:tabs>
          <w:tab w:val="clear" w:pos="284"/>
        </w:tabs>
        <w:spacing w:before="100" w:beforeAutospacing="1" w:after="100" w:afterAutospacing="1" w:line="240" w:lineRule="auto"/>
        <w:rPr>
          <w:rFonts w:asciiTheme="minorHAnsi" w:eastAsia="Times New Roman" w:hAnsiTheme="minorHAnsi" w:cs="Times New Roman"/>
          <w:sz w:val="24"/>
          <w:szCs w:val="28"/>
          <w:lang w:eastAsia="sv-SE"/>
        </w:rPr>
      </w:pPr>
      <w:r w:rsidRPr="00C056A4">
        <w:rPr>
          <w:rFonts w:asciiTheme="minorHAnsi" w:eastAsia="Times New Roman" w:hAnsiTheme="minorHAnsi" w:cs="Times New Roman"/>
          <w:sz w:val="24"/>
          <w:szCs w:val="28"/>
          <w:lang w:eastAsia="sv-SE"/>
        </w:rPr>
        <w:t>Mätningar med bronkvidgare görs lämpligast på morgonen före och efter inhalation</w:t>
      </w:r>
    </w:p>
    <w:p w14:paraId="0F806997" w14:textId="77777777" w:rsidR="00EC79BD" w:rsidRPr="00C056A4" w:rsidRDefault="00EC79BD" w:rsidP="00EC79BD">
      <w:pPr>
        <w:numPr>
          <w:ilvl w:val="1"/>
          <w:numId w:val="89"/>
        </w:numPr>
        <w:shd w:val="clear" w:color="auto" w:fill="FFFFFF"/>
        <w:tabs>
          <w:tab w:val="clear" w:pos="284"/>
        </w:tabs>
        <w:spacing w:before="100" w:beforeAutospacing="1" w:after="100" w:afterAutospacing="1" w:line="240" w:lineRule="auto"/>
        <w:rPr>
          <w:rFonts w:asciiTheme="minorHAnsi" w:eastAsia="Times New Roman" w:hAnsiTheme="minorHAnsi" w:cs="Times New Roman"/>
          <w:sz w:val="24"/>
          <w:szCs w:val="28"/>
          <w:lang w:eastAsia="sv-SE"/>
        </w:rPr>
      </w:pPr>
      <w:r w:rsidRPr="00C056A4">
        <w:rPr>
          <w:rFonts w:asciiTheme="minorHAnsi" w:eastAsia="Times New Roman" w:hAnsiTheme="minorHAnsi" w:cs="Times New Roman"/>
          <w:sz w:val="24"/>
          <w:szCs w:val="28"/>
          <w:lang w:eastAsia="sv-SE"/>
        </w:rPr>
        <w:t>Kan även göras situationsbaserad (till exempel före och efter ansträngning eller exponering till allergen)</w:t>
      </w:r>
    </w:p>
    <w:p w14:paraId="4C5F82B2" w14:textId="77777777" w:rsidR="00EC79BD" w:rsidRPr="00C056A4" w:rsidRDefault="00EC79BD" w:rsidP="00EC79BD">
      <w:pPr>
        <w:numPr>
          <w:ilvl w:val="1"/>
          <w:numId w:val="89"/>
        </w:numPr>
        <w:shd w:val="clear" w:color="auto" w:fill="FFFFFF"/>
        <w:tabs>
          <w:tab w:val="clear" w:pos="284"/>
        </w:tabs>
        <w:spacing w:line="240" w:lineRule="auto"/>
        <w:rPr>
          <w:rFonts w:asciiTheme="minorHAnsi" w:eastAsia="Times New Roman" w:hAnsiTheme="minorHAnsi" w:cs="Times New Roman"/>
          <w:sz w:val="24"/>
          <w:szCs w:val="28"/>
          <w:lang w:eastAsia="sv-SE"/>
        </w:rPr>
      </w:pPr>
      <w:r w:rsidRPr="00C056A4">
        <w:rPr>
          <w:rFonts w:asciiTheme="minorHAnsi" w:eastAsia="Times New Roman" w:hAnsiTheme="minorHAnsi" w:cs="Times New Roman"/>
          <w:sz w:val="24"/>
          <w:szCs w:val="28"/>
          <w:lang w:eastAsia="sv-SE"/>
        </w:rPr>
        <w:t>PEF-värdet före och vanligen 15 minuter efter inhalationen dokumenteras. Effekten av läkemedlet u</w:t>
      </w:r>
      <w:r>
        <w:rPr>
          <w:rFonts w:asciiTheme="minorHAnsi" w:eastAsia="Times New Roman" w:hAnsiTheme="minorHAnsi" w:cs="Times New Roman"/>
          <w:sz w:val="24"/>
          <w:szCs w:val="28"/>
          <w:lang w:eastAsia="sv-SE"/>
        </w:rPr>
        <w:t>t</w:t>
      </w:r>
      <w:r w:rsidRPr="00C056A4">
        <w:rPr>
          <w:rFonts w:asciiTheme="minorHAnsi" w:eastAsia="Times New Roman" w:hAnsiTheme="minorHAnsi" w:cs="Times New Roman"/>
          <w:sz w:val="24"/>
          <w:szCs w:val="28"/>
          <w:lang w:eastAsia="sv-SE"/>
        </w:rPr>
        <w:t>värderas</w:t>
      </w:r>
    </w:p>
    <w:p w14:paraId="0725D364" w14:textId="77777777" w:rsidR="00EC79BD" w:rsidRPr="00C056A4" w:rsidRDefault="00EC79BD" w:rsidP="00EC79BD">
      <w:pPr>
        <w:numPr>
          <w:ilvl w:val="1"/>
          <w:numId w:val="88"/>
        </w:numPr>
        <w:shd w:val="clear" w:color="auto" w:fill="FFFFFF"/>
        <w:tabs>
          <w:tab w:val="clear" w:pos="284"/>
        </w:tabs>
        <w:spacing w:line="276" w:lineRule="auto"/>
        <w:rPr>
          <w:rStyle w:val="Stark"/>
          <w:rFonts w:asciiTheme="minorHAnsi" w:hAnsiTheme="minorHAnsi"/>
          <w:b w:val="0"/>
          <w:bCs/>
          <w:sz w:val="24"/>
          <w:szCs w:val="24"/>
        </w:rPr>
      </w:pPr>
      <w:r w:rsidRPr="00C056A4">
        <w:rPr>
          <w:rStyle w:val="Stark"/>
          <w:rFonts w:asciiTheme="minorHAnsi" w:hAnsiTheme="minorHAnsi"/>
          <w:b w:val="0"/>
          <w:bCs/>
          <w:sz w:val="24"/>
          <w:szCs w:val="24"/>
        </w:rPr>
        <w:t>Behandlingsförsök: Görs först om spirometri och PEF är negativa!</w:t>
      </w:r>
    </w:p>
    <w:p w14:paraId="512B45F2" w14:textId="77777777" w:rsidR="00EC79BD" w:rsidRPr="00C056A4" w:rsidRDefault="00EC79BD" w:rsidP="00EC79BD">
      <w:pPr>
        <w:numPr>
          <w:ilvl w:val="2"/>
          <w:numId w:val="88"/>
        </w:numPr>
        <w:shd w:val="clear" w:color="auto" w:fill="FFFFFF"/>
        <w:tabs>
          <w:tab w:val="clear" w:pos="284"/>
        </w:tabs>
        <w:spacing w:line="276" w:lineRule="auto"/>
        <w:rPr>
          <w:rStyle w:val="Stark"/>
          <w:rFonts w:asciiTheme="minorHAnsi" w:hAnsiTheme="minorHAnsi"/>
          <w:b w:val="0"/>
          <w:bCs/>
          <w:sz w:val="24"/>
          <w:szCs w:val="24"/>
        </w:rPr>
      </w:pPr>
      <w:r w:rsidRPr="00C056A4">
        <w:rPr>
          <w:rStyle w:val="Stark"/>
          <w:rFonts w:asciiTheme="minorHAnsi" w:hAnsiTheme="minorHAnsi"/>
          <w:b w:val="0"/>
          <w:bCs/>
          <w:sz w:val="24"/>
          <w:szCs w:val="24"/>
        </w:rPr>
        <w:t>Medelhög dos 2-3 månader följt av utvärdering och spirometri</w:t>
      </w:r>
    </w:p>
    <w:p w14:paraId="04272B9C" w14:textId="77777777" w:rsidR="00EC79BD" w:rsidRPr="00C056A4" w:rsidRDefault="00EC79BD" w:rsidP="00EC79BD">
      <w:pPr>
        <w:numPr>
          <w:ilvl w:val="1"/>
          <w:numId w:val="88"/>
        </w:numPr>
        <w:shd w:val="clear" w:color="auto" w:fill="FFFFFF"/>
        <w:tabs>
          <w:tab w:val="clear" w:pos="284"/>
        </w:tabs>
        <w:spacing w:line="276" w:lineRule="auto"/>
        <w:rPr>
          <w:rStyle w:val="Stark"/>
          <w:rFonts w:asciiTheme="minorHAnsi" w:hAnsiTheme="minorHAnsi"/>
          <w:b w:val="0"/>
          <w:bCs/>
          <w:sz w:val="24"/>
          <w:szCs w:val="24"/>
        </w:rPr>
      </w:pPr>
      <w:r w:rsidRPr="00C056A4">
        <w:rPr>
          <w:rStyle w:val="Stark"/>
          <w:rFonts w:asciiTheme="minorHAnsi" w:hAnsiTheme="minorHAnsi"/>
          <w:b w:val="0"/>
          <w:bCs/>
          <w:sz w:val="24"/>
          <w:szCs w:val="24"/>
        </w:rPr>
        <w:t xml:space="preserve">Mätning av utandad </w:t>
      </w:r>
      <w:hyperlink w:anchor="_ORDLISTA" w:history="1">
        <w:r w:rsidRPr="00C056A4">
          <w:rPr>
            <w:rStyle w:val="Stark"/>
            <w:rFonts w:asciiTheme="minorHAnsi" w:hAnsiTheme="minorHAnsi"/>
            <w:b w:val="0"/>
            <w:bCs/>
            <w:sz w:val="24"/>
            <w:szCs w:val="24"/>
          </w:rPr>
          <w:t>FeNO</w:t>
        </w:r>
      </w:hyperlink>
      <w:r w:rsidRPr="00C056A4">
        <w:rPr>
          <w:rStyle w:val="Stark"/>
          <w:rFonts w:asciiTheme="minorHAnsi" w:hAnsiTheme="minorHAnsi"/>
          <w:b w:val="0"/>
          <w:bCs/>
          <w:sz w:val="24"/>
          <w:szCs w:val="24"/>
        </w:rPr>
        <w:t xml:space="preserve"> kan tala för astmadiagnos om värden över 50 </w:t>
      </w:r>
      <w:hyperlink w:anchor="_ORDLISTA" w:history="1">
        <w:r w:rsidRPr="00C056A4">
          <w:rPr>
            <w:rStyle w:val="Stark"/>
            <w:rFonts w:asciiTheme="minorHAnsi" w:hAnsiTheme="minorHAnsi"/>
            <w:b w:val="0"/>
            <w:bCs/>
            <w:sz w:val="24"/>
            <w:szCs w:val="24"/>
          </w:rPr>
          <w:t>ppb</w:t>
        </w:r>
      </w:hyperlink>
      <w:r w:rsidRPr="00C056A4">
        <w:rPr>
          <w:rStyle w:val="Stark"/>
          <w:rFonts w:asciiTheme="minorHAnsi" w:hAnsiTheme="minorHAnsi"/>
          <w:b w:val="0"/>
          <w:bCs/>
          <w:sz w:val="24"/>
          <w:szCs w:val="24"/>
        </w:rPr>
        <w:t xml:space="preserve"> uppmäts</w:t>
      </w:r>
    </w:p>
    <w:p w14:paraId="6DC0B937" w14:textId="77777777" w:rsidR="00EC79BD" w:rsidRPr="00C056A4" w:rsidRDefault="00EC79BD" w:rsidP="00EC79BD">
      <w:pPr>
        <w:numPr>
          <w:ilvl w:val="1"/>
          <w:numId w:val="88"/>
        </w:numPr>
        <w:shd w:val="clear" w:color="auto" w:fill="FFFFFF"/>
        <w:tabs>
          <w:tab w:val="clear" w:pos="284"/>
        </w:tabs>
        <w:spacing w:line="276" w:lineRule="auto"/>
        <w:rPr>
          <w:rStyle w:val="Stark"/>
          <w:b w:val="0"/>
          <w:bCs/>
          <w:sz w:val="24"/>
          <w:szCs w:val="24"/>
        </w:rPr>
      </w:pPr>
      <w:r w:rsidRPr="00C056A4">
        <w:rPr>
          <w:rStyle w:val="Stark"/>
          <w:rFonts w:asciiTheme="minorHAnsi" w:hAnsiTheme="minorHAnsi"/>
          <w:b w:val="0"/>
          <w:bCs/>
          <w:sz w:val="24"/>
          <w:szCs w:val="24"/>
        </w:rPr>
        <w:t>Provokationstester/ansträngningstester kan leda till diagnos</w:t>
      </w:r>
      <w:r w:rsidRPr="00C056A4">
        <w:rPr>
          <w:rStyle w:val="Stark"/>
          <w:b w:val="0"/>
          <w:bCs/>
          <w:sz w:val="24"/>
          <w:szCs w:val="24"/>
        </w:rPr>
        <w:t xml:space="preserve"> </w:t>
      </w:r>
      <w:r w:rsidRPr="00C056A4">
        <w:rPr>
          <w:rStyle w:val="Stark"/>
          <w:b w:val="0"/>
          <w:bCs/>
          <w:sz w:val="24"/>
          <w:szCs w:val="24"/>
        </w:rPr>
        <w:br/>
      </w:r>
    </w:p>
    <w:p w14:paraId="158E6001" w14:textId="77777777" w:rsidR="00EC79BD" w:rsidRPr="00C056A4" w:rsidRDefault="00EC79BD" w:rsidP="00EC79BD">
      <w:pPr>
        <w:numPr>
          <w:ilvl w:val="0"/>
          <w:numId w:val="88"/>
        </w:numPr>
        <w:shd w:val="clear" w:color="auto" w:fill="FFFFFF"/>
        <w:tabs>
          <w:tab w:val="clear" w:pos="284"/>
        </w:tabs>
        <w:spacing w:line="276" w:lineRule="auto"/>
        <w:rPr>
          <w:rStyle w:val="Stark"/>
          <w:iCs/>
          <w:sz w:val="24"/>
          <w:szCs w:val="24"/>
        </w:rPr>
      </w:pPr>
      <w:r w:rsidRPr="00C056A4">
        <w:rPr>
          <w:rStyle w:val="Stark"/>
          <w:rFonts w:asciiTheme="minorHAnsi" w:hAnsiTheme="minorHAnsi"/>
          <w:iCs/>
          <w:sz w:val="24"/>
          <w:szCs w:val="24"/>
        </w:rPr>
        <w:t xml:space="preserve">Övriga undersökningar </w:t>
      </w:r>
    </w:p>
    <w:p w14:paraId="1205C4EE" w14:textId="77777777" w:rsidR="00EC79BD" w:rsidRPr="00C056A4" w:rsidRDefault="00EC79BD" w:rsidP="00EC79BD">
      <w:pPr>
        <w:numPr>
          <w:ilvl w:val="1"/>
          <w:numId w:val="88"/>
        </w:numPr>
        <w:shd w:val="clear" w:color="auto" w:fill="FFFFFF"/>
        <w:tabs>
          <w:tab w:val="clear" w:pos="284"/>
        </w:tabs>
        <w:spacing w:line="276" w:lineRule="auto"/>
        <w:rPr>
          <w:rStyle w:val="Stark"/>
          <w:b w:val="0"/>
          <w:bCs/>
          <w:sz w:val="24"/>
          <w:szCs w:val="24"/>
        </w:rPr>
      </w:pPr>
      <w:r w:rsidRPr="00C056A4">
        <w:rPr>
          <w:rStyle w:val="Stark"/>
          <w:rFonts w:asciiTheme="minorHAnsi" w:hAnsiTheme="minorHAnsi"/>
          <w:b w:val="0"/>
          <w:bCs/>
          <w:sz w:val="24"/>
          <w:szCs w:val="24"/>
        </w:rPr>
        <w:t xml:space="preserve">Lungröntgen kan övervägas vid rökning, äldre, oklar diagnos </w:t>
      </w:r>
    </w:p>
    <w:p w14:paraId="0260ABA4" w14:textId="77777777" w:rsidR="00EC79BD" w:rsidRPr="00C056A4" w:rsidRDefault="00EC79BD" w:rsidP="00EC79BD">
      <w:pPr>
        <w:pStyle w:val="Normal4"/>
        <w:numPr>
          <w:ilvl w:val="1"/>
          <w:numId w:val="88"/>
        </w:numPr>
        <w:spacing w:before="0" w:beforeAutospacing="0" w:after="0" w:afterAutospacing="0"/>
        <w:rPr>
          <w:rFonts w:asciiTheme="minorHAnsi" w:hAnsiTheme="minorHAnsi" w:cs="Calibri"/>
          <w:color w:val="000000" w:themeColor="text1"/>
          <w:sz w:val="28"/>
          <w:szCs w:val="28"/>
        </w:rPr>
      </w:pPr>
      <w:r w:rsidRPr="00C056A4">
        <w:rPr>
          <w:rFonts w:asciiTheme="minorHAnsi" w:hAnsiTheme="minorHAnsi" w:cs="Calibri"/>
          <w:color w:val="000000" w:themeColor="text1"/>
          <w:sz w:val="28"/>
          <w:szCs w:val="28"/>
        </w:rPr>
        <w:t>Allergitest:</w:t>
      </w:r>
    </w:p>
    <w:p w14:paraId="51A56980" w14:textId="77777777" w:rsidR="00EC79BD" w:rsidRPr="0034654D" w:rsidRDefault="00EC79BD" w:rsidP="00EC79BD">
      <w:pPr>
        <w:pStyle w:val="Normal4"/>
        <w:numPr>
          <w:ilvl w:val="2"/>
          <w:numId w:val="88"/>
        </w:numPr>
        <w:spacing w:before="0" w:beforeAutospacing="0" w:after="0" w:afterAutospacing="0"/>
        <w:rPr>
          <w:rFonts w:asciiTheme="minorHAnsi" w:hAnsiTheme="minorHAnsi" w:cs="Calibri"/>
          <w:color w:val="000000" w:themeColor="text1"/>
        </w:rPr>
      </w:pPr>
      <w:r w:rsidRPr="0034654D">
        <w:rPr>
          <w:rFonts w:asciiTheme="minorHAnsi" w:hAnsiTheme="minorHAnsi" w:cs="Calibri"/>
          <w:color w:val="000000" w:themeColor="text1"/>
        </w:rPr>
        <w:t>Bör göras i all astmautredning</w:t>
      </w:r>
    </w:p>
    <w:p w14:paraId="51CD32CF" w14:textId="77777777" w:rsidR="00EC79BD" w:rsidRPr="00593744" w:rsidRDefault="00EC79BD" w:rsidP="00EC79BD">
      <w:pPr>
        <w:pStyle w:val="Normal4"/>
        <w:numPr>
          <w:ilvl w:val="2"/>
          <w:numId w:val="88"/>
        </w:numPr>
        <w:spacing w:before="0" w:beforeAutospacing="0" w:after="0" w:afterAutospacing="0"/>
        <w:rPr>
          <w:rFonts w:asciiTheme="minorHAnsi" w:hAnsiTheme="minorHAnsi" w:cs="Calibri"/>
          <w:color w:val="000000" w:themeColor="text1"/>
        </w:rPr>
      </w:pPr>
      <w:r w:rsidRPr="0034654D">
        <w:rPr>
          <w:rFonts w:asciiTheme="minorHAnsi" w:hAnsiTheme="minorHAnsi" w:cs="Calibri"/>
          <w:noProof/>
          <w:color w:val="000000" w:themeColor="text1"/>
        </w:rPr>
        <mc:AlternateContent>
          <mc:Choice Requires="wps">
            <w:drawing>
              <wp:anchor distT="0" distB="0" distL="114300" distR="114300" simplePos="0" relativeHeight="251766784" behindDoc="0" locked="0" layoutInCell="1" allowOverlap="1" wp14:anchorId="0F5ADD8D" wp14:editId="2BF21888">
                <wp:simplePos x="0" y="0"/>
                <wp:positionH relativeFrom="column">
                  <wp:posOffset>2181225</wp:posOffset>
                </wp:positionH>
                <wp:positionV relativeFrom="paragraph">
                  <wp:posOffset>308858</wp:posOffset>
                </wp:positionV>
                <wp:extent cx="1920625" cy="1163976"/>
                <wp:effectExtent l="57150" t="38100" r="80010" b="93345"/>
                <wp:wrapTopAndBottom/>
                <wp:docPr id="1200761863" name="Textruta 1200761863"/>
                <wp:cNvGraphicFramePr/>
                <a:graphic xmlns:a="http://schemas.openxmlformats.org/drawingml/2006/main">
                  <a:graphicData uri="http://schemas.microsoft.com/office/word/2010/wordprocessingShape">
                    <wps:wsp>
                      <wps:cNvSpPr txBox="1"/>
                      <wps:spPr>
                        <a:xfrm>
                          <a:off x="0" y="0"/>
                          <a:ext cx="1920625" cy="1163976"/>
                        </a:xfrm>
                        <a:prstGeom prst="rect">
                          <a:avLst/>
                        </a:prstGeom>
                        <a:gradFill rotWithShape="1">
                          <a:gsLst>
                            <a:gs pos="0">
                              <a:srgbClr val="00A6E2">
                                <a:tint val="50000"/>
                                <a:satMod val="300000"/>
                              </a:srgbClr>
                            </a:gs>
                            <a:gs pos="35000">
                              <a:srgbClr val="00A6E2">
                                <a:tint val="37000"/>
                                <a:satMod val="300000"/>
                              </a:srgbClr>
                            </a:gs>
                            <a:gs pos="100000">
                              <a:srgbClr val="00A6E2">
                                <a:tint val="15000"/>
                                <a:satMod val="350000"/>
                              </a:srgbClr>
                            </a:gs>
                          </a:gsLst>
                          <a:lin ang="16200000" scaled="1"/>
                        </a:gradFill>
                        <a:ln w="9525" cap="flat" cmpd="sng" algn="ctr">
                          <a:solidFill>
                            <a:srgbClr val="00A6E2">
                              <a:shade val="95000"/>
                              <a:satMod val="105000"/>
                            </a:srgbClr>
                          </a:solidFill>
                          <a:prstDash val="solid"/>
                        </a:ln>
                        <a:effectLst>
                          <a:outerShdw blurRad="40000" dist="20000" dir="5400000" rotWithShape="0">
                            <a:srgbClr val="000000">
                              <a:alpha val="38000"/>
                            </a:srgbClr>
                          </a:outerShdw>
                        </a:effectLst>
                      </wps:spPr>
                      <wps:txbx>
                        <w:txbxContent>
                          <w:p w14:paraId="30DC54D9" w14:textId="77777777" w:rsidR="00EC79BD" w:rsidRPr="00C6121F" w:rsidRDefault="00EC79BD" w:rsidP="00EC79BD">
                            <w:pPr>
                              <w:pStyle w:val="Normal4"/>
                              <w:spacing w:before="0" w:beforeAutospacing="0" w:after="0" w:afterAutospacing="0"/>
                              <w:rPr>
                                <w:rFonts w:ascii="Calibri" w:hAnsi="Calibri" w:cs="Calibri"/>
                                <w:b/>
                                <w:bCs/>
                                <w:color w:val="003D7C" w:themeColor="text2"/>
                              </w:rPr>
                            </w:pPr>
                            <w:r w:rsidRPr="00C6121F">
                              <w:rPr>
                                <w:rFonts w:ascii="Calibri" w:hAnsi="Calibri" w:cs="Calibri"/>
                                <w:color w:val="003D7C" w:themeColor="text2"/>
                              </w:rPr>
                              <w:t>björk</w:t>
                            </w:r>
                          </w:p>
                          <w:p w14:paraId="0FAFE8BE" w14:textId="77777777" w:rsidR="00EC79BD" w:rsidRDefault="00EC79BD" w:rsidP="00EC79BD">
                            <w:pPr>
                              <w:tabs>
                                <w:tab w:val="clear" w:pos="284"/>
                              </w:tabs>
                              <w:spacing w:line="276" w:lineRule="auto"/>
                              <w:rPr>
                                <w:rFonts w:ascii="Calibri" w:hAnsi="Calibri" w:cs="Calibri"/>
                                <w:color w:val="003D7C" w:themeColor="text2"/>
                              </w:rPr>
                            </w:pPr>
                            <w:r>
                              <w:rPr>
                                <w:rFonts w:ascii="Calibri" w:hAnsi="Calibri" w:cs="Calibri"/>
                                <w:color w:val="003D7C" w:themeColor="text2"/>
                              </w:rPr>
                              <w:t>t</w:t>
                            </w:r>
                            <w:r w:rsidRPr="00C6121F">
                              <w:rPr>
                                <w:rFonts w:ascii="Calibri" w:hAnsi="Calibri" w:cs="Calibri"/>
                                <w:color w:val="003D7C" w:themeColor="text2"/>
                              </w:rPr>
                              <w:t>imotej</w:t>
                            </w:r>
                          </w:p>
                          <w:p w14:paraId="6A8087AE" w14:textId="77777777" w:rsidR="00EC79BD" w:rsidRDefault="00EC79BD" w:rsidP="00EC79BD">
                            <w:pPr>
                              <w:tabs>
                                <w:tab w:val="clear" w:pos="284"/>
                              </w:tabs>
                              <w:spacing w:line="276" w:lineRule="auto"/>
                              <w:rPr>
                                <w:rFonts w:ascii="Calibri" w:hAnsi="Calibri" w:cs="Calibri"/>
                                <w:color w:val="003D7C" w:themeColor="text2"/>
                              </w:rPr>
                            </w:pPr>
                            <w:r>
                              <w:rPr>
                                <w:rFonts w:ascii="Calibri" w:hAnsi="Calibri" w:cs="Calibri"/>
                                <w:color w:val="003D7C" w:themeColor="text2"/>
                              </w:rPr>
                              <w:t>h</w:t>
                            </w:r>
                            <w:r w:rsidRPr="00C6121F">
                              <w:rPr>
                                <w:rFonts w:ascii="Calibri" w:hAnsi="Calibri" w:cs="Calibri"/>
                                <w:color w:val="003D7C" w:themeColor="text2"/>
                              </w:rPr>
                              <w:t>usdammskvalster D1</w:t>
                            </w:r>
                            <w:r>
                              <w:rPr>
                                <w:rFonts w:ascii="Calibri" w:hAnsi="Calibri" w:cs="Calibri"/>
                                <w:color w:val="003D7C" w:themeColor="text2"/>
                              </w:rPr>
                              <w:t xml:space="preserve"> &amp;</w:t>
                            </w:r>
                            <w:r w:rsidRPr="00C6121F">
                              <w:rPr>
                                <w:rFonts w:ascii="Calibri" w:hAnsi="Calibri" w:cs="Calibri"/>
                                <w:color w:val="003D7C" w:themeColor="text2"/>
                              </w:rPr>
                              <w:t xml:space="preserve"> D2</w:t>
                            </w:r>
                          </w:p>
                          <w:p w14:paraId="5FE20310" w14:textId="77777777" w:rsidR="00EC79BD" w:rsidRDefault="00EC79BD" w:rsidP="00EC79BD">
                            <w:pPr>
                              <w:tabs>
                                <w:tab w:val="clear" w:pos="284"/>
                              </w:tabs>
                              <w:spacing w:line="276" w:lineRule="auto"/>
                            </w:pPr>
                            <w:r>
                              <w:rPr>
                                <w:rFonts w:ascii="Calibri" w:hAnsi="Calibri" w:cs="Calibri"/>
                                <w:color w:val="003D7C" w:themeColor="text2"/>
                              </w:rPr>
                              <w:t>k</w:t>
                            </w:r>
                            <w:r w:rsidRPr="00C6121F">
                              <w:rPr>
                                <w:rFonts w:ascii="Calibri" w:hAnsi="Calibri" w:cs="Calibri"/>
                                <w:color w:val="003D7C" w:themeColor="text2"/>
                              </w:rPr>
                              <w:t xml:space="preserve">att samt </w:t>
                            </w:r>
                            <w:r>
                              <w:rPr>
                                <w:rFonts w:ascii="Calibri" w:hAnsi="Calibri" w:cs="Calibri"/>
                                <w:color w:val="003D7C" w:themeColor="text2"/>
                              </w:rPr>
                              <w:t xml:space="preserve">andra </w:t>
                            </w:r>
                            <w:r w:rsidRPr="00C6121F">
                              <w:rPr>
                                <w:rFonts w:ascii="Calibri" w:hAnsi="Calibri" w:cs="Calibri"/>
                                <w:color w:val="003D7C" w:themeColor="text2"/>
                              </w:rPr>
                              <w:t>eventuella hus(päls)djur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ADD8D" id="Textruta 1200761863" o:spid="_x0000_s1046" type="#_x0000_t202" style="position:absolute;left:0;text-align:left;margin-left:171.75pt;margin-top:24.3pt;width:151.25pt;height:91.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" fillcolor="#86ddff" strokecolor="#00a5e2">
                <v:fill color2="#dcf5ff" rotate="t" angle="180" colors="0 #86ddff;22938f #abe5ff;1 #dcf5ff" focus="100%" type="gradient"/>
                <v:shadow on="t" color="black" opacity="24903f" origin=",.5" offset="0,.55556mm"/>
                <v:textbox>
                  <w:txbxContent>
                    <w:p w14:paraId="30DC54D9" w14:textId="77777777" w:rsidR="00EC79BD" w:rsidRPr="00C6121F" w:rsidRDefault="00EC79BD" w:rsidP="00EC79BD">
                      <w:pPr>
                        <w:pStyle w:val="Normal4"/>
                        <w:spacing w:before="0" w:beforeAutospacing="0" w:after="0" w:afterAutospacing="0"/>
                        <w:rPr>
                          <w:rFonts w:ascii="Calibri" w:hAnsi="Calibri" w:cs="Calibri"/>
                          <w:b/>
                          <w:bCs/>
                          <w:color w:val="003D7C" w:themeColor="text2"/>
                        </w:rPr>
                      </w:pPr>
                      <w:r w:rsidRPr="00C6121F">
                        <w:rPr>
                          <w:rFonts w:ascii="Calibri" w:hAnsi="Calibri" w:cs="Calibri"/>
                          <w:color w:val="003D7C" w:themeColor="text2"/>
                        </w:rPr>
                        <w:t>björk</w:t>
                      </w:r>
                    </w:p>
                    <w:p w14:paraId="0FAFE8BE" w14:textId="77777777" w:rsidR="00EC79BD" w:rsidRDefault="00EC79BD" w:rsidP="00EC79BD">
                      <w:pPr>
                        <w:tabs>
                          <w:tab w:val="clear" w:pos="284"/>
                        </w:tabs>
                        <w:spacing w:line="276" w:lineRule="auto"/>
                        <w:rPr>
                          <w:rFonts w:ascii="Calibri" w:hAnsi="Calibri" w:cs="Calibri"/>
                          <w:color w:val="003D7C" w:themeColor="text2"/>
                        </w:rPr>
                      </w:pPr>
                      <w:r>
                        <w:rPr>
                          <w:rFonts w:ascii="Calibri" w:hAnsi="Calibri" w:cs="Calibri"/>
                          <w:color w:val="003D7C" w:themeColor="text2"/>
                        </w:rPr>
                        <w:t>t</w:t>
                      </w:r>
                      <w:r w:rsidRPr="00C6121F">
                        <w:rPr>
                          <w:rFonts w:ascii="Calibri" w:hAnsi="Calibri" w:cs="Calibri"/>
                          <w:color w:val="003D7C" w:themeColor="text2"/>
                        </w:rPr>
                        <w:t>imotej</w:t>
                      </w:r>
                    </w:p>
                    <w:p w14:paraId="6A8087AE" w14:textId="77777777" w:rsidR="00EC79BD" w:rsidRDefault="00EC79BD" w:rsidP="00EC79BD">
                      <w:pPr>
                        <w:tabs>
                          <w:tab w:val="clear" w:pos="284"/>
                        </w:tabs>
                        <w:spacing w:line="276" w:lineRule="auto"/>
                        <w:rPr>
                          <w:rFonts w:ascii="Calibri" w:hAnsi="Calibri" w:cs="Calibri"/>
                          <w:color w:val="003D7C" w:themeColor="text2"/>
                        </w:rPr>
                      </w:pPr>
                      <w:r>
                        <w:rPr>
                          <w:rFonts w:ascii="Calibri" w:hAnsi="Calibri" w:cs="Calibri"/>
                          <w:color w:val="003D7C" w:themeColor="text2"/>
                        </w:rPr>
                        <w:t>h</w:t>
                      </w:r>
                      <w:r w:rsidRPr="00C6121F">
                        <w:rPr>
                          <w:rFonts w:ascii="Calibri" w:hAnsi="Calibri" w:cs="Calibri"/>
                          <w:color w:val="003D7C" w:themeColor="text2"/>
                        </w:rPr>
                        <w:t>usdammskvalster D1</w:t>
                      </w:r>
                      <w:r>
                        <w:rPr>
                          <w:rFonts w:ascii="Calibri" w:hAnsi="Calibri" w:cs="Calibri"/>
                          <w:color w:val="003D7C" w:themeColor="text2"/>
                        </w:rPr>
                        <w:t xml:space="preserve"> &amp;</w:t>
                      </w:r>
                      <w:r w:rsidRPr="00C6121F">
                        <w:rPr>
                          <w:rFonts w:ascii="Calibri" w:hAnsi="Calibri" w:cs="Calibri"/>
                          <w:color w:val="003D7C" w:themeColor="text2"/>
                        </w:rPr>
                        <w:t xml:space="preserve"> D2</w:t>
                      </w:r>
                    </w:p>
                    <w:p w14:paraId="5FE20310" w14:textId="77777777" w:rsidR="00EC79BD" w:rsidRDefault="00EC79BD" w:rsidP="00EC79BD">
                      <w:pPr>
                        <w:tabs>
                          <w:tab w:val="clear" w:pos="284"/>
                        </w:tabs>
                        <w:spacing w:line="276" w:lineRule="auto"/>
                      </w:pPr>
                      <w:r>
                        <w:rPr>
                          <w:rFonts w:ascii="Calibri" w:hAnsi="Calibri" w:cs="Calibri"/>
                          <w:color w:val="003D7C" w:themeColor="text2"/>
                        </w:rPr>
                        <w:t>k</w:t>
                      </w:r>
                      <w:r w:rsidRPr="00C6121F">
                        <w:rPr>
                          <w:rFonts w:ascii="Calibri" w:hAnsi="Calibri" w:cs="Calibri"/>
                          <w:color w:val="003D7C" w:themeColor="text2"/>
                        </w:rPr>
                        <w:t xml:space="preserve">att samt </w:t>
                      </w:r>
                      <w:r>
                        <w:rPr>
                          <w:rFonts w:ascii="Calibri" w:hAnsi="Calibri" w:cs="Calibri"/>
                          <w:color w:val="003D7C" w:themeColor="text2"/>
                        </w:rPr>
                        <w:t xml:space="preserve">andra </w:t>
                      </w:r>
                      <w:r w:rsidRPr="00C6121F">
                        <w:rPr>
                          <w:rFonts w:ascii="Calibri" w:hAnsi="Calibri" w:cs="Calibri"/>
                          <w:color w:val="003D7C" w:themeColor="text2"/>
                        </w:rPr>
                        <w:t>eventuella hus(päls)djur</w:t>
                      </w:r>
                    </w:p>
                  </w:txbxContent>
                </v:textbox>
                <w10:wrap type="topAndBottom"/>
              </v:shape>
            </w:pict>
          </mc:Fallback>
        </mc:AlternateContent>
      </w:r>
      <w:r w:rsidRPr="00593744">
        <w:rPr>
          <w:rFonts w:asciiTheme="minorHAnsi" w:hAnsiTheme="minorHAnsi" w:cs="Calibri"/>
          <w:color w:val="000000" w:themeColor="text1"/>
        </w:rPr>
        <w:t xml:space="preserve">Vid hög misstanke om allergi, ta specifika allergener, </w:t>
      </w:r>
      <w:r>
        <w:rPr>
          <w:rFonts w:asciiTheme="minorHAnsi" w:hAnsiTheme="minorHAnsi" w:cs="Calibri"/>
          <w:color w:val="000000" w:themeColor="text1"/>
        </w:rPr>
        <w:t>f</w:t>
      </w:r>
      <w:r w:rsidRPr="00593744">
        <w:rPr>
          <w:rFonts w:asciiTheme="minorHAnsi" w:hAnsiTheme="minorHAnsi" w:cs="Calibri"/>
          <w:color w:val="000000" w:themeColor="text1"/>
        </w:rPr>
        <w:t>örslagsvis</w:t>
      </w:r>
    </w:p>
    <w:p w14:paraId="482321D7" w14:textId="77777777" w:rsidR="00EC79BD" w:rsidRPr="00757518" w:rsidRDefault="00EC79BD" w:rsidP="00EC79BD">
      <w:pPr>
        <w:pStyle w:val="Normal4"/>
        <w:numPr>
          <w:ilvl w:val="2"/>
          <w:numId w:val="88"/>
        </w:numPr>
        <w:spacing w:before="0" w:beforeAutospacing="0" w:after="0" w:afterAutospacing="0"/>
        <w:rPr>
          <w:rFonts w:asciiTheme="minorHAnsi" w:hAnsiTheme="minorHAnsi" w:cs="Calibri"/>
          <w:color w:val="000000" w:themeColor="text1"/>
        </w:rPr>
      </w:pPr>
      <w:r w:rsidRPr="00757518">
        <w:rPr>
          <w:rFonts w:asciiTheme="minorHAnsi" w:hAnsiTheme="minorHAnsi" w:cs="Calibri"/>
          <w:color w:val="000000" w:themeColor="text1"/>
        </w:rPr>
        <w:t>Vid låg misstanke om allergi, beställ istället panelen ”S-Phadiatopmix (PHADMIX)”</w:t>
      </w:r>
    </w:p>
    <w:p w14:paraId="06D60B80" w14:textId="77777777" w:rsidR="00EC79BD" w:rsidRPr="00757518" w:rsidRDefault="00EC79BD" w:rsidP="00EC79BD">
      <w:pPr>
        <w:pStyle w:val="Normal4"/>
        <w:spacing w:before="0" w:beforeAutospacing="0" w:after="0" w:afterAutospacing="0"/>
        <w:ind w:left="2160"/>
        <w:rPr>
          <w:b/>
          <w:color w:val="000000" w:themeColor="text1"/>
        </w:rPr>
      </w:pPr>
      <w:r w:rsidRPr="00757518">
        <w:rPr>
          <w:rFonts w:asciiTheme="minorHAnsi" w:hAnsiTheme="minorHAnsi" w:cs="Calibri"/>
          <w:color w:val="000000" w:themeColor="text1"/>
        </w:rPr>
        <w:t xml:space="preserve">Panelen är billigare än specifika analyser om svaren är negativa och inte behöver analyseras vidare </w:t>
      </w:r>
    </w:p>
    <w:p w14:paraId="5C83F189" w14:textId="77777777" w:rsidR="00EC79BD" w:rsidRPr="00C056A4" w:rsidRDefault="00EC79BD" w:rsidP="00EC79BD">
      <w:pPr>
        <w:numPr>
          <w:ilvl w:val="1"/>
          <w:numId w:val="88"/>
        </w:numPr>
        <w:shd w:val="clear" w:color="auto" w:fill="FFFFFF"/>
        <w:tabs>
          <w:tab w:val="clear" w:pos="284"/>
        </w:tabs>
        <w:spacing w:line="276" w:lineRule="auto"/>
        <w:rPr>
          <w:rStyle w:val="Stark"/>
          <w:rFonts w:asciiTheme="minorHAnsi" w:hAnsiTheme="minorHAnsi"/>
          <w:b w:val="0"/>
          <w:bCs/>
          <w:sz w:val="24"/>
          <w:szCs w:val="24"/>
        </w:rPr>
      </w:pPr>
      <w:r w:rsidRPr="00C056A4">
        <w:rPr>
          <w:rStyle w:val="Stark"/>
          <w:rFonts w:asciiTheme="minorHAnsi" w:hAnsiTheme="minorHAnsi"/>
          <w:b w:val="0"/>
          <w:bCs/>
          <w:sz w:val="24"/>
          <w:szCs w:val="24"/>
        </w:rPr>
        <w:t>Blodeosinofiler vid svårare eller okontrollerad astma</w:t>
      </w:r>
    </w:p>
    <w:p w14:paraId="4CD5EBE9" w14:textId="77777777" w:rsidR="00EC79BD" w:rsidRPr="00C056A4" w:rsidRDefault="00EC79BD" w:rsidP="00EC79BD">
      <w:pPr>
        <w:shd w:val="clear" w:color="auto" w:fill="FFFFFF"/>
        <w:tabs>
          <w:tab w:val="clear" w:pos="284"/>
        </w:tabs>
        <w:spacing w:line="276" w:lineRule="auto"/>
        <w:rPr>
          <w:rStyle w:val="Stark"/>
          <w:sz w:val="24"/>
          <w:szCs w:val="24"/>
        </w:rPr>
      </w:pPr>
    </w:p>
    <w:p w14:paraId="45C82D00" w14:textId="77777777" w:rsidR="00EC79BD" w:rsidRPr="00C056A4" w:rsidRDefault="00EC79BD" w:rsidP="00EC79BD">
      <w:pPr>
        <w:rPr>
          <w:rFonts w:asciiTheme="minorHAnsi" w:hAnsiTheme="minorHAnsi" w:cs="Calibri"/>
          <w:b/>
          <w:bCs/>
          <w:i/>
          <w:iCs/>
          <w:color w:val="404040"/>
          <w:sz w:val="24"/>
          <w:szCs w:val="24"/>
        </w:rPr>
      </w:pPr>
      <w:bookmarkStart w:id="45" w:name="_Toc150457980"/>
      <w:r w:rsidRPr="00F85861">
        <w:rPr>
          <w:rStyle w:val="Rubrik3Char"/>
        </w:rPr>
        <w:t>Bedömning av sjukdomens svårighet - stadieindelningar</w:t>
      </w:r>
      <w:r w:rsidRPr="00F85861">
        <w:rPr>
          <w:rStyle w:val="Rubrik3Char"/>
        </w:rPr>
        <w:br/>
      </w:r>
      <w:bookmarkEnd w:id="45"/>
      <w:r w:rsidRPr="00C056A4">
        <w:fldChar w:fldCharType="begin"/>
      </w:r>
      <w:r w:rsidRPr="00C056A4">
        <w:rPr>
          <w:sz w:val="24"/>
          <w:szCs w:val="24"/>
        </w:rPr>
        <w:instrText>HYPERLINK \l "_ORDLISTA"</w:instrText>
      </w:r>
      <w:r w:rsidRPr="00C056A4">
        <w:fldChar w:fldCharType="separate"/>
      </w:r>
      <w:r w:rsidRPr="00C056A4">
        <w:rPr>
          <w:rStyle w:val="Hyperlnk"/>
          <w:rFonts w:asciiTheme="minorHAnsi" w:hAnsiTheme="minorHAnsi" w:cs="Calibri"/>
          <w:i/>
          <w:iCs/>
          <w:color w:val="B46400" w:themeColor="accent6" w:themeShade="BF"/>
          <w:sz w:val="24"/>
          <w:szCs w:val="24"/>
        </w:rPr>
        <w:t>GINAS</w:t>
      </w:r>
      <w:r w:rsidRPr="00C056A4">
        <w:rPr>
          <w:rStyle w:val="Hyperlnk"/>
          <w:rFonts w:asciiTheme="minorHAnsi" w:hAnsiTheme="minorHAnsi" w:cs="Calibri"/>
          <w:i/>
          <w:iCs/>
          <w:color w:val="B46400" w:themeColor="accent6" w:themeShade="BF"/>
          <w:sz w:val="24"/>
          <w:szCs w:val="24"/>
        </w:rPr>
        <w:fldChar w:fldCharType="end"/>
      </w:r>
      <w:r w:rsidRPr="00C056A4">
        <w:rPr>
          <w:rFonts w:asciiTheme="minorHAnsi" w:hAnsiTheme="minorHAnsi" w:cs="Calibri"/>
          <w:i/>
          <w:iCs/>
          <w:color w:val="404040"/>
          <w:sz w:val="24"/>
          <w:szCs w:val="24"/>
        </w:rPr>
        <w:t xml:space="preserve"> gradering har fem steg där mängden läkemedelsbehandling som krävs för att få astmakontroll styr vilket steg patienten anses vara på. Patienten kan gå både upp och ner i steg och kontinuerlig utvärdering är av stor vikt. Först när patienten är stabil på sitt steg och inte uppvisar tecken på okontrollerad astma kan vi bestämma svårighetsgraden. Graderingen sker därför </w:t>
      </w:r>
      <w:r w:rsidRPr="00C056A4">
        <w:rPr>
          <w:rFonts w:asciiTheme="minorHAnsi" w:hAnsiTheme="minorHAnsi" w:cs="Calibri"/>
          <w:i/>
          <w:iCs/>
          <w:color w:val="404040"/>
          <w:sz w:val="24"/>
          <w:szCs w:val="24"/>
        </w:rPr>
        <w:lastRenderedPageBreak/>
        <w:t xml:space="preserve">retrospektivt, ofta efter 3-6 månader. </w:t>
      </w:r>
      <w:hyperlink w:anchor="_ORDLISTA" w:history="1">
        <w:r w:rsidRPr="00C056A4">
          <w:rPr>
            <w:rStyle w:val="Hyperlnk"/>
            <w:rFonts w:asciiTheme="minorHAnsi" w:hAnsiTheme="minorHAnsi" w:cs="Calibri"/>
            <w:i/>
            <w:iCs/>
            <w:color w:val="B46400" w:themeColor="accent6" w:themeShade="BF"/>
            <w:sz w:val="24"/>
            <w:szCs w:val="24"/>
          </w:rPr>
          <w:t>AKT</w:t>
        </w:r>
      </w:hyperlink>
      <w:r w:rsidRPr="00C056A4">
        <w:rPr>
          <w:rFonts w:asciiTheme="minorHAnsi" w:hAnsiTheme="minorHAnsi" w:cs="Calibri"/>
          <w:i/>
          <w:iCs/>
          <w:color w:val="404040"/>
          <w:sz w:val="24"/>
          <w:szCs w:val="24"/>
        </w:rPr>
        <w:t xml:space="preserve"> är ett väl validerat frågeformulär för bedömning av astmakontroll, AKT över 20 poäng talar för god kontroll. </w:t>
      </w:r>
    </w:p>
    <w:p w14:paraId="2B732D4C" w14:textId="77777777" w:rsidR="00EC79BD" w:rsidRPr="00F85861" w:rsidRDefault="00EC79BD" w:rsidP="00EC79BD">
      <w:pPr>
        <w:pStyle w:val="Rubrik3"/>
        <w:rPr>
          <w:rFonts w:asciiTheme="minorHAnsi" w:hAnsiTheme="minorHAnsi" w:cs="Calibri"/>
          <w:szCs w:val="24"/>
        </w:rPr>
      </w:pPr>
      <w:bookmarkStart w:id="46" w:name="_Toc150457981"/>
      <w:r w:rsidRPr="00F85861">
        <w:rPr>
          <w:rFonts w:asciiTheme="minorHAnsi" w:hAnsiTheme="minorHAnsi" w:cs="Calibri"/>
          <w:noProof/>
          <w:szCs w:val="24"/>
        </w:rPr>
        <mc:AlternateContent>
          <mc:Choice Requires="wps">
            <w:drawing>
              <wp:anchor distT="0" distB="0" distL="114300" distR="114300" simplePos="0" relativeHeight="251763712" behindDoc="0" locked="0" layoutInCell="1" allowOverlap="1" wp14:anchorId="01A3D6A0" wp14:editId="056D7AF7">
                <wp:simplePos x="0" y="0"/>
                <wp:positionH relativeFrom="column">
                  <wp:posOffset>2750581</wp:posOffset>
                </wp:positionH>
                <wp:positionV relativeFrom="paragraph">
                  <wp:posOffset>914994</wp:posOffset>
                </wp:positionV>
                <wp:extent cx="2808296" cy="1746691"/>
                <wp:effectExtent l="57150" t="38100" r="68580" b="101600"/>
                <wp:wrapNone/>
                <wp:docPr id="1200761864" name="Textruta 1200761864"/>
                <wp:cNvGraphicFramePr/>
                <a:graphic xmlns:a="http://schemas.openxmlformats.org/drawingml/2006/main">
                  <a:graphicData uri="http://schemas.microsoft.com/office/word/2010/wordprocessingShape">
                    <wps:wsp>
                      <wps:cNvSpPr txBox="1"/>
                      <wps:spPr>
                        <a:xfrm>
                          <a:off x="0" y="0"/>
                          <a:ext cx="2808296" cy="1746691"/>
                        </a:xfrm>
                        <a:prstGeom prst="rect">
                          <a:avLst/>
                        </a:prstGeom>
                        <a:gradFill rotWithShape="1">
                          <a:gsLst>
                            <a:gs pos="0">
                              <a:srgbClr val="00A6E2">
                                <a:tint val="50000"/>
                                <a:satMod val="300000"/>
                              </a:srgbClr>
                            </a:gs>
                            <a:gs pos="35000">
                              <a:srgbClr val="00A6E2">
                                <a:tint val="37000"/>
                                <a:satMod val="300000"/>
                              </a:srgbClr>
                            </a:gs>
                            <a:gs pos="100000">
                              <a:srgbClr val="00A6E2">
                                <a:tint val="15000"/>
                                <a:satMod val="350000"/>
                              </a:srgbClr>
                            </a:gs>
                          </a:gsLst>
                          <a:lin ang="16200000" scaled="1"/>
                        </a:gradFill>
                        <a:ln w="9525" cap="flat" cmpd="sng" algn="ctr">
                          <a:solidFill>
                            <a:srgbClr val="00A6E2">
                              <a:shade val="95000"/>
                              <a:satMod val="105000"/>
                            </a:srgbClr>
                          </a:solidFill>
                          <a:prstDash val="solid"/>
                        </a:ln>
                        <a:effectLst>
                          <a:outerShdw blurRad="40000" dist="20000" dir="5400000" rotWithShape="0">
                            <a:srgbClr val="000000">
                              <a:alpha val="38000"/>
                            </a:srgbClr>
                          </a:outerShdw>
                        </a:effectLst>
                      </wps:spPr>
                      <wps:txbx>
                        <w:txbxContent>
                          <w:p w14:paraId="7C9C6961"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Hosta</w:t>
                            </w:r>
                          </w:p>
                          <w:p w14:paraId="1783B603"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 xml:space="preserve">Slem </w:t>
                            </w:r>
                          </w:p>
                          <w:p w14:paraId="32EA49A9"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Pip och väs i bröstet</w:t>
                            </w:r>
                          </w:p>
                          <w:p w14:paraId="6118B78D"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Luftvägssymptom kopplat till triggerfaktorer</w:t>
                            </w:r>
                          </w:p>
                          <w:p w14:paraId="0C46904A"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Nattliga uppvaknande på grund av astma</w:t>
                            </w:r>
                          </w:p>
                          <w:p w14:paraId="0A1A2839"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Ökad användning av vid behovsmedicinering</w:t>
                            </w:r>
                          </w:p>
                          <w:p w14:paraId="2885D52C"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PEF-variabilitet</w:t>
                            </w:r>
                          </w:p>
                          <w:p w14:paraId="314FB0E2"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Exacerbation senaste året</w:t>
                            </w:r>
                          </w:p>
                          <w:p w14:paraId="594194E8"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 xml:space="preserve">Frånvaro från skola eller arbete </w:t>
                            </w:r>
                          </w:p>
                          <w:p w14:paraId="43FA7B12"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 xml:space="preserve">Trötthet </w:t>
                            </w:r>
                          </w:p>
                          <w:p w14:paraId="7B5045DD" w14:textId="77777777" w:rsidR="00EC79BD" w:rsidRDefault="00EC79BD" w:rsidP="00EC79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3D6A0" id="Textruta 1200761864" o:spid="_x0000_s1047" type="#_x0000_t202" style="position:absolute;margin-left:216.6pt;margin-top:72.05pt;width:221.15pt;height:137.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" fillcolor="#86ddff" strokecolor="#00a5e2">
                <v:fill color2="#dcf5ff" rotate="t" angle="180" colors="0 #86ddff;22938f #abe5ff;1 #dcf5ff" focus="100%" type="gradient"/>
                <v:shadow on="t" color="black" opacity="24903f" origin=",.5" offset="0,.55556mm"/>
                <v:textbox>
                  <w:txbxContent>
                    <w:p w14:paraId="7C9C6961"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Hosta</w:t>
                      </w:r>
                    </w:p>
                    <w:p w14:paraId="1783B603"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 xml:space="preserve">Slem </w:t>
                      </w:r>
                    </w:p>
                    <w:p w14:paraId="32EA49A9"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Pip och väs i bröstet</w:t>
                      </w:r>
                    </w:p>
                    <w:p w14:paraId="6118B78D"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Luftvägssymptom kopplat till triggerfaktorer</w:t>
                      </w:r>
                    </w:p>
                    <w:p w14:paraId="0C46904A"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Nattliga uppvaknande på grund av astma</w:t>
                      </w:r>
                    </w:p>
                    <w:p w14:paraId="0A1A2839"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Ökad användning av vid behovsmedicinering</w:t>
                      </w:r>
                    </w:p>
                    <w:p w14:paraId="2885D52C"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PEF-variabilitet</w:t>
                      </w:r>
                    </w:p>
                    <w:p w14:paraId="314FB0E2"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Exacerbation senaste året</w:t>
                      </w:r>
                    </w:p>
                    <w:p w14:paraId="594194E8"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 xml:space="preserve">Frånvaro från skola eller arbete </w:t>
                      </w:r>
                    </w:p>
                    <w:p w14:paraId="43FA7B12" w14:textId="77777777" w:rsidR="00EC79BD" w:rsidRPr="00C65AA2" w:rsidRDefault="00EC79BD" w:rsidP="00EC79BD">
                      <w:pPr>
                        <w:pStyle w:val="Liststycke"/>
                        <w:tabs>
                          <w:tab w:val="clear" w:pos="284"/>
                        </w:tabs>
                        <w:spacing w:line="276" w:lineRule="auto"/>
                        <w:rPr>
                          <w:rFonts w:asciiTheme="minorHAnsi" w:hAnsiTheme="minorHAnsi" w:cs="Calibri"/>
                          <w:color w:val="003D7C" w:themeColor="text2"/>
                          <w:sz w:val="18"/>
                          <w:szCs w:val="18"/>
                        </w:rPr>
                      </w:pPr>
                      <w:r w:rsidRPr="00C65AA2">
                        <w:rPr>
                          <w:rFonts w:asciiTheme="minorHAnsi" w:hAnsiTheme="minorHAnsi" w:cs="Calibri"/>
                          <w:color w:val="003D7C" w:themeColor="text2"/>
                          <w:sz w:val="18"/>
                          <w:szCs w:val="18"/>
                        </w:rPr>
                        <w:t xml:space="preserve">Trötthet </w:t>
                      </w:r>
                    </w:p>
                    <w:p w14:paraId="7B5045DD" w14:textId="77777777" w:rsidR="00EC79BD" w:rsidRDefault="00EC79BD" w:rsidP="00EC79BD"/>
                  </w:txbxContent>
                </v:textbox>
              </v:shape>
            </w:pict>
          </mc:Fallback>
        </mc:AlternateContent>
      </w:r>
      <w:r w:rsidRPr="00F85861">
        <w:rPr>
          <w:rFonts w:asciiTheme="minorHAnsi" w:hAnsiTheme="minorHAnsi" w:cs="Calibri"/>
          <w:szCs w:val="24"/>
        </w:rPr>
        <w:t>Svårighetsgradering och tecken på okontrollerad astma</w:t>
      </w:r>
      <w:bookmarkEnd w:id="46"/>
      <w:r w:rsidRPr="00F85861">
        <w:rPr>
          <w:rFonts w:asciiTheme="minorHAnsi" w:hAnsiTheme="minorHAnsi" w:cs="Calibri"/>
          <w:szCs w:val="24"/>
        </w:rPr>
        <w:br/>
      </w:r>
    </w:p>
    <w:tbl>
      <w:tblPr>
        <w:tblStyle w:val="Listtabell7frgstarkdekorfrg1"/>
        <w:tblW w:w="0" w:type="auto"/>
        <w:tblLook w:val="04A0" w:firstRow="1" w:lastRow="0" w:firstColumn="1" w:lastColumn="0" w:noHBand="0" w:noVBand="1"/>
      </w:tblPr>
      <w:tblGrid>
        <w:gridCol w:w="1783"/>
        <w:gridCol w:w="1724"/>
      </w:tblGrid>
      <w:tr w:rsidR="00EC79BD" w:rsidRPr="000C17EB" w14:paraId="364B02DF" w14:textId="77777777" w:rsidTr="00632FCC">
        <w:trPr>
          <w:cnfStyle w:val="100000000000" w:firstRow="1" w:lastRow="0" w:firstColumn="0" w:lastColumn="0" w:oddVBand="0" w:evenVBand="0" w:oddHBand="0" w:evenHBand="0" w:firstRowFirstColumn="0" w:firstRowLastColumn="0" w:lastRowFirstColumn="0" w:lastRowLastColumn="0"/>
          <w:trHeight w:val="413"/>
        </w:trPr>
        <w:tc>
          <w:tcPr>
            <w:cnfStyle w:val="001000000100" w:firstRow="0" w:lastRow="0" w:firstColumn="1" w:lastColumn="0" w:oddVBand="0" w:evenVBand="0" w:oddHBand="0" w:evenHBand="0" w:firstRowFirstColumn="1" w:firstRowLastColumn="0" w:lastRowFirstColumn="0" w:lastRowLastColumn="0"/>
            <w:tcW w:w="1783" w:type="dxa"/>
          </w:tcPr>
          <w:p w14:paraId="7C9D7D58" w14:textId="77777777" w:rsidR="00EC79BD" w:rsidRPr="00C65AA2" w:rsidRDefault="00EC79BD" w:rsidP="00632FCC">
            <w:pPr>
              <w:pStyle w:val="Normal4"/>
              <w:spacing w:before="0" w:beforeAutospacing="0" w:after="0" w:afterAutospacing="0"/>
              <w:rPr>
                <w:rFonts w:asciiTheme="minorHAnsi" w:hAnsiTheme="minorHAnsi" w:cs="Calibri"/>
                <w:b/>
                <w:bCs/>
                <w:i w:val="0"/>
                <w:iCs w:val="0"/>
              </w:rPr>
            </w:pPr>
            <w:r w:rsidRPr="00C65AA2">
              <w:rPr>
                <w:rFonts w:asciiTheme="minorHAnsi" w:hAnsiTheme="minorHAnsi" w:cs="Calibri"/>
                <w:b/>
                <w:bCs/>
                <w:i w:val="0"/>
                <w:iCs w:val="0"/>
              </w:rPr>
              <w:t>Steg enligt GINA</w:t>
            </w:r>
          </w:p>
        </w:tc>
        <w:tc>
          <w:tcPr>
            <w:tcW w:w="1673" w:type="dxa"/>
          </w:tcPr>
          <w:p w14:paraId="40DE96C6" w14:textId="77777777" w:rsidR="00EC79BD" w:rsidRPr="00C65AA2"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i w:val="0"/>
                <w:iCs w:val="0"/>
              </w:rPr>
            </w:pPr>
            <w:r w:rsidRPr="00C65AA2">
              <w:rPr>
                <w:rFonts w:asciiTheme="minorHAnsi" w:hAnsiTheme="minorHAnsi" w:cs="Calibri"/>
                <w:b/>
                <w:bCs/>
                <w:i w:val="0"/>
                <w:iCs w:val="0"/>
              </w:rPr>
              <w:t>Svårighetsgrad</w:t>
            </w:r>
          </w:p>
        </w:tc>
      </w:tr>
      <w:tr w:rsidR="00EC79BD" w:rsidRPr="000C17EB" w14:paraId="25AF6CF9" w14:textId="77777777" w:rsidTr="00632FCC">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783" w:type="dxa"/>
          </w:tcPr>
          <w:p w14:paraId="76B9EFCA" w14:textId="77777777" w:rsidR="00EC79BD" w:rsidRPr="00C65AA2" w:rsidRDefault="00EC79BD" w:rsidP="00632FCC">
            <w:pPr>
              <w:pStyle w:val="Normal4"/>
              <w:spacing w:before="0" w:beforeAutospacing="0" w:after="0" w:afterAutospacing="0"/>
              <w:rPr>
                <w:rFonts w:asciiTheme="minorHAnsi" w:hAnsiTheme="minorHAnsi" w:cs="Calibri"/>
                <w:b/>
                <w:bCs/>
                <w:color w:val="003D7C" w:themeColor="text2"/>
              </w:rPr>
            </w:pPr>
            <w:r w:rsidRPr="00C65AA2">
              <w:rPr>
                <w:rFonts w:asciiTheme="minorHAnsi" w:hAnsiTheme="minorHAnsi" w:cs="Calibri"/>
                <w:b/>
                <w:bCs/>
                <w:color w:val="003D7C" w:themeColor="text2"/>
              </w:rPr>
              <w:t xml:space="preserve"> Steg 1</w:t>
            </w:r>
          </w:p>
        </w:tc>
        <w:tc>
          <w:tcPr>
            <w:tcW w:w="1673" w:type="dxa"/>
          </w:tcPr>
          <w:p w14:paraId="5630FCDC" w14:textId="77777777" w:rsidR="00EC79BD" w:rsidRPr="00C65AA2"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text2"/>
              </w:rPr>
            </w:pPr>
            <w:r w:rsidRPr="00C65AA2">
              <w:rPr>
                <w:rFonts w:asciiTheme="minorHAnsi" w:hAnsiTheme="minorHAnsi" w:cs="Calibri"/>
                <w:color w:val="003D7C" w:themeColor="text2"/>
              </w:rPr>
              <w:t>Lindrig</w:t>
            </w:r>
            <w:r w:rsidRPr="00C65AA2">
              <w:rPr>
                <w:rFonts w:asciiTheme="minorHAnsi" w:hAnsiTheme="minorHAnsi" w:cs="Calibri"/>
                <w:color w:val="003D7C" w:themeColor="text2"/>
              </w:rPr>
              <w:br/>
            </w:r>
            <w:r w:rsidRPr="00C65AA2">
              <w:rPr>
                <w:rFonts w:asciiTheme="minorHAnsi" w:hAnsiTheme="minorHAnsi" w:cs="Calibri"/>
                <w:color w:val="003D7C" w:themeColor="text2"/>
                <w:sz w:val="16"/>
                <w:szCs w:val="16"/>
              </w:rPr>
              <w:t>symptom &lt; 2 ggr/mån</w:t>
            </w:r>
          </w:p>
          <w:p w14:paraId="30617417" w14:textId="77777777" w:rsidR="00EC79BD" w:rsidRPr="00C65AA2"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text2"/>
              </w:rPr>
            </w:pPr>
          </w:p>
        </w:tc>
      </w:tr>
      <w:tr w:rsidR="00EC79BD" w:rsidRPr="000C17EB" w14:paraId="2CEED8A7" w14:textId="77777777" w:rsidTr="00632FCC">
        <w:trPr>
          <w:trHeight w:val="407"/>
        </w:trPr>
        <w:tc>
          <w:tcPr>
            <w:cnfStyle w:val="001000000000" w:firstRow="0" w:lastRow="0" w:firstColumn="1" w:lastColumn="0" w:oddVBand="0" w:evenVBand="0" w:oddHBand="0" w:evenHBand="0" w:firstRowFirstColumn="0" w:firstRowLastColumn="0" w:lastRowFirstColumn="0" w:lastRowLastColumn="0"/>
            <w:tcW w:w="1783" w:type="dxa"/>
          </w:tcPr>
          <w:p w14:paraId="55F46565" w14:textId="77777777" w:rsidR="00EC79BD" w:rsidRPr="00C65AA2" w:rsidRDefault="00EC79BD" w:rsidP="00632FCC">
            <w:pPr>
              <w:pStyle w:val="Normal4"/>
              <w:spacing w:before="0" w:beforeAutospacing="0" w:after="0" w:afterAutospacing="0"/>
              <w:rPr>
                <w:rFonts w:asciiTheme="minorHAnsi" w:hAnsiTheme="minorHAnsi" w:cs="Calibri"/>
                <w:b/>
                <w:bCs/>
                <w:color w:val="003D7C" w:themeColor="text2"/>
              </w:rPr>
            </w:pPr>
            <w:r w:rsidRPr="00C65AA2">
              <w:rPr>
                <w:rFonts w:asciiTheme="minorHAnsi" w:hAnsiTheme="minorHAnsi" w:cs="Calibri"/>
                <w:b/>
                <w:bCs/>
                <w:color w:val="003D7C" w:themeColor="text2"/>
              </w:rPr>
              <w:t xml:space="preserve">Steg 2 </w:t>
            </w:r>
          </w:p>
        </w:tc>
        <w:tc>
          <w:tcPr>
            <w:tcW w:w="1673" w:type="dxa"/>
          </w:tcPr>
          <w:p w14:paraId="1BE2C4D6" w14:textId="77777777" w:rsidR="00EC79BD" w:rsidRPr="00C65AA2"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C65AA2">
              <w:rPr>
                <w:rFonts w:asciiTheme="minorHAnsi" w:hAnsiTheme="minorHAnsi" w:cs="Calibri"/>
                <w:color w:val="003D7C" w:themeColor="text2"/>
              </w:rPr>
              <w:t>Lindrig</w:t>
            </w:r>
          </w:p>
          <w:p w14:paraId="65A603DB" w14:textId="77777777" w:rsidR="00EC79BD" w:rsidRPr="00C65AA2"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p>
        </w:tc>
      </w:tr>
      <w:tr w:rsidR="00EC79BD" w:rsidRPr="000C17EB" w14:paraId="1FD1EA91" w14:textId="77777777" w:rsidTr="00632FCC">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783" w:type="dxa"/>
          </w:tcPr>
          <w:p w14:paraId="61FA4E51" w14:textId="77777777" w:rsidR="00EC79BD" w:rsidRPr="00C65AA2" w:rsidRDefault="00EC79BD" w:rsidP="00632FCC">
            <w:pPr>
              <w:pStyle w:val="Normal4"/>
              <w:spacing w:before="0" w:beforeAutospacing="0" w:after="0" w:afterAutospacing="0"/>
              <w:rPr>
                <w:rFonts w:asciiTheme="minorHAnsi" w:hAnsiTheme="minorHAnsi" w:cs="Calibri"/>
                <w:b/>
                <w:bCs/>
                <w:color w:val="003D7C" w:themeColor="text2"/>
              </w:rPr>
            </w:pPr>
            <w:r w:rsidRPr="00C65AA2">
              <w:rPr>
                <w:rFonts w:asciiTheme="minorHAnsi" w:hAnsiTheme="minorHAnsi" w:cs="Calibri"/>
                <w:b/>
                <w:bCs/>
                <w:color w:val="003D7C" w:themeColor="text2"/>
              </w:rPr>
              <w:t xml:space="preserve">Steg 3 </w:t>
            </w:r>
          </w:p>
        </w:tc>
        <w:tc>
          <w:tcPr>
            <w:tcW w:w="1673" w:type="dxa"/>
          </w:tcPr>
          <w:p w14:paraId="5A9B567C" w14:textId="77777777" w:rsidR="00EC79BD" w:rsidRPr="00C65AA2"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text2"/>
              </w:rPr>
            </w:pPr>
            <w:r w:rsidRPr="00C65AA2">
              <w:rPr>
                <w:rFonts w:asciiTheme="minorHAnsi" w:hAnsiTheme="minorHAnsi" w:cs="Calibri"/>
                <w:color w:val="003D7C" w:themeColor="text2"/>
              </w:rPr>
              <w:t>Medelsvår</w:t>
            </w:r>
          </w:p>
          <w:p w14:paraId="1451C3D1" w14:textId="77777777" w:rsidR="00EC79BD" w:rsidRPr="00C65AA2"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text2"/>
              </w:rPr>
            </w:pPr>
            <w:r w:rsidRPr="00C65AA2">
              <w:rPr>
                <w:rFonts w:asciiTheme="minorHAnsi" w:hAnsiTheme="minorHAnsi" w:cs="Calibri"/>
                <w:color w:val="003D7C" w:themeColor="text2"/>
              </w:rPr>
              <w:t xml:space="preserve"> </w:t>
            </w:r>
          </w:p>
        </w:tc>
      </w:tr>
      <w:tr w:rsidR="00EC79BD" w:rsidRPr="000C17EB" w14:paraId="5775B087" w14:textId="77777777" w:rsidTr="00632FCC">
        <w:trPr>
          <w:trHeight w:val="413"/>
        </w:trPr>
        <w:tc>
          <w:tcPr>
            <w:cnfStyle w:val="001000000000" w:firstRow="0" w:lastRow="0" w:firstColumn="1" w:lastColumn="0" w:oddVBand="0" w:evenVBand="0" w:oddHBand="0" w:evenHBand="0" w:firstRowFirstColumn="0" w:firstRowLastColumn="0" w:lastRowFirstColumn="0" w:lastRowLastColumn="0"/>
            <w:tcW w:w="1783" w:type="dxa"/>
          </w:tcPr>
          <w:p w14:paraId="532074A5" w14:textId="77777777" w:rsidR="00EC79BD" w:rsidRPr="00C65AA2" w:rsidRDefault="00EC79BD" w:rsidP="00632FCC">
            <w:pPr>
              <w:pStyle w:val="Normal4"/>
              <w:spacing w:before="0" w:beforeAutospacing="0" w:after="0" w:afterAutospacing="0"/>
              <w:rPr>
                <w:rFonts w:asciiTheme="minorHAnsi" w:hAnsiTheme="minorHAnsi" w:cs="Calibri"/>
                <w:b/>
                <w:bCs/>
                <w:color w:val="003D7C" w:themeColor="text2"/>
              </w:rPr>
            </w:pPr>
            <w:r w:rsidRPr="00C65AA2">
              <w:rPr>
                <w:rFonts w:asciiTheme="minorHAnsi" w:hAnsiTheme="minorHAnsi" w:cs="Calibri"/>
                <w:b/>
                <w:bCs/>
                <w:color w:val="003D7C" w:themeColor="text2"/>
              </w:rPr>
              <w:t xml:space="preserve">Steg 4 </w:t>
            </w:r>
          </w:p>
        </w:tc>
        <w:tc>
          <w:tcPr>
            <w:tcW w:w="1673" w:type="dxa"/>
          </w:tcPr>
          <w:p w14:paraId="1F27D215" w14:textId="77777777" w:rsidR="00EC79BD" w:rsidRPr="00C65AA2"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C65AA2">
              <w:rPr>
                <w:rFonts w:asciiTheme="minorHAnsi" w:hAnsiTheme="minorHAnsi" w:cs="Calibri"/>
                <w:color w:val="003D7C" w:themeColor="text2"/>
              </w:rPr>
              <w:t>Medelsvår</w:t>
            </w:r>
          </w:p>
          <w:p w14:paraId="55B337EF" w14:textId="77777777" w:rsidR="00EC79BD" w:rsidRPr="00C65AA2"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p>
        </w:tc>
      </w:tr>
      <w:tr w:rsidR="00EC79BD" w:rsidRPr="000C17EB" w14:paraId="563DB552" w14:textId="77777777" w:rsidTr="00632FCC">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783" w:type="dxa"/>
          </w:tcPr>
          <w:p w14:paraId="590209AD" w14:textId="77777777" w:rsidR="00EC79BD" w:rsidRPr="00C65AA2" w:rsidRDefault="00EC79BD" w:rsidP="00632FCC">
            <w:pPr>
              <w:pStyle w:val="Normal4"/>
              <w:spacing w:before="0" w:beforeAutospacing="0" w:after="0" w:afterAutospacing="0"/>
              <w:rPr>
                <w:rFonts w:asciiTheme="minorHAnsi" w:hAnsiTheme="minorHAnsi" w:cs="Calibri"/>
                <w:b/>
                <w:bCs/>
                <w:color w:val="003D7C" w:themeColor="text2"/>
              </w:rPr>
            </w:pPr>
            <w:r w:rsidRPr="00C65AA2">
              <w:rPr>
                <w:rFonts w:asciiTheme="minorHAnsi" w:hAnsiTheme="minorHAnsi" w:cs="Calibri"/>
                <w:b/>
                <w:bCs/>
                <w:color w:val="003D7C" w:themeColor="text2"/>
              </w:rPr>
              <w:t>Steg 5</w:t>
            </w:r>
          </w:p>
        </w:tc>
        <w:tc>
          <w:tcPr>
            <w:tcW w:w="1673" w:type="dxa"/>
          </w:tcPr>
          <w:p w14:paraId="3E3A1B7F" w14:textId="77777777" w:rsidR="00EC79BD" w:rsidRPr="00C65AA2"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text2"/>
              </w:rPr>
            </w:pPr>
            <w:r w:rsidRPr="00C65AA2">
              <w:rPr>
                <w:rFonts w:asciiTheme="minorHAnsi" w:hAnsiTheme="minorHAnsi" w:cs="Calibri"/>
                <w:color w:val="003D7C" w:themeColor="text2"/>
              </w:rPr>
              <w:t>Svår</w:t>
            </w:r>
          </w:p>
        </w:tc>
      </w:tr>
    </w:tbl>
    <w:p w14:paraId="1861F0FE" w14:textId="77777777" w:rsidR="00EC79BD" w:rsidRPr="001F551E" w:rsidRDefault="00EC79BD" w:rsidP="00EC79BD">
      <w:pPr>
        <w:pStyle w:val="Rubrik3"/>
        <w:rPr>
          <w:rFonts w:cs="Calibri"/>
          <w:szCs w:val="24"/>
        </w:rPr>
      </w:pPr>
      <w:r w:rsidRPr="001F551E">
        <w:rPr>
          <w:rFonts w:cs="Calibri"/>
          <w:szCs w:val="24"/>
        </w:rPr>
        <w:t xml:space="preserve"> </w:t>
      </w:r>
      <w:bookmarkStart w:id="47" w:name="_Toc150457982"/>
      <w:r w:rsidRPr="001F551E">
        <w:rPr>
          <w:rFonts w:cs="Calibri"/>
          <w:szCs w:val="24"/>
        </w:rPr>
        <w:t>Behandlingstrappan</w:t>
      </w:r>
      <w:bookmarkEnd w:id="47"/>
      <w:r w:rsidRPr="001F551E">
        <w:rPr>
          <w:rFonts w:cs="Calibri"/>
          <w:szCs w:val="24"/>
        </w:rPr>
        <w:t xml:space="preserve"> </w:t>
      </w:r>
    </w:p>
    <w:p w14:paraId="006710D3" w14:textId="77777777" w:rsidR="00EC79BD" w:rsidRPr="001F551E" w:rsidRDefault="00EC79BD" w:rsidP="00EC79BD">
      <w:pPr>
        <w:rPr>
          <w:rStyle w:val="Stark"/>
        </w:rPr>
      </w:pPr>
      <w:r w:rsidRPr="001F551E">
        <w:rPr>
          <w:rStyle w:val="Stark"/>
          <w:noProof/>
        </w:rPr>
        <w:drawing>
          <wp:inline distT="0" distB="0" distL="0" distR="0" wp14:anchorId="54130A1B" wp14:editId="797791DE">
            <wp:extent cx="5747657" cy="3525655"/>
            <wp:effectExtent l="0" t="0" r="5715" b="0"/>
            <wp:docPr id="1200761867" name="Bildobjekt 1200761867" descr="En bild som visar text, skärmbild, Teckensnitt,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Bildobjekt 61" descr="En bild som visar text, skärmbild, Teckensnitt, linje&#10;&#10;Automatiskt genererad beskrivning"/>
                    <pic:cNvPicPr/>
                  </pic:nvPicPr>
                  <pic:blipFill>
                    <a:blip r:embed="rId28"/>
                    <a:stretch>
                      <a:fillRect/>
                    </a:stretch>
                  </pic:blipFill>
                  <pic:spPr>
                    <a:xfrm>
                      <a:off x="0" y="0"/>
                      <a:ext cx="5755556" cy="3530501"/>
                    </a:xfrm>
                    <a:prstGeom prst="rect">
                      <a:avLst/>
                    </a:prstGeom>
                  </pic:spPr>
                </pic:pic>
              </a:graphicData>
            </a:graphic>
          </wp:inline>
        </w:drawing>
      </w:r>
    </w:p>
    <w:p w14:paraId="0CFD2C3F" w14:textId="77777777" w:rsidR="00EC79BD" w:rsidRDefault="00EC79BD" w:rsidP="00EC79BD">
      <w:pPr>
        <w:pStyle w:val="Normal4"/>
        <w:spacing w:before="0" w:beforeAutospacing="0" w:after="0" w:afterAutospacing="0"/>
        <w:rPr>
          <w:rFonts w:asciiTheme="minorHAnsi" w:hAnsiTheme="minorHAnsi" w:cs="Calibri"/>
          <w:sz w:val="20"/>
          <w:szCs w:val="20"/>
        </w:rPr>
      </w:pPr>
      <w:r w:rsidRPr="00F85861">
        <w:rPr>
          <w:rFonts w:asciiTheme="minorHAnsi" w:hAnsiTheme="minorHAnsi" w:cs="Calibri"/>
          <w:sz w:val="20"/>
          <w:szCs w:val="20"/>
        </w:rPr>
        <w:t xml:space="preserve">Adapterad från Läkemedelsverkets behandlingstrappa för astma hos vuxna </w:t>
      </w:r>
      <w:r w:rsidRPr="00F85861">
        <w:rPr>
          <w:rFonts w:asciiTheme="minorHAnsi" w:hAnsiTheme="minorHAnsi" w:cs="Calibri"/>
          <w:sz w:val="20"/>
          <w:szCs w:val="20"/>
        </w:rPr>
        <w:tab/>
      </w:r>
    </w:p>
    <w:p w14:paraId="67972C33" w14:textId="77777777" w:rsidR="00EC79BD" w:rsidRDefault="00EC79BD" w:rsidP="00EC79BD">
      <w:pPr>
        <w:tabs>
          <w:tab w:val="clear" w:pos="284"/>
        </w:tabs>
        <w:spacing w:after="120" w:line="260" w:lineRule="atLeast"/>
        <w:rPr>
          <w:rFonts w:asciiTheme="minorHAnsi" w:eastAsia="Times New Roman" w:hAnsiTheme="minorHAnsi" w:cs="Calibri"/>
          <w:sz w:val="20"/>
          <w:szCs w:val="20"/>
          <w:lang w:eastAsia="sv-SE"/>
        </w:rPr>
      </w:pPr>
      <w:r>
        <w:rPr>
          <w:rFonts w:asciiTheme="minorHAnsi" w:hAnsiTheme="minorHAnsi" w:cs="Calibri"/>
          <w:sz w:val="20"/>
          <w:szCs w:val="20"/>
        </w:rPr>
        <w:br w:type="page"/>
      </w:r>
    </w:p>
    <w:p w14:paraId="2D879B67" w14:textId="77777777" w:rsidR="00EC79BD" w:rsidRPr="00F85861" w:rsidRDefault="00EC79BD" w:rsidP="00EC79BD">
      <w:pPr>
        <w:pStyle w:val="Normal4"/>
        <w:spacing w:before="0" w:beforeAutospacing="0" w:after="0" w:afterAutospacing="0"/>
        <w:rPr>
          <w:rFonts w:asciiTheme="minorHAnsi" w:hAnsiTheme="minorHAnsi" w:cs="Calibri"/>
          <w:sz w:val="20"/>
          <w:szCs w:val="20"/>
        </w:rPr>
      </w:pPr>
    </w:p>
    <w:p w14:paraId="466184C7" w14:textId="77777777" w:rsidR="00EC79BD" w:rsidRPr="001F551E" w:rsidRDefault="00EC79BD" w:rsidP="00EC79BD">
      <w:pPr>
        <w:spacing w:line="240" w:lineRule="auto"/>
        <w:rPr>
          <w:rStyle w:val="Stark"/>
        </w:rPr>
      </w:pPr>
    </w:p>
    <w:p w14:paraId="262F8F46" w14:textId="77777777" w:rsidR="00EC79BD" w:rsidRPr="001F551E" w:rsidRDefault="00EC79BD" w:rsidP="00EC79BD">
      <w:pPr>
        <w:rPr>
          <w:rStyle w:val="Stark"/>
        </w:rPr>
      </w:pPr>
      <w:r w:rsidRPr="001F551E">
        <w:rPr>
          <w:rStyle w:val="Stark"/>
          <w:noProof/>
        </w:rPr>
        <mc:AlternateContent>
          <mc:Choice Requires="wps">
            <w:drawing>
              <wp:anchor distT="0" distB="0" distL="114300" distR="114300" simplePos="0" relativeHeight="251764736" behindDoc="0" locked="0" layoutInCell="1" allowOverlap="1" wp14:anchorId="7B23ED5A" wp14:editId="2C5591B4">
                <wp:simplePos x="0" y="0"/>
                <wp:positionH relativeFrom="column">
                  <wp:posOffset>1825147</wp:posOffset>
                </wp:positionH>
                <wp:positionV relativeFrom="paragraph">
                  <wp:posOffset>81230</wp:posOffset>
                </wp:positionV>
                <wp:extent cx="3944620" cy="1642258"/>
                <wp:effectExtent l="57150" t="38100" r="74930" b="91440"/>
                <wp:wrapNone/>
                <wp:docPr id="1200761866" name="Textruta 1200761866"/>
                <wp:cNvGraphicFramePr/>
                <a:graphic xmlns:a="http://schemas.openxmlformats.org/drawingml/2006/main">
                  <a:graphicData uri="http://schemas.microsoft.com/office/word/2010/wordprocessingShape">
                    <wps:wsp>
                      <wps:cNvSpPr txBox="1"/>
                      <wps:spPr>
                        <a:xfrm>
                          <a:off x="0" y="0"/>
                          <a:ext cx="3944620" cy="1642258"/>
                        </a:xfrm>
                        <a:prstGeom prst="rect">
                          <a:avLst/>
                        </a:prstGeom>
                        <a:gradFill rotWithShape="1">
                          <a:gsLst>
                            <a:gs pos="0">
                              <a:srgbClr val="98C21D">
                                <a:tint val="50000"/>
                                <a:satMod val="300000"/>
                              </a:srgbClr>
                            </a:gs>
                            <a:gs pos="35000">
                              <a:srgbClr val="98C21D">
                                <a:tint val="37000"/>
                                <a:satMod val="300000"/>
                              </a:srgbClr>
                            </a:gs>
                            <a:gs pos="100000">
                              <a:srgbClr val="98C21D">
                                <a:tint val="15000"/>
                                <a:satMod val="350000"/>
                              </a:srgbClr>
                            </a:gs>
                          </a:gsLst>
                          <a:lin ang="16200000" scaled="1"/>
                        </a:gradFill>
                        <a:ln w="9525" cap="flat" cmpd="sng" algn="ctr">
                          <a:solidFill>
                            <a:srgbClr val="98C21D">
                              <a:shade val="95000"/>
                              <a:satMod val="105000"/>
                            </a:srgbClr>
                          </a:solidFill>
                          <a:prstDash val="solid"/>
                        </a:ln>
                        <a:effectLst>
                          <a:outerShdw blurRad="40000" dist="20000" dir="5400000" rotWithShape="0">
                            <a:srgbClr val="000000">
                              <a:alpha val="38000"/>
                            </a:srgbClr>
                          </a:outerShdw>
                        </a:effectLst>
                      </wps:spPr>
                      <wps:txbx>
                        <w:txbxContent>
                          <w:p w14:paraId="519537CE" w14:textId="77777777" w:rsidR="00EC79BD" w:rsidRPr="00F85861" w:rsidRDefault="00EC79BD" w:rsidP="00EC79BD">
                            <w:pPr>
                              <w:rPr>
                                <w:rFonts w:asciiTheme="minorHAnsi" w:hAnsiTheme="minorHAnsi" w:cs="Calibri"/>
                                <w:color w:val="404040"/>
                                <w:u w:val="single"/>
                              </w:rPr>
                            </w:pPr>
                            <w:r w:rsidRPr="00F85861">
                              <w:rPr>
                                <w:rFonts w:asciiTheme="minorHAnsi" w:hAnsiTheme="minorHAnsi" w:cs="Calibri"/>
                                <w:color w:val="404040"/>
                                <w:u w:val="single"/>
                              </w:rPr>
                              <w:t>Exempel 2</w:t>
                            </w:r>
                          </w:p>
                          <w:p w14:paraId="648AB1E0" w14:textId="77777777" w:rsidR="00EC79BD" w:rsidRPr="00F85861" w:rsidRDefault="00EC79BD" w:rsidP="00EC79BD">
                            <w:pPr>
                              <w:rPr>
                                <w:rFonts w:asciiTheme="minorHAnsi" w:hAnsiTheme="minorHAnsi" w:cs="Calibri"/>
                                <w:color w:val="404040"/>
                              </w:rPr>
                            </w:pPr>
                            <w:r w:rsidRPr="00F85861">
                              <w:rPr>
                                <w:rFonts w:asciiTheme="minorHAnsi" w:hAnsiTheme="minorHAnsi" w:cs="Calibri"/>
                                <w:color w:val="404040"/>
                              </w:rPr>
                              <w:t xml:space="preserve">Ilke har grundbehandling med </w:t>
                            </w:r>
                            <w:hyperlink w:anchor="_ORDLISTA" w:history="1">
                              <w:r w:rsidRPr="00F85861">
                                <w:rPr>
                                  <w:rStyle w:val="Hyperlnk"/>
                                  <w:rFonts w:asciiTheme="minorHAnsi" w:hAnsiTheme="minorHAnsi" w:cs="Calibri"/>
                                  <w:color w:val="B46400" w:themeColor="accent6" w:themeShade="BF"/>
                                </w:rPr>
                                <w:t>ICS</w:t>
                              </w:r>
                            </w:hyperlink>
                            <w:r w:rsidRPr="00F85861">
                              <w:rPr>
                                <w:rFonts w:asciiTheme="minorHAnsi" w:hAnsiTheme="minorHAnsi" w:cs="Calibri"/>
                                <w:color w:val="404040"/>
                              </w:rPr>
                              <w:t xml:space="preserve"> i medelhög dos och vid behovsmedicinering med ICS + </w:t>
                            </w:r>
                            <w:hyperlink w:anchor="_ORDLISTA" w:history="1">
                              <w:r w:rsidRPr="00F85861">
                                <w:rPr>
                                  <w:rStyle w:val="Hyperlnk"/>
                                  <w:rFonts w:asciiTheme="minorHAnsi" w:hAnsiTheme="minorHAnsi" w:cs="Calibri"/>
                                  <w:color w:val="B46400" w:themeColor="accent6" w:themeShade="BF"/>
                                </w:rPr>
                                <w:t>FABA</w:t>
                              </w:r>
                            </w:hyperlink>
                            <w:r w:rsidRPr="00F85861">
                              <w:rPr>
                                <w:rFonts w:asciiTheme="minorHAnsi" w:hAnsiTheme="minorHAnsi" w:cs="Calibri"/>
                                <w:color w:val="404040"/>
                              </w:rPr>
                              <w:t xml:space="preserve"> (behandling för steg 2).  Han har symptom på okontrollerad astma och hans medicinering behöver justeras. Efter att ha bytt hans kontinuerliga medicinering från ICS i medelhög dos till ICS + FABA i medelhög dos (behandling för steg 3) uppnår han astmakontroll. Retrospektivt kan vi därför bedöma att Ilke graderas som </w:t>
                            </w:r>
                            <w:r w:rsidRPr="00F85861">
                              <w:rPr>
                                <w:rFonts w:asciiTheme="minorHAnsi" w:hAnsiTheme="minorHAnsi" w:cs="Calibri"/>
                                <w:b/>
                                <w:bCs/>
                                <w:color w:val="404040"/>
                              </w:rPr>
                              <w:t>steg 3</w:t>
                            </w:r>
                            <w:r w:rsidRPr="00F85861">
                              <w:rPr>
                                <w:rFonts w:asciiTheme="minorHAnsi" w:hAnsiTheme="minorHAnsi" w:cs="Calibri"/>
                                <w:color w:val="404040"/>
                              </w:rPr>
                              <w:t xml:space="preserve">. </w:t>
                            </w:r>
                          </w:p>
                          <w:p w14:paraId="37D6C8A0" w14:textId="77777777" w:rsidR="00EC79BD" w:rsidRPr="006D542D" w:rsidRDefault="00EC79BD" w:rsidP="00EC79B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3ED5A" id="Textruta 1200761866" o:spid="_x0000_s1048" type="#_x0000_t202" style="position:absolute;margin-left:143.7pt;margin-top:6.4pt;width:310.6pt;height:129.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" fillcolor="#dcff96" strokecolor="#96c218">
                <v:fill color2="#f5ffe2" rotate="t" angle="180" colors="0 #dcff96;22938f #e5ffb6;1 #f5ffe2" focus="100%" type="gradient"/>
                <v:shadow on="t" color="black" opacity="24903f" origin=",.5" offset="0,.55556mm"/>
                <v:textbox>
                  <w:txbxContent>
                    <w:p w14:paraId="519537CE" w14:textId="77777777" w:rsidR="00EC79BD" w:rsidRPr="00F85861" w:rsidRDefault="00EC79BD" w:rsidP="00EC79BD">
                      <w:pPr>
                        <w:rPr>
                          <w:rFonts w:asciiTheme="minorHAnsi" w:hAnsiTheme="minorHAnsi" w:cs="Calibri"/>
                          <w:color w:val="404040"/>
                          <w:u w:val="single"/>
                        </w:rPr>
                      </w:pPr>
                      <w:r w:rsidRPr="00F85861">
                        <w:rPr>
                          <w:rFonts w:asciiTheme="minorHAnsi" w:hAnsiTheme="minorHAnsi" w:cs="Calibri"/>
                          <w:color w:val="404040"/>
                          <w:u w:val="single"/>
                        </w:rPr>
                        <w:t>Exempel 2</w:t>
                      </w:r>
                    </w:p>
                    <w:p w14:paraId="648AB1E0" w14:textId="77777777" w:rsidR="00EC79BD" w:rsidRPr="00F85861" w:rsidRDefault="00EC79BD" w:rsidP="00EC79BD">
                      <w:pPr>
                        <w:rPr>
                          <w:rFonts w:asciiTheme="minorHAnsi" w:hAnsiTheme="minorHAnsi" w:cs="Calibri"/>
                          <w:color w:val="404040"/>
                        </w:rPr>
                      </w:pPr>
                      <w:r w:rsidRPr="00F85861">
                        <w:rPr>
                          <w:rFonts w:asciiTheme="minorHAnsi" w:hAnsiTheme="minorHAnsi" w:cs="Calibri"/>
                          <w:color w:val="404040"/>
                        </w:rPr>
                        <w:t xml:space="preserve">Ilke har grundbehandling med </w:t>
                      </w:r>
                      <w:hyperlink w:anchor="_ORDLISTA" w:history="1">
                        <w:r w:rsidRPr="00F85861">
                          <w:rPr>
                            <w:rStyle w:val="Hyperlnk"/>
                            <w:rFonts w:asciiTheme="minorHAnsi" w:hAnsiTheme="minorHAnsi" w:cs="Calibri"/>
                            <w:color w:val="B46400" w:themeColor="accent6" w:themeShade="BF"/>
                          </w:rPr>
                          <w:t>ICS</w:t>
                        </w:r>
                      </w:hyperlink>
                      <w:r w:rsidRPr="00F85861">
                        <w:rPr>
                          <w:rFonts w:asciiTheme="minorHAnsi" w:hAnsiTheme="minorHAnsi" w:cs="Calibri"/>
                          <w:color w:val="404040"/>
                        </w:rPr>
                        <w:t xml:space="preserve"> i medelhög dos och vid behovsmedicinering med ICS + </w:t>
                      </w:r>
                      <w:hyperlink w:anchor="_ORDLISTA" w:history="1">
                        <w:r w:rsidRPr="00F85861">
                          <w:rPr>
                            <w:rStyle w:val="Hyperlnk"/>
                            <w:rFonts w:asciiTheme="minorHAnsi" w:hAnsiTheme="minorHAnsi" w:cs="Calibri"/>
                            <w:color w:val="B46400" w:themeColor="accent6" w:themeShade="BF"/>
                          </w:rPr>
                          <w:t>FABA</w:t>
                        </w:r>
                      </w:hyperlink>
                      <w:r w:rsidRPr="00F85861">
                        <w:rPr>
                          <w:rFonts w:asciiTheme="minorHAnsi" w:hAnsiTheme="minorHAnsi" w:cs="Calibri"/>
                          <w:color w:val="404040"/>
                        </w:rPr>
                        <w:t xml:space="preserve"> (behandling för steg 2).  Han har symptom på okontrollerad astma och hans medicinering behöver justeras. Efter att ha bytt hans kontinuerliga medicinering från ICS i medelhög dos till ICS + FABA i medelhög dos (behandling för steg 3) uppnår han astmakontroll. Retrospektivt kan vi därför bedöma att Ilke graderas som </w:t>
                      </w:r>
                      <w:r w:rsidRPr="00F85861">
                        <w:rPr>
                          <w:rFonts w:asciiTheme="minorHAnsi" w:hAnsiTheme="minorHAnsi" w:cs="Calibri"/>
                          <w:b/>
                          <w:bCs/>
                          <w:color w:val="404040"/>
                        </w:rPr>
                        <w:t>steg 3</w:t>
                      </w:r>
                      <w:r w:rsidRPr="00F85861">
                        <w:rPr>
                          <w:rFonts w:asciiTheme="minorHAnsi" w:hAnsiTheme="minorHAnsi" w:cs="Calibri"/>
                          <w:color w:val="404040"/>
                        </w:rPr>
                        <w:t xml:space="preserve">. </w:t>
                      </w:r>
                    </w:p>
                    <w:p w14:paraId="37D6C8A0" w14:textId="77777777" w:rsidR="00EC79BD" w:rsidRPr="006D542D" w:rsidRDefault="00EC79BD" w:rsidP="00EC79BD">
                      <w:pPr>
                        <w:rPr>
                          <w:sz w:val="20"/>
                          <w:szCs w:val="20"/>
                        </w:rPr>
                      </w:pPr>
                    </w:p>
                  </w:txbxContent>
                </v:textbox>
              </v:shape>
            </w:pict>
          </mc:Fallback>
        </mc:AlternateContent>
      </w:r>
      <w:r w:rsidRPr="001F551E">
        <w:rPr>
          <w:rStyle w:val="Stark"/>
          <w:noProof/>
        </w:rPr>
        <mc:AlternateContent>
          <mc:Choice Requires="wps">
            <w:drawing>
              <wp:anchor distT="0" distB="0" distL="114300" distR="114300" simplePos="0" relativeHeight="251765760" behindDoc="0" locked="0" layoutInCell="1" allowOverlap="1" wp14:anchorId="69C3718B" wp14:editId="09E7C275">
                <wp:simplePos x="0" y="0"/>
                <wp:positionH relativeFrom="margin">
                  <wp:align>left</wp:align>
                </wp:positionH>
                <wp:positionV relativeFrom="paragraph">
                  <wp:posOffset>81453</wp:posOffset>
                </wp:positionV>
                <wp:extent cx="1658620" cy="1630383"/>
                <wp:effectExtent l="57150" t="38100" r="74930" b="103505"/>
                <wp:wrapNone/>
                <wp:docPr id="1200761865" name="Textruta 1200761865"/>
                <wp:cNvGraphicFramePr/>
                <a:graphic xmlns:a="http://schemas.openxmlformats.org/drawingml/2006/main">
                  <a:graphicData uri="http://schemas.microsoft.com/office/word/2010/wordprocessingShape">
                    <wps:wsp>
                      <wps:cNvSpPr txBox="1"/>
                      <wps:spPr>
                        <a:xfrm>
                          <a:off x="0" y="0"/>
                          <a:ext cx="1658620" cy="1630383"/>
                        </a:xfrm>
                        <a:prstGeom prst="rect">
                          <a:avLst/>
                        </a:prstGeom>
                        <a:gradFill rotWithShape="1">
                          <a:gsLst>
                            <a:gs pos="0">
                              <a:srgbClr val="98C21D">
                                <a:tint val="50000"/>
                                <a:satMod val="300000"/>
                              </a:srgbClr>
                            </a:gs>
                            <a:gs pos="35000">
                              <a:srgbClr val="98C21D">
                                <a:tint val="37000"/>
                                <a:satMod val="300000"/>
                              </a:srgbClr>
                            </a:gs>
                            <a:gs pos="100000">
                              <a:srgbClr val="98C21D">
                                <a:tint val="15000"/>
                                <a:satMod val="350000"/>
                              </a:srgbClr>
                            </a:gs>
                          </a:gsLst>
                          <a:lin ang="16200000" scaled="1"/>
                        </a:gradFill>
                        <a:ln w="9525" cap="flat" cmpd="sng" algn="ctr">
                          <a:solidFill>
                            <a:srgbClr val="98C21D">
                              <a:shade val="95000"/>
                              <a:satMod val="105000"/>
                            </a:srgbClr>
                          </a:solidFill>
                          <a:prstDash val="solid"/>
                        </a:ln>
                        <a:effectLst>
                          <a:outerShdw blurRad="40000" dist="20000" dir="5400000" rotWithShape="0">
                            <a:srgbClr val="000000">
                              <a:alpha val="38000"/>
                            </a:srgbClr>
                          </a:outerShdw>
                        </a:effectLst>
                      </wps:spPr>
                      <wps:txbx>
                        <w:txbxContent>
                          <w:p w14:paraId="45DB6B54" w14:textId="77777777" w:rsidR="00EC79BD" w:rsidRPr="00F85861" w:rsidRDefault="00EC79BD" w:rsidP="00EC79BD">
                            <w:pPr>
                              <w:spacing w:line="276" w:lineRule="auto"/>
                              <w:rPr>
                                <w:rFonts w:asciiTheme="minorHAnsi" w:hAnsiTheme="minorHAnsi" w:cs="Calibri"/>
                                <w:color w:val="404040"/>
                                <w:u w:val="single"/>
                              </w:rPr>
                            </w:pPr>
                            <w:r w:rsidRPr="00F85861">
                              <w:rPr>
                                <w:rFonts w:asciiTheme="minorHAnsi" w:hAnsiTheme="minorHAnsi" w:cs="Calibri"/>
                                <w:color w:val="404040"/>
                                <w:u w:val="single"/>
                              </w:rPr>
                              <w:t>Exempel 1</w:t>
                            </w:r>
                          </w:p>
                          <w:p w14:paraId="0DB1611E" w14:textId="77777777" w:rsidR="00EC79BD" w:rsidRPr="00F85861" w:rsidRDefault="00EC79BD" w:rsidP="00EC79BD">
                            <w:pPr>
                              <w:spacing w:line="276" w:lineRule="auto"/>
                              <w:rPr>
                                <w:rFonts w:asciiTheme="minorHAnsi" w:hAnsiTheme="minorHAnsi" w:cs="Calibri"/>
                                <w:color w:val="404040"/>
                              </w:rPr>
                            </w:pPr>
                            <w:r w:rsidRPr="00F85861">
                              <w:rPr>
                                <w:rFonts w:asciiTheme="minorHAnsi" w:hAnsiTheme="minorHAnsi" w:cs="Calibri"/>
                                <w:color w:val="404040"/>
                              </w:rPr>
                              <w:t>Linda har symptom färre än 2 gånger i månaden och medicinerar enbart med vid behovsmedicinering (</w:t>
                            </w:r>
                            <w:hyperlink w:anchor="_ORDLISTA" w:history="1">
                              <w:r w:rsidRPr="00F85861">
                                <w:rPr>
                                  <w:rStyle w:val="Hyperlnk"/>
                                  <w:rFonts w:asciiTheme="minorHAnsi" w:hAnsiTheme="minorHAnsi" w:cs="Calibri"/>
                                  <w:color w:val="B46400" w:themeColor="accent6" w:themeShade="BF"/>
                                </w:rPr>
                                <w:t>ICS</w:t>
                              </w:r>
                            </w:hyperlink>
                            <w:r w:rsidRPr="00F85861">
                              <w:rPr>
                                <w:rFonts w:asciiTheme="minorHAnsi" w:hAnsiTheme="minorHAnsi" w:cs="Calibri"/>
                                <w:color w:val="404040"/>
                              </w:rPr>
                              <w:t>+</w:t>
                            </w:r>
                            <w:hyperlink w:anchor="_ORDLISTA" w:history="1">
                              <w:r w:rsidRPr="00F85861">
                                <w:rPr>
                                  <w:rStyle w:val="Hyperlnk"/>
                                  <w:rFonts w:asciiTheme="minorHAnsi" w:hAnsiTheme="minorHAnsi" w:cs="Calibri"/>
                                  <w:color w:val="B46400" w:themeColor="accent6" w:themeShade="BF"/>
                                </w:rPr>
                                <w:t>FABA</w:t>
                              </w:r>
                            </w:hyperlink>
                            <w:r w:rsidRPr="00F85861">
                              <w:rPr>
                                <w:rFonts w:asciiTheme="minorHAnsi" w:hAnsiTheme="minorHAnsi" w:cs="Calibri"/>
                                <w:color w:val="404040"/>
                              </w:rPr>
                              <w:t xml:space="preserve">). Hon graderas som </w:t>
                            </w:r>
                            <w:r w:rsidRPr="00F85861">
                              <w:rPr>
                                <w:rFonts w:asciiTheme="minorHAnsi" w:hAnsiTheme="minorHAnsi" w:cs="Calibri"/>
                                <w:b/>
                                <w:bCs/>
                                <w:color w:val="404040"/>
                              </w:rPr>
                              <w:t>steg 1</w:t>
                            </w:r>
                            <w:r w:rsidRPr="00F85861">
                              <w:rPr>
                                <w:rFonts w:asciiTheme="minorHAnsi" w:hAnsiTheme="minorHAnsi" w:cs="Calibri"/>
                                <w:color w:val="404040"/>
                              </w:rPr>
                              <w:t xml:space="preserve"> </w:t>
                            </w:r>
                          </w:p>
                          <w:p w14:paraId="68E76914" w14:textId="77777777" w:rsidR="00EC79BD" w:rsidRDefault="00EC79BD" w:rsidP="00EC79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3718B" id="Textruta 1200761865" o:spid="_x0000_s1049" type="#_x0000_t202" style="position:absolute;margin-left:0;margin-top:6.4pt;width:130.6pt;height:128.4pt;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" fillcolor="#dcff96" strokecolor="#96c218">
                <v:fill color2="#f5ffe2" rotate="t" angle="180" colors="0 #dcff96;22938f #e5ffb6;1 #f5ffe2" focus="100%" type="gradient"/>
                <v:shadow on="t" color="black" opacity="24903f" origin=",.5" offset="0,.55556mm"/>
                <v:textbox>
                  <w:txbxContent>
                    <w:p w14:paraId="45DB6B54" w14:textId="77777777" w:rsidR="00EC79BD" w:rsidRPr="00F85861" w:rsidRDefault="00EC79BD" w:rsidP="00EC79BD">
                      <w:pPr>
                        <w:spacing w:line="276" w:lineRule="auto"/>
                        <w:rPr>
                          <w:rFonts w:asciiTheme="minorHAnsi" w:hAnsiTheme="minorHAnsi" w:cs="Calibri"/>
                          <w:color w:val="404040"/>
                          <w:u w:val="single"/>
                        </w:rPr>
                      </w:pPr>
                      <w:r w:rsidRPr="00F85861">
                        <w:rPr>
                          <w:rFonts w:asciiTheme="minorHAnsi" w:hAnsiTheme="minorHAnsi" w:cs="Calibri"/>
                          <w:color w:val="404040"/>
                          <w:u w:val="single"/>
                        </w:rPr>
                        <w:t>Exempel 1</w:t>
                      </w:r>
                    </w:p>
                    <w:p w14:paraId="0DB1611E" w14:textId="77777777" w:rsidR="00EC79BD" w:rsidRPr="00F85861" w:rsidRDefault="00EC79BD" w:rsidP="00EC79BD">
                      <w:pPr>
                        <w:spacing w:line="276" w:lineRule="auto"/>
                        <w:rPr>
                          <w:rFonts w:asciiTheme="minorHAnsi" w:hAnsiTheme="minorHAnsi" w:cs="Calibri"/>
                          <w:color w:val="404040"/>
                        </w:rPr>
                      </w:pPr>
                      <w:r w:rsidRPr="00F85861">
                        <w:rPr>
                          <w:rFonts w:asciiTheme="minorHAnsi" w:hAnsiTheme="minorHAnsi" w:cs="Calibri"/>
                          <w:color w:val="404040"/>
                        </w:rPr>
                        <w:t>Linda har symptom färre än 2 gånger i månaden och medicinerar enbart med vid behovsmedicinering (</w:t>
                      </w:r>
                      <w:hyperlink w:anchor="_ORDLISTA" w:history="1">
                        <w:r w:rsidRPr="00F85861">
                          <w:rPr>
                            <w:rStyle w:val="Hyperlnk"/>
                            <w:rFonts w:asciiTheme="minorHAnsi" w:hAnsiTheme="minorHAnsi" w:cs="Calibri"/>
                            <w:color w:val="B46400" w:themeColor="accent6" w:themeShade="BF"/>
                          </w:rPr>
                          <w:t>ICS</w:t>
                        </w:r>
                      </w:hyperlink>
                      <w:r w:rsidRPr="00F85861">
                        <w:rPr>
                          <w:rFonts w:asciiTheme="minorHAnsi" w:hAnsiTheme="minorHAnsi" w:cs="Calibri"/>
                          <w:color w:val="404040"/>
                        </w:rPr>
                        <w:t>+</w:t>
                      </w:r>
                      <w:hyperlink w:anchor="_ORDLISTA" w:history="1">
                        <w:r w:rsidRPr="00F85861">
                          <w:rPr>
                            <w:rStyle w:val="Hyperlnk"/>
                            <w:rFonts w:asciiTheme="minorHAnsi" w:hAnsiTheme="minorHAnsi" w:cs="Calibri"/>
                            <w:color w:val="B46400" w:themeColor="accent6" w:themeShade="BF"/>
                          </w:rPr>
                          <w:t>FABA</w:t>
                        </w:r>
                      </w:hyperlink>
                      <w:r w:rsidRPr="00F85861">
                        <w:rPr>
                          <w:rFonts w:asciiTheme="minorHAnsi" w:hAnsiTheme="minorHAnsi" w:cs="Calibri"/>
                          <w:color w:val="404040"/>
                        </w:rPr>
                        <w:t xml:space="preserve">). Hon graderas som </w:t>
                      </w:r>
                      <w:r w:rsidRPr="00F85861">
                        <w:rPr>
                          <w:rFonts w:asciiTheme="minorHAnsi" w:hAnsiTheme="minorHAnsi" w:cs="Calibri"/>
                          <w:b/>
                          <w:bCs/>
                          <w:color w:val="404040"/>
                        </w:rPr>
                        <w:t>steg 1</w:t>
                      </w:r>
                      <w:r w:rsidRPr="00F85861">
                        <w:rPr>
                          <w:rFonts w:asciiTheme="minorHAnsi" w:hAnsiTheme="minorHAnsi" w:cs="Calibri"/>
                          <w:color w:val="404040"/>
                        </w:rPr>
                        <w:t xml:space="preserve"> </w:t>
                      </w:r>
                    </w:p>
                    <w:p w14:paraId="68E76914" w14:textId="77777777" w:rsidR="00EC79BD" w:rsidRDefault="00EC79BD" w:rsidP="00EC79BD"/>
                  </w:txbxContent>
                </v:textbox>
                <w10:wrap anchorx="margin"/>
              </v:shape>
            </w:pict>
          </mc:Fallback>
        </mc:AlternateContent>
      </w:r>
    </w:p>
    <w:p w14:paraId="09984720" w14:textId="77777777" w:rsidR="00EC79BD" w:rsidRPr="001F551E" w:rsidRDefault="00EC79BD" w:rsidP="00EC79BD">
      <w:pPr>
        <w:rPr>
          <w:rStyle w:val="Stark"/>
        </w:rPr>
      </w:pPr>
    </w:p>
    <w:p w14:paraId="31ED502C" w14:textId="77777777" w:rsidR="00EC79BD" w:rsidRDefault="00EC79BD" w:rsidP="00EC79BD">
      <w:pPr>
        <w:pStyle w:val="Rubrik3"/>
        <w:rPr>
          <w:rFonts w:cs="Calibri"/>
          <w:szCs w:val="24"/>
          <w:lang w:eastAsia="sv-SE"/>
        </w:rPr>
      </w:pPr>
      <w:bookmarkStart w:id="48" w:name="_Toc150457984"/>
    </w:p>
    <w:p w14:paraId="78296EA3" w14:textId="77777777" w:rsidR="00EC79BD" w:rsidRDefault="00EC79BD" w:rsidP="00EC79BD">
      <w:pPr>
        <w:pStyle w:val="Rubrik3"/>
        <w:rPr>
          <w:rFonts w:cs="Calibri"/>
          <w:szCs w:val="24"/>
          <w:lang w:eastAsia="sv-SE"/>
        </w:rPr>
      </w:pPr>
    </w:p>
    <w:p w14:paraId="68866E6E" w14:textId="77777777" w:rsidR="00EC79BD" w:rsidRDefault="00EC79BD" w:rsidP="00EC79BD">
      <w:pPr>
        <w:pStyle w:val="Rubrik3"/>
        <w:rPr>
          <w:rFonts w:cs="Calibri"/>
          <w:szCs w:val="24"/>
          <w:lang w:eastAsia="sv-SE"/>
        </w:rPr>
      </w:pPr>
    </w:p>
    <w:p w14:paraId="08475EB0" w14:textId="77777777" w:rsidR="00EC79BD" w:rsidRPr="001F551E" w:rsidRDefault="00EC79BD" w:rsidP="00EC79BD">
      <w:pPr>
        <w:pStyle w:val="Rubrik3"/>
        <w:rPr>
          <w:rFonts w:cs="Calibri"/>
          <w:szCs w:val="24"/>
          <w:lang w:eastAsia="sv-SE"/>
        </w:rPr>
      </w:pPr>
      <w:r w:rsidRPr="001F551E">
        <w:rPr>
          <w:rFonts w:cs="Calibri"/>
          <w:szCs w:val="24"/>
          <w:lang w:eastAsia="sv-SE"/>
        </w:rPr>
        <w:t>Behandlingsmål</w:t>
      </w:r>
      <w:bookmarkEnd w:id="48"/>
    </w:p>
    <w:p w14:paraId="3508288E" w14:textId="77777777" w:rsidR="00EC79BD" w:rsidRPr="00C056A4" w:rsidRDefault="00EC79BD" w:rsidP="00EC79BD">
      <w:pPr>
        <w:numPr>
          <w:ilvl w:val="0"/>
          <w:numId w:val="87"/>
        </w:numPr>
        <w:shd w:val="clear" w:color="auto" w:fill="FFFFFF"/>
        <w:tabs>
          <w:tab w:val="clear" w:pos="284"/>
        </w:tabs>
        <w:spacing w:after="100" w:afterAutospacing="1" w:line="276" w:lineRule="auto"/>
        <w:rPr>
          <w:rStyle w:val="Stark"/>
          <w:rFonts w:asciiTheme="minorHAnsi" w:hAnsiTheme="minorHAnsi"/>
          <w:b w:val="0"/>
          <w:bCs/>
          <w:sz w:val="24"/>
          <w:szCs w:val="24"/>
        </w:rPr>
      </w:pPr>
      <w:r w:rsidRPr="00C056A4">
        <w:rPr>
          <w:rStyle w:val="Stark"/>
          <w:rFonts w:asciiTheme="minorHAnsi" w:hAnsiTheme="minorHAnsi"/>
          <w:b w:val="0"/>
          <w:bCs/>
          <w:sz w:val="24"/>
          <w:szCs w:val="24"/>
        </w:rPr>
        <w:t xml:space="preserve">Normal lungfunktion </w:t>
      </w:r>
    </w:p>
    <w:p w14:paraId="1508A648" w14:textId="77777777" w:rsidR="00EC79BD" w:rsidRPr="00C056A4" w:rsidRDefault="00EC79BD" w:rsidP="00EC79BD">
      <w:pPr>
        <w:numPr>
          <w:ilvl w:val="0"/>
          <w:numId w:val="87"/>
        </w:numPr>
        <w:shd w:val="clear" w:color="auto" w:fill="FFFFFF"/>
        <w:tabs>
          <w:tab w:val="clear" w:pos="284"/>
        </w:tabs>
        <w:spacing w:after="100" w:afterAutospacing="1" w:line="276" w:lineRule="auto"/>
        <w:rPr>
          <w:rStyle w:val="Stark"/>
          <w:rFonts w:asciiTheme="minorHAnsi" w:hAnsiTheme="minorHAnsi"/>
          <w:b w:val="0"/>
          <w:bCs/>
          <w:sz w:val="24"/>
          <w:szCs w:val="24"/>
        </w:rPr>
      </w:pPr>
      <w:r w:rsidRPr="00C056A4">
        <w:rPr>
          <w:rStyle w:val="Stark"/>
          <w:rFonts w:asciiTheme="minorHAnsi" w:hAnsiTheme="minorHAnsi"/>
          <w:b w:val="0"/>
          <w:bCs/>
          <w:sz w:val="24"/>
          <w:szCs w:val="24"/>
        </w:rPr>
        <w:t xml:space="preserve">Symptomfrihet </w:t>
      </w:r>
    </w:p>
    <w:p w14:paraId="07DFD1B4" w14:textId="77777777" w:rsidR="00EC79BD" w:rsidRPr="00C056A4" w:rsidRDefault="00EC79BD" w:rsidP="00EC79BD">
      <w:pPr>
        <w:numPr>
          <w:ilvl w:val="1"/>
          <w:numId w:val="87"/>
        </w:numPr>
        <w:shd w:val="clear" w:color="auto" w:fill="FFFFFF"/>
        <w:tabs>
          <w:tab w:val="clear" w:pos="284"/>
        </w:tabs>
        <w:spacing w:after="100" w:afterAutospacing="1" w:line="276" w:lineRule="auto"/>
        <w:rPr>
          <w:rStyle w:val="Stark"/>
          <w:rFonts w:asciiTheme="minorHAnsi" w:hAnsiTheme="minorHAnsi"/>
          <w:b w:val="0"/>
          <w:bCs/>
          <w:sz w:val="24"/>
          <w:szCs w:val="24"/>
        </w:rPr>
      </w:pPr>
      <w:r w:rsidRPr="00C056A4">
        <w:rPr>
          <w:rStyle w:val="Stark"/>
          <w:rFonts w:asciiTheme="minorHAnsi" w:hAnsiTheme="minorHAnsi"/>
          <w:b w:val="0"/>
          <w:bCs/>
          <w:sz w:val="24"/>
          <w:szCs w:val="24"/>
        </w:rPr>
        <w:t>Lindriga symtom vid kraftig ansträngning, infektioner och exponering för allergener kan accepteras</w:t>
      </w:r>
    </w:p>
    <w:p w14:paraId="307CAD0D" w14:textId="77777777" w:rsidR="00EC79BD" w:rsidRPr="00C056A4" w:rsidRDefault="00EC79BD" w:rsidP="00EC79BD">
      <w:pPr>
        <w:numPr>
          <w:ilvl w:val="0"/>
          <w:numId w:val="87"/>
        </w:numPr>
        <w:shd w:val="clear" w:color="auto" w:fill="FFFFFF"/>
        <w:tabs>
          <w:tab w:val="clear" w:pos="284"/>
        </w:tabs>
        <w:spacing w:after="100" w:afterAutospacing="1" w:line="276" w:lineRule="auto"/>
        <w:rPr>
          <w:rStyle w:val="Stark"/>
          <w:rFonts w:asciiTheme="minorHAnsi" w:hAnsiTheme="minorHAnsi"/>
          <w:b w:val="0"/>
          <w:bCs/>
          <w:sz w:val="24"/>
          <w:szCs w:val="24"/>
        </w:rPr>
      </w:pPr>
      <w:r w:rsidRPr="00C056A4">
        <w:rPr>
          <w:rStyle w:val="Stark"/>
          <w:rFonts w:asciiTheme="minorHAnsi" w:hAnsiTheme="minorHAnsi"/>
          <w:b w:val="0"/>
          <w:bCs/>
          <w:sz w:val="24"/>
          <w:szCs w:val="24"/>
        </w:rPr>
        <w:t xml:space="preserve">Förhindra försämringsperioder </w:t>
      </w:r>
    </w:p>
    <w:p w14:paraId="3A078A37" w14:textId="77777777" w:rsidR="00EC79BD" w:rsidRDefault="00EC79BD" w:rsidP="00EC79BD">
      <w:pPr>
        <w:numPr>
          <w:ilvl w:val="0"/>
          <w:numId w:val="87"/>
        </w:numPr>
        <w:shd w:val="clear" w:color="auto" w:fill="FFFFFF"/>
        <w:tabs>
          <w:tab w:val="clear" w:pos="284"/>
        </w:tabs>
        <w:spacing w:after="100" w:afterAutospacing="1" w:line="276" w:lineRule="auto"/>
        <w:rPr>
          <w:rStyle w:val="Stark"/>
          <w:rFonts w:asciiTheme="minorHAnsi" w:hAnsiTheme="minorHAnsi"/>
          <w:b w:val="0"/>
          <w:bCs/>
          <w:sz w:val="24"/>
          <w:szCs w:val="24"/>
        </w:rPr>
      </w:pPr>
      <w:r w:rsidRPr="00C056A4">
        <w:rPr>
          <w:rStyle w:val="Stark"/>
          <w:rFonts w:asciiTheme="minorHAnsi" w:hAnsiTheme="minorHAnsi"/>
          <w:b w:val="0"/>
          <w:bCs/>
          <w:sz w:val="24"/>
          <w:szCs w:val="24"/>
        </w:rPr>
        <w:t>Risken med läkemedelsbiverkningar bör minimeras, eftersträva lägsta möjliga dos</w:t>
      </w:r>
    </w:p>
    <w:p w14:paraId="4E4E2630" w14:textId="77777777" w:rsidR="00EC79BD" w:rsidRPr="00F85861" w:rsidRDefault="00EC79BD" w:rsidP="00EC79BD">
      <w:pPr>
        <w:pStyle w:val="Rubrik3"/>
        <w:rPr>
          <w:rFonts w:asciiTheme="minorHAnsi" w:hAnsiTheme="minorHAnsi" w:cs="Calibri"/>
          <w:szCs w:val="24"/>
        </w:rPr>
      </w:pPr>
      <w:bookmarkStart w:id="49" w:name="_Toc150457985"/>
      <w:r w:rsidRPr="00F85861">
        <w:rPr>
          <w:rFonts w:asciiTheme="minorHAnsi" w:hAnsiTheme="minorHAnsi" w:cs="Calibri"/>
          <w:szCs w:val="24"/>
        </w:rPr>
        <w:t>Icke-farmakologisk behandling</w:t>
      </w:r>
      <w:bookmarkEnd w:id="49"/>
      <w:r w:rsidRPr="00F85861">
        <w:rPr>
          <w:rFonts w:asciiTheme="minorHAnsi" w:hAnsiTheme="minorHAnsi" w:cs="Calibri"/>
          <w:szCs w:val="24"/>
        </w:rPr>
        <w:t xml:space="preserve"> </w:t>
      </w:r>
    </w:p>
    <w:p w14:paraId="271BE0D9" w14:textId="77777777" w:rsidR="00EC79BD" w:rsidRPr="000C17EB" w:rsidRDefault="00EC79BD" w:rsidP="00EC79BD">
      <w:pPr>
        <w:pStyle w:val="Normal4"/>
        <w:numPr>
          <w:ilvl w:val="0"/>
          <w:numId w:val="86"/>
        </w:numPr>
        <w:spacing w:before="0" w:beforeAutospacing="0" w:after="0" w:afterAutospacing="0" w:line="276" w:lineRule="auto"/>
        <w:rPr>
          <w:rFonts w:asciiTheme="minorHAnsi" w:hAnsiTheme="minorHAnsi" w:cs="Calibri"/>
          <w:color w:val="A1005E" w:themeColor="accent5" w:themeShade="BF"/>
        </w:rPr>
      </w:pPr>
      <w:hyperlink w:anchor="_Rökavvänjning" w:history="1">
        <w:r w:rsidRPr="000C17EB">
          <w:rPr>
            <w:rStyle w:val="Hyperlnk"/>
            <w:rFonts w:asciiTheme="minorHAnsi" w:hAnsiTheme="minorHAnsi" w:cs="Calibri"/>
            <w:color w:val="A1005E" w:themeColor="accent5" w:themeShade="BF"/>
          </w:rPr>
          <w:t>Rökstopp</w:t>
        </w:r>
      </w:hyperlink>
    </w:p>
    <w:p w14:paraId="738D9D66" w14:textId="77777777" w:rsidR="00EC79BD" w:rsidRPr="000C17EB" w:rsidRDefault="00EC79BD" w:rsidP="00EC79BD">
      <w:pPr>
        <w:pStyle w:val="Normal4"/>
        <w:numPr>
          <w:ilvl w:val="0"/>
          <w:numId w:val="86"/>
        </w:numPr>
        <w:spacing w:before="0" w:beforeAutospacing="0" w:after="0" w:afterAutospacing="0" w:line="276" w:lineRule="auto"/>
        <w:rPr>
          <w:rFonts w:asciiTheme="minorHAnsi" w:hAnsiTheme="minorHAnsi" w:cs="Calibri"/>
          <w:color w:val="404040"/>
        </w:rPr>
      </w:pPr>
      <w:r w:rsidRPr="000C17EB">
        <w:rPr>
          <w:rFonts w:asciiTheme="minorHAnsi" w:hAnsiTheme="minorHAnsi" w:cs="Calibri"/>
          <w:color w:val="404040"/>
        </w:rPr>
        <w:t>Patientutbildning</w:t>
      </w:r>
    </w:p>
    <w:p w14:paraId="1ADC5794" w14:textId="77777777" w:rsidR="00EC79BD" w:rsidRPr="000C17EB" w:rsidRDefault="00EC79BD" w:rsidP="00EC79BD">
      <w:pPr>
        <w:pStyle w:val="Normal4"/>
        <w:numPr>
          <w:ilvl w:val="0"/>
          <w:numId w:val="86"/>
        </w:numPr>
        <w:spacing w:before="0" w:beforeAutospacing="0" w:after="0" w:afterAutospacing="0" w:line="276" w:lineRule="auto"/>
        <w:rPr>
          <w:rFonts w:asciiTheme="minorHAnsi" w:hAnsiTheme="minorHAnsi" w:cs="Calibri"/>
          <w:color w:val="00A6E2" w:themeColor="accent1"/>
        </w:rPr>
      </w:pPr>
      <w:r w:rsidRPr="000A374B">
        <w:rPr>
          <w:rFonts w:asciiTheme="minorHAnsi" w:hAnsiTheme="minorHAnsi" w:cs="Calibri"/>
        </w:rPr>
        <w:t>Skriftlig behandlingsplan</w:t>
      </w:r>
      <w:r w:rsidRPr="000C17EB">
        <w:rPr>
          <w:rFonts w:asciiTheme="minorHAnsi" w:hAnsiTheme="minorHAnsi" w:cs="Calibri"/>
          <w:color w:val="00A6E2" w:themeColor="accent1"/>
        </w:rPr>
        <w:t xml:space="preserve"> </w:t>
      </w:r>
    </w:p>
    <w:p w14:paraId="1218969F" w14:textId="77777777" w:rsidR="00EC79BD" w:rsidRPr="000B0E24" w:rsidRDefault="00EC79BD" w:rsidP="00EC79BD">
      <w:pPr>
        <w:pStyle w:val="Normal4"/>
        <w:numPr>
          <w:ilvl w:val="0"/>
          <w:numId w:val="86"/>
        </w:numPr>
        <w:spacing w:before="0" w:beforeAutospacing="0" w:after="0" w:afterAutospacing="0" w:line="276" w:lineRule="auto"/>
        <w:rPr>
          <w:rFonts w:asciiTheme="minorHAnsi" w:hAnsiTheme="minorHAnsi" w:cs="Calibri"/>
          <w:color w:val="404040"/>
        </w:rPr>
      </w:pPr>
      <w:r w:rsidRPr="000B0E24">
        <w:rPr>
          <w:rFonts w:asciiTheme="minorHAnsi" w:hAnsiTheme="minorHAnsi" w:cs="Calibri"/>
          <w:color w:val="404040"/>
        </w:rPr>
        <w:t xml:space="preserve">Fysisk aktivitet </w:t>
      </w:r>
    </w:p>
    <w:p w14:paraId="5456FAAC" w14:textId="77777777" w:rsidR="00EC79BD" w:rsidRPr="00C056A4" w:rsidRDefault="00EC79BD" w:rsidP="00EC79BD">
      <w:pPr>
        <w:numPr>
          <w:ilvl w:val="0"/>
          <w:numId w:val="86"/>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C056A4">
        <w:rPr>
          <w:rStyle w:val="Stark"/>
          <w:rFonts w:asciiTheme="minorHAnsi" w:hAnsiTheme="minorHAnsi"/>
          <w:b w:val="0"/>
          <w:bCs/>
          <w:sz w:val="24"/>
          <w:szCs w:val="24"/>
        </w:rPr>
        <w:t xml:space="preserve">Strukturerad uppvärmning </w:t>
      </w:r>
    </w:p>
    <w:p w14:paraId="27DB7912" w14:textId="77777777" w:rsidR="00EC79BD" w:rsidRPr="00C056A4" w:rsidRDefault="00EC79BD" w:rsidP="00EC79BD">
      <w:pPr>
        <w:pStyle w:val="Liststycke"/>
        <w:numPr>
          <w:ilvl w:val="1"/>
          <w:numId w:val="86"/>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C056A4">
        <w:rPr>
          <w:rStyle w:val="Stark"/>
          <w:rFonts w:asciiTheme="minorHAnsi" w:hAnsiTheme="minorHAnsi"/>
          <w:b w:val="0"/>
          <w:bCs/>
          <w:sz w:val="24"/>
          <w:szCs w:val="24"/>
        </w:rPr>
        <w:t xml:space="preserve">Kan vara mer effektiv än läkemedel! </w:t>
      </w:r>
    </w:p>
    <w:p w14:paraId="29C06030" w14:textId="77777777" w:rsidR="00EC79BD" w:rsidRPr="00C056A4" w:rsidRDefault="00EC79BD" w:rsidP="00EC79BD">
      <w:pPr>
        <w:numPr>
          <w:ilvl w:val="1"/>
          <w:numId w:val="86"/>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C056A4">
        <w:rPr>
          <w:rStyle w:val="Stark"/>
          <w:rFonts w:asciiTheme="minorHAnsi" w:hAnsiTheme="minorHAnsi"/>
          <w:b w:val="0"/>
          <w:bCs/>
          <w:sz w:val="24"/>
          <w:szCs w:val="24"/>
        </w:rPr>
        <w:t xml:space="preserve">10-12 intervall som varar ca 15-30 sekunder med omväxlande vila i 60-90 sekunder. </w:t>
      </w:r>
    </w:p>
    <w:p w14:paraId="5436D133" w14:textId="77777777" w:rsidR="00EC79BD" w:rsidRPr="00C056A4" w:rsidRDefault="00EC79BD" w:rsidP="00EC79BD">
      <w:pPr>
        <w:numPr>
          <w:ilvl w:val="1"/>
          <w:numId w:val="86"/>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C056A4">
        <w:rPr>
          <w:rStyle w:val="Stark"/>
          <w:rFonts w:asciiTheme="minorHAnsi" w:hAnsiTheme="minorHAnsi"/>
          <w:b w:val="0"/>
          <w:bCs/>
          <w:sz w:val="24"/>
          <w:szCs w:val="24"/>
        </w:rPr>
        <w:t xml:space="preserve">Intervallerna ska vara lätt till ganska ansträngande.    </w:t>
      </w:r>
    </w:p>
    <w:p w14:paraId="56048178" w14:textId="77777777" w:rsidR="00EC79BD" w:rsidRPr="00C056A4" w:rsidRDefault="00EC79BD" w:rsidP="00EC79BD">
      <w:pPr>
        <w:numPr>
          <w:ilvl w:val="1"/>
          <w:numId w:val="86"/>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C056A4">
        <w:rPr>
          <w:rStyle w:val="Stark"/>
          <w:rFonts w:asciiTheme="minorHAnsi" w:hAnsiTheme="minorHAnsi"/>
          <w:b w:val="0"/>
          <w:bCs/>
          <w:sz w:val="24"/>
          <w:szCs w:val="24"/>
        </w:rPr>
        <w:t>Avsluta uppvärmning med några minuters joggning.</w:t>
      </w:r>
    </w:p>
    <w:p w14:paraId="05E7C0AC" w14:textId="77777777" w:rsidR="00EC79BD" w:rsidRPr="00F85861" w:rsidRDefault="00EC79BD" w:rsidP="00EC79BD">
      <w:pPr>
        <w:numPr>
          <w:ilvl w:val="1"/>
          <w:numId w:val="86"/>
        </w:numPr>
        <w:shd w:val="clear" w:color="auto" w:fill="FFFFFF"/>
        <w:tabs>
          <w:tab w:val="clear" w:pos="284"/>
        </w:tabs>
        <w:spacing w:before="100" w:beforeAutospacing="1" w:after="100" w:afterAutospacing="1" w:line="240" w:lineRule="auto"/>
        <w:rPr>
          <w:rStyle w:val="Stark"/>
          <w:rFonts w:asciiTheme="minorHAnsi" w:hAnsiTheme="minorHAnsi"/>
          <w:b w:val="0"/>
          <w:bCs/>
        </w:rPr>
      </w:pPr>
      <w:r w:rsidRPr="00C056A4">
        <w:rPr>
          <w:rStyle w:val="Stark"/>
          <w:rFonts w:asciiTheme="minorHAnsi" w:hAnsiTheme="minorHAnsi"/>
          <w:b w:val="0"/>
          <w:bCs/>
          <w:sz w:val="24"/>
          <w:szCs w:val="24"/>
        </w:rPr>
        <w:t>Vad som är lämplig ansträngningsnivå för intervallen måste anpassas efter individen</w:t>
      </w:r>
      <w:r w:rsidRPr="00F85861">
        <w:rPr>
          <w:rStyle w:val="Stark"/>
          <w:rFonts w:asciiTheme="minorHAnsi" w:hAnsiTheme="minorHAnsi"/>
          <w:b w:val="0"/>
          <w:bCs/>
        </w:rPr>
        <w:t xml:space="preserve">. </w:t>
      </w:r>
      <w:r>
        <w:rPr>
          <w:rStyle w:val="Stark"/>
          <w:rFonts w:asciiTheme="minorHAnsi" w:hAnsiTheme="minorHAnsi"/>
          <w:b w:val="0"/>
          <w:bCs/>
        </w:rPr>
        <w:br/>
      </w:r>
    </w:p>
    <w:p w14:paraId="26D7456D" w14:textId="77777777" w:rsidR="00EC79BD" w:rsidRPr="006E3E25" w:rsidRDefault="00EC79BD" w:rsidP="00EC79BD">
      <w:pPr>
        <w:pStyle w:val="Normal4"/>
        <w:numPr>
          <w:ilvl w:val="0"/>
          <w:numId w:val="86"/>
        </w:numPr>
        <w:spacing w:before="0" w:beforeAutospacing="0" w:after="0" w:afterAutospacing="0" w:line="276" w:lineRule="auto"/>
        <w:rPr>
          <w:rFonts w:asciiTheme="minorHAnsi" w:hAnsiTheme="minorHAnsi" w:cs="Calibri"/>
          <w:color w:val="404040"/>
        </w:rPr>
      </w:pPr>
      <w:r w:rsidRPr="00F85861">
        <w:rPr>
          <w:rFonts w:asciiTheme="minorHAnsi" w:hAnsiTheme="minorHAnsi" w:cs="Calibri"/>
          <w:bCs/>
          <w:color w:val="404040"/>
        </w:rPr>
        <w:t>Allergenreducerande</w:t>
      </w:r>
      <w:r w:rsidRPr="000C17EB">
        <w:rPr>
          <w:rFonts w:asciiTheme="minorHAnsi" w:hAnsiTheme="minorHAnsi" w:cs="Calibri"/>
          <w:color w:val="404040"/>
        </w:rPr>
        <w:t xml:space="preserve"> åtgärder inklusive eventuellt reducerad yrkesexponering</w:t>
      </w:r>
    </w:p>
    <w:p w14:paraId="2B8F3041" w14:textId="77777777" w:rsidR="00EC79BD" w:rsidRPr="000C17EB" w:rsidRDefault="00EC79BD" w:rsidP="00EC79BD">
      <w:pPr>
        <w:pStyle w:val="Normal4"/>
        <w:numPr>
          <w:ilvl w:val="0"/>
          <w:numId w:val="86"/>
        </w:numPr>
        <w:spacing w:before="0" w:beforeAutospacing="0" w:after="0" w:afterAutospacing="0" w:line="276" w:lineRule="auto"/>
        <w:rPr>
          <w:rFonts w:asciiTheme="minorHAnsi" w:hAnsiTheme="minorHAnsi" w:cs="Calibri"/>
          <w:color w:val="404040"/>
        </w:rPr>
      </w:pPr>
      <w:r w:rsidRPr="000C17EB">
        <w:rPr>
          <w:rFonts w:asciiTheme="minorHAnsi" w:hAnsiTheme="minorHAnsi" w:cs="Calibri"/>
          <w:color w:val="404040"/>
        </w:rPr>
        <w:t>Nutritionsinsatser (vid övervikt)</w:t>
      </w:r>
    </w:p>
    <w:p w14:paraId="2F3AF64C" w14:textId="77777777" w:rsidR="00EC79BD" w:rsidRPr="000C17EB" w:rsidRDefault="00EC79BD" w:rsidP="00EC79BD">
      <w:pPr>
        <w:pStyle w:val="Normal4"/>
        <w:numPr>
          <w:ilvl w:val="0"/>
          <w:numId w:val="86"/>
        </w:numPr>
        <w:spacing w:before="0" w:beforeAutospacing="0" w:after="0" w:afterAutospacing="0" w:line="276" w:lineRule="auto"/>
        <w:rPr>
          <w:rFonts w:asciiTheme="minorHAnsi" w:hAnsiTheme="minorHAnsi" w:cs="Calibri"/>
          <w:color w:val="404040"/>
        </w:rPr>
      </w:pPr>
      <w:r w:rsidRPr="000C17EB">
        <w:rPr>
          <w:rFonts w:asciiTheme="minorHAnsi" w:hAnsiTheme="minorHAnsi" w:cs="Calibri"/>
          <w:color w:val="404040"/>
        </w:rPr>
        <w:t xml:space="preserve">Andningsträning </w:t>
      </w:r>
    </w:p>
    <w:p w14:paraId="04077C6F" w14:textId="77777777" w:rsidR="00EC79BD" w:rsidRDefault="00EC79BD" w:rsidP="00EC79BD">
      <w:pPr>
        <w:pStyle w:val="Normal4"/>
        <w:numPr>
          <w:ilvl w:val="0"/>
          <w:numId w:val="86"/>
        </w:numPr>
        <w:spacing w:before="0" w:beforeAutospacing="0" w:after="0" w:afterAutospacing="0" w:line="276" w:lineRule="auto"/>
        <w:rPr>
          <w:rFonts w:asciiTheme="minorHAnsi" w:hAnsiTheme="minorHAnsi" w:cs="Calibri"/>
          <w:color w:val="404040"/>
        </w:rPr>
      </w:pPr>
      <w:hyperlink w:anchor="_ORDLISTA" w:history="1">
        <w:r w:rsidRPr="000C17EB">
          <w:rPr>
            <w:rStyle w:val="Hyperlnk"/>
            <w:rFonts w:asciiTheme="minorHAnsi" w:hAnsiTheme="minorHAnsi" w:cs="Calibri"/>
            <w:color w:val="B46400" w:themeColor="accent6" w:themeShade="BF"/>
          </w:rPr>
          <w:t>TLA</w:t>
        </w:r>
      </w:hyperlink>
      <w:r w:rsidRPr="000C17EB">
        <w:rPr>
          <w:rFonts w:asciiTheme="minorHAnsi" w:hAnsiTheme="minorHAnsi" w:cs="Calibri"/>
          <w:color w:val="404040"/>
        </w:rPr>
        <w:t xml:space="preserve"> (lungkliniken)</w:t>
      </w:r>
    </w:p>
    <w:p w14:paraId="2E3D51FE" w14:textId="77777777" w:rsidR="00EC79BD" w:rsidRDefault="00EC79BD" w:rsidP="00EC79BD">
      <w:pPr>
        <w:tabs>
          <w:tab w:val="clear" w:pos="284"/>
        </w:tabs>
        <w:spacing w:after="120" w:line="260" w:lineRule="atLeast"/>
        <w:rPr>
          <w:rFonts w:asciiTheme="minorHAnsi" w:eastAsia="Times New Roman" w:hAnsiTheme="minorHAnsi" w:cs="Calibri"/>
          <w:color w:val="404040"/>
          <w:sz w:val="24"/>
          <w:szCs w:val="24"/>
          <w:lang w:eastAsia="sv-SE"/>
        </w:rPr>
      </w:pPr>
      <w:r>
        <w:rPr>
          <w:rFonts w:asciiTheme="minorHAnsi" w:hAnsiTheme="minorHAnsi" w:cs="Calibri"/>
          <w:color w:val="404040"/>
        </w:rPr>
        <w:br w:type="page"/>
      </w:r>
    </w:p>
    <w:p w14:paraId="0A2468E8" w14:textId="374EEE78" w:rsidR="00EC79BD" w:rsidRPr="007E0573" w:rsidRDefault="00EC79BD" w:rsidP="007E0573">
      <w:pPr>
        <w:pStyle w:val="Rubrik3"/>
        <w:rPr>
          <w:rStyle w:val="Stark"/>
          <w:rFonts w:cs="Calibri"/>
          <w:b/>
          <w:szCs w:val="24"/>
        </w:rPr>
      </w:pPr>
      <w:bookmarkStart w:id="50" w:name="_Toc150457986"/>
      <w:r>
        <w:rPr>
          <w:rFonts w:cs="Calibri"/>
          <w:szCs w:val="24"/>
        </w:rPr>
        <w:lastRenderedPageBreak/>
        <w:t>F</w:t>
      </w:r>
      <w:r w:rsidRPr="001F551E">
        <w:rPr>
          <w:rFonts w:cs="Calibri"/>
          <w:szCs w:val="24"/>
        </w:rPr>
        <w:t>armakologisk behandling:</w:t>
      </w:r>
      <w:bookmarkEnd w:id="50"/>
      <w:r w:rsidRPr="001F551E">
        <w:rPr>
          <w:rFonts w:cs="Calibri"/>
          <w:szCs w:val="24"/>
        </w:rPr>
        <w:t xml:space="preserve"> </w:t>
      </w:r>
      <w:r>
        <w:rPr>
          <w:rStyle w:val="Stark"/>
          <w:szCs w:val="24"/>
        </w:rPr>
        <w:br/>
      </w:r>
      <w:r w:rsidRPr="00F85861">
        <w:rPr>
          <w:rStyle w:val="Stark"/>
          <w:szCs w:val="24"/>
        </w:rPr>
        <w:t>Behandlingstrappan</w:t>
      </w:r>
    </w:p>
    <w:p w14:paraId="31D931D3" w14:textId="77777777" w:rsidR="00EC79BD" w:rsidRPr="000C17EB" w:rsidRDefault="00EC79BD" w:rsidP="00EC79BD">
      <w:pPr>
        <w:pStyle w:val="Normal4"/>
        <w:spacing w:before="0" w:beforeAutospacing="0" w:after="0" w:afterAutospacing="0"/>
        <w:rPr>
          <w:rFonts w:asciiTheme="minorHAnsi" w:hAnsiTheme="minorHAnsi" w:cs="Calibri"/>
          <w:i/>
          <w:iCs/>
          <w:color w:val="404040"/>
        </w:rPr>
      </w:pPr>
      <w:r w:rsidRPr="000C17EB">
        <w:rPr>
          <w:rFonts w:asciiTheme="minorHAnsi" w:hAnsiTheme="minorHAnsi" w:cs="Calibri"/>
          <w:i/>
          <w:iCs/>
          <w:noProof/>
          <w:color w:val="404040"/>
        </w:rPr>
        <w:drawing>
          <wp:inline distT="0" distB="0" distL="0" distR="0" wp14:anchorId="1B1BB7A1" wp14:editId="11606D03">
            <wp:extent cx="6645994" cy="4076700"/>
            <wp:effectExtent l="0" t="0" r="2540" b="0"/>
            <wp:docPr id="1200761868" name="Bildobjekt 1200761868" descr="En bild som visar text, skärmbild, Teckensnitt,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Bildobjekt 62" descr="En bild som visar text, skärmbild, Teckensnitt, linje&#10;&#10;Automatiskt genererad beskrivning"/>
                    <pic:cNvPicPr/>
                  </pic:nvPicPr>
                  <pic:blipFill>
                    <a:blip r:embed="rId29"/>
                    <a:stretch>
                      <a:fillRect/>
                    </a:stretch>
                  </pic:blipFill>
                  <pic:spPr>
                    <a:xfrm>
                      <a:off x="0" y="0"/>
                      <a:ext cx="6674643" cy="4094274"/>
                    </a:xfrm>
                    <a:prstGeom prst="rect">
                      <a:avLst/>
                    </a:prstGeom>
                  </pic:spPr>
                </pic:pic>
              </a:graphicData>
            </a:graphic>
          </wp:inline>
        </w:drawing>
      </w:r>
    </w:p>
    <w:p w14:paraId="74592AB4" w14:textId="77777777" w:rsidR="00EC79BD" w:rsidRPr="00522EDD" w:rsidRDefault="00EC79BD" w:rsidP="00EC79BD">
      <w:pPr>
        <w:spacing w:line="240" w:lineRule="auto"/>
        <w:rPr>
          <w:rStyle w:val="Stark"/>
          <w:rFonts w:asciiTheme="minorHAnsi" w:hAnsiTheme="minorHAnsi"/>
          <w:sz w:val="20"/>
          <w:szCs w:val="20"/>
        </w:rPr>
      </w:pPr>
      <w:r w:rsidRPr="001F551E">
        <w:rPr>
          <w:rStyle w:val="Stark"/>
        </w:rPr>
        <w:t xml:space="preserve"> </w:t>
      </w:r>
      <w:r w:rsidRPr="00522EDD">
        <w:rPr>
          <w:rStyle w:val="Stark"/>
          <w:rFonts w:asciiTheme="minorHAnsi" w:hAnsiTheme="minorHAnsi"/>
          <w:sz w:val="20"/>
          <w:szCs w:val="20"/>
        </w:rPr>
        <w:t>Adapterad från Läkemedelsverkets behandlingstrappa för astma hos vuxna</w:t>
      </w:r>
    </w:p>
    <w:p w14:paraId="1BC822AF" w14:textId="77777777" w:rsidR="00EC79BD" w:rsidRDefault="00EC79BD" w:rsidP="00EC79BD">
      <w:pPr>
        <w:pStyle w:val="Normal4"/>
        <w:spacing w:before="0" w:beforeAutospacing="0" w:after="0" w:afterAutospacing="0"/>
        <w:rPr>
          <w:rStyle w:val="Hyperlnk"/>
          <w:rFonts w:asciiTheme="minorHAnsi" w:hAnsiTheme="minorHAnsi" w:cs="Calibri"/>
          <w:noProof/>
          <w:color w:val="A1005E" w:themeColor="accent5" w:themeShade="BF"/>
        </w:rPr>
      </w:pPr>
      <w:r>
        <w:rPr>
          <w:rFonts w:asciiTheme="minorHAnsi" w:hAnsiTheme="minorHAnsi" w:cs="Calibri"/>
          <w:noProof/>
          <w:color w:val="404040"/>
        </w:rPr>
        <w:br/>
      </w:r>
      <w:r w:rsidRPr="000C17EB">
        <w:rPr>
          <w:rFonts w:asciiTheme="minorHAnsi" w:hAnsiTheme="minorHAnsi" w:cs="Calibri"/>
          <w:noProof/>
          <w:color w:val="404040"/>
        </w:rPr>
        <w:t xml:space="preserve">*SABA ges enbart som vid-behovs medicin där misstanke om övermedicinering finns, t.ex. patienter som ofta tar en vid-behovsdos ”för säkerhets skull” inför t.ex. fysisk aktivitet eller om de har grundbehandling med annan LABA än formoterol. Använd annars ICS+FABA </w:t>
      </w:r>
      <w:r>
        <w:rPr>
          <w:rFonts w:asciiTheme="minorHAnsi" w:hAnsiTheme="minorHAnsi" w:cs="Calibri"/>
          <w:noProof/>
          <w:color w:val="404040"/>
        </w:rPr>
        <w:br/>
      </w:r>
      <w:r w:rsidRPr="000C17EB">
        <w:rPr>
          <w:rFonts w:asciiTheme="minorHAnsi" w:hAnsiTheme="minorHAnsi" w:cs="Calibri"/>
          <w:noProof/>
          <w:color w:val="404040"/>
        </w:rPr>
        <w:t xml:space="preserve">(i praktiken ICS+formoterol)! </w:t>
      </w:r>
      <w:r w:rsidRPr="000C17EB">
        <w:rPr>
          <w:rFonts w:asciiTheme="minorHAnsi" w:hAnsiTheme="minorHAnsi" w:cs="Calibri"/>
          <w:noProof/>
          <w:color w:val="404040"/>
        </w:rPr>
        <w:br/>
        <w:t>**</w:t>
      </w:r>
      <w:hyperlink w:anchor="_Andra_läkemedel" w:history="1">
        <w:r w:rsidRPr="000C17EB">
          <w:rPr>
            <w:rStyle w:val="Hyperlnk"/>
            <w:rFonts w:asciiTheme="minorHAnsi" w:hAnsiTheme="minorHAnsi" w:cs="Calibri"/>
            <w:noProof/>
            <w:color w:val="A1005E" w:themeColor="accent5" w:themeShade="BF"/>
          </w:rPr>
          <w:t>LTRA</w:t>
        </w:r>
      </w:hyperlink>
    </w:p>
    <w:p w14:paraId="67E74300" w14:textId="556B68B2" w:rsidR="00EC79BD" w:rsidRDefault="00EC79BD" w:rsidP="00EC79BD">
      <w:pPr>
        <w:tabs>
          <w:tab w:val="clear" w:pos="284"/>
        </w:tabs>
        <w:spacing w:after="120" w:line="260" w:lineRule="atLeast"/>
        <w:rPr>
          <w:rStyle w:val="Hyperlnk"/>
          <w:rFonts w:asciiTheme="minorHAnsi" w:eastAsia="Times New Roman" w:hAnsiTheme="minorHAnsi" w:cs="Calibri"/>
          <w:noProof/>
          <w:color w:val="A1005E" w:themeColor="accent5" w:themeShade="BF"/>
          <w:sz w:val="24"/>
          <w:szCs w:val="24"/>
          <w:lang w:eastAsia="sv-SE"/>
        </w:rPr>
      </w:pPr>
      <w:r>
        <w:rPr>
          <w:rStyle w:val="Hyperlnk"/>
          <w:rFonts w:asciiTheme="minorHAnsi" w:hAnsiTheme="minorHAnsi" w:cs="Calibri"/>
          <w:noProof/>
          <w:color w:val="A1005E" w:themeColor="accent5" w:themeShade="BF"/>
        </w:rPr>
        <w:br w:type="page"/>
      </w:r>
    </w:p>
    <w:p w14:paraId="2E025661" w14:textId="556B68B2" w:rsidR="00EC79BD" w:rsidRPr="00570409" w:rsidRDefault="00EC79BD" w:rsidP="00EC79BD">
      <w:pPr>
        <w:pStyle w:val="Rubrik3"/>
        <w:rPr>
          <w:rStyle w:val="Stark"/>
          <w:rFonts w:cs="Calibri"/>
          <w:b/>
          <w:bCs w:val="0"/>
          <w:iCs/>
          <w:szCs w:val="24"/>
        </w:rPr>
      </w:pPr>
      <w:bookmarkStart w:id="51" w:name="_Toc150457987"/>
      <w:r w:rsidRPr="00570409">
        <w:rPr>
          <w:rStyle w:val="Stark"/>
          <w:rFonts w:cs="Calibri"/>
          <w:b/>
          <w:szCs w:val="24"/>
        </w:rPr>
        <w:lastRenderedPageBreak/>
        <w:t>Inhalationsbehandling</w:t>
      </w:r>
      <w:bookmarkEnd w:id="51"/>
      <w:r w:rsidRPr="00570409">
        <w:rPr>
          <w:rStyle w:val="Stark"/>
          <w:rFonts w:cs="Calibri"/>
          <w:b/>
          <w:szCs w:val="24"/>
        </w:rPr>
        <w:br/>
      </w:r>
    </w:p>
    <w:tbl>
      <w:tblPr>
        <w:tblStyle w:val="Rutntstabell7frgstarkdekorfrg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2190"/>
        <w:gridCol w:w="2126"/>
        <w:gridCol w:w="1413"/>
        <w:gridCol w:w="992"/>
        <w:gridCol w:w="1418"/>
      </w:tblGrid>
      <w:tr w:rsidR="00EC79BD" w:rsidRPr="000C17EB" w14:paraId="207C08FB" w14:textId="77777777" w:rsidTr="00632FCC">
        <w:trPr>
          <w:cnfStyle w:val="100000000000" w:firstRow="1" w:lastRow="0" w:firstColumn="0" w:lastColumn="0" w:oddVBand="0" w:evenVBand="0" w:oddHBand="0" w:evenHBand="0" w:firstRowFirstColumn="0" w:firstRowLastColumn="0" w:lastRowFirstColumn="0" w:lastRowLastColumn="0"/>
          <w:trHeight w:val="388"/>
        </w:trPr>
        <w:tc>
          <w:tcPr>
            <w:cnfStyle w:val="001000000100" w:firstRow="0" w:lastRow="0" w:firstColumn="1" w:lastColumn="0" w:oddVBand="0" w:evenVBand="0" w:oddHBand="0" w:evenHBand="0" w:firstRowFirstColumn="1" w:firstRowLastColumn="0" w:lastRowFirstColumn="0" w:lastRowLastColumn="0"/>
            <w:tcW w:w="1354" w:type="dxa"/>
          </w:tcPr>
          <w:p w14:paraId="2AB898FD" w14:textId="77777777" w:rsidR="00EC79BD" w:rsidRPr="0043691B" w:rsidRDefault="00EC79BD" w:rsidP="00632FCC">
            <w:pPr>
              <w:pStyle w:val="Normal4"/>
              <w:spacing w:before="0" w:beforeAutospacing="0" w:after="0" w:afterAutospacing="0"/>
              <w:rPr>
                <w:rStyle w:val="Stark"/>
                <w:rFonts w:asciiTheme="minorHAnsi" w:eastAsiaTheme="minorEastAsia" w:hAnsiTheme="minorHAnsi" w:cs="Calibri"/>
                <w:b/>
                <w:bCs w:val="0"/>
                <w:i w:val="0"/>
                <w:iCs w:val="0"/>
                <w:color w:val="003D7C" w:themeColor="text2"/>
              </w:rPr>
            </w:pPr>
            <w:r w:rsidRPr="0043691B">
              <w:rPr>
                <w:rStyle w:val="Stark"/>
                <w:rFonts w:asciiTheme="minorHAnsi" w:eastAsiaTheme="minorEastAsia" w:hAnsiTheme="minorHAnsi" w:cs="Calibri"/>
                <w:i w:val="0"/>
                <w:color w:val="003D7C" w:themeColor="text2"/>
              </w:rPr>
              <w:t>Grupp</w:t>
            </w:r>
          </w:p>
        </w:tc>
        <w:tc>
          <w:tcPr>
            <w:tcW w:w="2190" w:type="dxa"/>
          </w:tcPr>
          <w:p w14:paraId="06D1DBE9"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0C17EB">
              <w:rPr>
                <w:rStyle w:val="Stark"/>
                <w:rFonts w:asciiTheme="minorHAnsi" w:eastAsiaTheme="minorEastAsia" w:hAnsiTheme="minorHAnsi" w:cs="Calibri"/>
                <w:color w:val="003D7C" w:themeColor="text2"/>
              </w:rPr>
              <w:t>Pulver</w:t>
            </w:r>
            <w:r>
              <w:rPr>
                <w:rStyle w:val="Stark"/>
                <w:rFonts w:asciiTheme="minorHAnsi" w:eastAsiaTheme="minorEastAsia" w:hAnsiTheme="minorHAnsi" w:cs="Calibri"/>
                <w:color w:val="003D7C" w:themeColor="text2"/>
              </w:rPr>
              <w:t xml:space="preserve"> </w:t>
            </w:r>
            <w:r w:rsidRPr="00D5747D">
              <w:rPr>
                <w:rStyle w:val="Stark"/>
                <w:rFonts w:asciiTheme="minorHAnsi" w:eastAsiaTheme="minorEastAsia" w:hAnsiTheme="minorHAnsi" w:cs="Calibri"/>
                <w:color w:val="2D934F" w:themeColor="accent4"/>
              </w:rPr>
              <w:t>M</w:t>
            </w:r>
          </w:p>
        </w:tc>
        <w:tc>
          <w:tcPr>
            <w:tcW w:w="2126" w:type="dxa"/>
          </w:tcPr>
          <w:p w14:paraId="3BEE1D63" w14:textId="77777777" w:rsidR="00EC79BD"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0C17EB">
              <w:rPr>
                <w:rStyle w:val="Stark"/>
                <w:rFonts w:asciiTheme="minorHAnsi" w:eastAsiaTheme="minorEastAsia" w:hAnsiTheme="minorHAnsi" w:cs="Calibri"/>
                <w:color w:val="003D7C" w:themeColor="text2"/>
              </w:rPr>
              <w:t>Spray</w:t>
            </w:r>
          </w:p>
          <w:p w14:paraId="38EA2B18"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color w:val="003D7C" w:themeColor="text2"/>
              </w:rPr>
            </w:pPr>
            <w:r>
              <w:rPr>
                <w:rStyle w:val="Stark"/>
                <w:rFonts w:asciiTheme="minorHAnsi" w:eastAsiaTheme="minorEastAsia" w:hAnsiTheme="minorHAnsi" w:cs="Calibri"/>
                <w:color w:val="003D7C" w:themeColor="text2"/>
              </w:rPr>
              <w:t>S</w:t>
            </w:r>
            <w:r w:rsidRPr="000C17EB">
              <w:rPr>
                <w:rStyle w:val="Stark"/>
                <w:rFonts w:asciiTheme="minorHAnsi" w:eastAsiaTheme="minorEastAsia" w:hAnsiTheme="minorHAnsi" w:cs="Calibri"/>
                <w:color w:val="003D7C" w:themeColor="text2"/>
              </w:rPr>
              <w:t>oftmist</w:t>
            </w:r>
            <w:r>
              <w:rPr>
                <w:rStyle w:val="Stark"/>
                <w:rFonts w:asciiTheme="minorHAnsi" w:eastAsiaTheme="minorEastAsia" w:hAnsiTheme="minorHAnsi" w:cs="Calibri"/>
                <w:color w:val="2D934F" w:themeColor="accent4"/>
              </w:rPr>
              <w:t xml:space="preserve"> M</w:t>
            </w:r>
          </w:p>
          <w:p w14:paraId="0A84002E" w14:textId="77777777" w:rsidR="00EC79BD" w:rsidRPr="00FA516E"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Cs w:val="0"/>
                <w:color w:val="003D7C" w:themeColor="text2"/>
              </w:rPr>
            </w:pPr>
            <w:r>
              <w:rPr>
                <w:rStyle w:val="Stark"/>
                <w:rFonts w:asciiTheme="minorHAnsi" w:eastAsiaTheme="minorEastAsia" w:hAnsiTheme="minorHAnsi" w:cs="Calibri"/>
                <w:color w:val="003D7C" w:themeColor="text2"/>
              </w:rPr>
              <w:t xml:space="preserve">Lämplig för </w:t>
            </w:r>
          </w:p>
          <w:p w14:paraId="05078AA1"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Pr>
                <w:rStyle w:val="Stark"/>
                <w:rFonts w:asciiTheme="minorHAnsi" w:eastAsiaTheme="minorEastAsia" w:hAnsiTheme="minorHAnsi" w:cs="Calibri"/>
                <w:color w:val="003D7C" w:themeColor="text2"/>
              </w:rPr>
              <w:t>a</w:t>
            </w:r>
            <w:r w:rsidRPr="000C17EB">
              <w:rPr>
                <w:rStyle w:val="Stark"/>
                <w:rFonts w:asciiTheme="minorHAnsi" w:eastAsiaTheme="minorEastAsia" w:hAnsiTheme="minorHAnsi" w:cs="Calibri"/>
                <w:color w:val="003D7C" w:themeColor="text2"/>
              </w:rPr>
              <w:t>ndningsbehållare</w:t>
            </w:r>
          </w:p>
        </w:tc>
        <w:tc>
          <w:tcPr>
            <w:tcW w:w="1413" w:type="dxa"/>
          </w:tcPr>
          <w:p w14:paraId="0D5DF285"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0C17EB">
              <w:rPr>
                <w:rStyle w:val="Stark"/>
                <w:rFonts w:asciiTheme="minorHAnsi" w:eastAsiaTheme="minorEastAsia" w:hAnsiTheme="minorHAnsi" w:cs="Calibri"/>
                <w:color w:val="003D7C" w:themeColor="text2"/>
              </w:rPr>
              <w:t>Låg dos</w:t>
            </w:r>
          </w:p>
        </w:tc>
        <w:tc>
          <w:tcPr>
            <w:tcW w:w="992" w:type="dxa"/>
          </w:tcPr>
          <w:p w14:paraId="682D9C59"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Cs w:val="0"/>
                <w:color w:val="003D7C" w:themeColor="text2"/>
              </w:rPr>
            </w:pPr>
            <w:r w:rsidRPr="000C17EB">
              <w:rPr>
                <w:rStyle w:val="Stark"/>
                <w:rFonts w:asciiTheme="minorHAnsi" w:eastAsiaTheme="minorEastAsia" w:hAnsiTheme="minorHAnsi" w:cs="Calibri"/>
                <w:color w:val="003D7C" w:themeColor="text2"/>
              </w:rPr>
              <w:t>Medel</w:t>
            </w:r>
          </w:p>
          <w:p w14:paraId="38D3FFD6"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0C17EB">
              <w:rPr>
                <w:rStyle w:val="Stark"/>
                <w:rFonts w:asciiTheme="minorHAnsi" w:eastAsiaTheme="minorEastAsia" w:hAnsiTheme="minorHAnsi" w:cs="Calibri"/>
                <w:color w:val="003D7C" w:themeColor="text2"/>
              </w:rPr>
              <w:t>dos</w:t>
            </w:r>
          </w:p>
        </w:tc>
        <w:tc>
          <w:tcPr>
            <w:tcW w:w="1418" w:type="dxa"/>
          </w:tcPr>
          <w:p w14:paraId="380A9819"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Cs w:val="0"/>
                <w:color w:val="003D7C" w:themeColor="text2"/>
              </w:rPr>
            </w:pPr>
            <w:r w:rsidRPr="000C17EB">
              <w:rPr>
                <w:rStyle w:val="Stark"/>
                <w:rFonts w:asciiTheme="minorHAnsi" w:eastAsiaTheme="minorEastAsia" w:hAnsiTheme="minorHAnsi" w:cs="Calibri"/>
                <w:color w:val="003D7C" w:themeColor="text2"/>
              </w:rPr>
              <w:t>Hög</w:t>
            </w:r>
          </w:p>
          <w:p w14:paraId="0979CB61"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0C17EB">
              <w:rPr>
                <w:rStyle w:val="Stark"/>
                <w:rFonts w:asciiTheme="minorHAnsi" w:eastAsiaTheme="minorEastAsia" w:hAnsiTheme="minorHAnsi" w:cs="Calibri"/>
                <w:color w:val="003D7C" w:themeColor="text2"/>
              </w:rPr>
              <w:t>dos</w:t>
            </w:r>
          </w:p>
        </w:tc>
      </w:tr>
      <w:tr w:rsidR="00EC79BD" w:rsidRPr="000C17EB" w14:paraId="638C6AE8" w14:textId="77777777" w:rsidTr="00632FCC">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1354" w:type="dxa"/>
          </w:tcPr>
          <w:p w14:paraId="51713643" w14:textId="77777777" w:rsidR="00EC79BD" w:rsidRDefault="00EC79BD" w:rsidP="00632FCC">
            <w:pPr>
              <w:pStyle w:val="Normal4"/>
              <w:spacing w:before="0" w:beforeAutospacing="0" w:after="0" w:afterAutospacing="0"/>
              <w:rPr>
                <w:rStyle w:val="Stark"/>
                <w:rFonts w:asciiTheme="minorHAnsi" w:eastAsiaTheme="minorEastAsia" w:hAnsiTheme="minorHAnsi" w:cs="Calibri"/>
                <w:b w:val="0"/>
                <w:i w:val="0"/>
                <w:iCs w:val="0"/>
                <w:color w:val="003D7C" w:themeColor="text2"/>
              </w:rPr>
            </w:pPr>
            <w:hyperlink w:anchor="_ORDLISTA" w:history="1">
              <w:r w:rsidRPr="000C17EB">
                <w:rPr>
                  <w:rStyle w:val="Hyperlnk"/>
                  <w:rFonts w:asciiTheme="minorHAnsi" w:hAnsiTheme="minorHAnsi" w:cs="Calibri"/>
                  <w:b/>
                  <w:color w:val="B46400" w:themeColor="accent6" w:themeShade="BF"/>
                </w:rPr>
                <w:t>ICS</w:t>
              </w:r>
            </w:hyperlink>
            <w:r w:rsidRPr="000C17EB">
              <w:rPr>
                <w:rStyle w:val="Stark"/>
                <w:rFonts w:asciiTheme="minorHAnsi" w:eastAsiaTheme="minorEastAsia" w:hAnsiTheme="minorHAnsi" w:cs="Calibri"/>
                <w:b w:val="0"/>
                <w:color w:val="003D7C" w:themeColor="text2"/>
              </w:rPr>
              <w:t>+</w:t>
            </w:r>
          </w:p>
          <w:p w14:paraId="7F3B8134"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Cs/>
                <w:color w:val="003D7C" w:themeColor="text2"/>
              </w:rPr>
            </w:pPr>
            <w:hyperlink w:anchor="_ORDLISTA" w:history="1">
              <w:r w:rsidRPr="000C17EB">
                <w:rPr>
                  <w:rStyle w:val="Hyperlnk"/>
                  <w:rFonts w:asciiTheme="minorHAnsi" w:hAnsiTheme="minorHAnsi" w:cs="Calibri"/>
                  <w:b/>
                  <w:color w:val="B46400" w:themeColor="accent6" w:themeShade="BF"/>
                </w:rPr>
                <w:t>FABA</w:t>
              </w:r>
            </w:hyperlink>
            <w:r w:rsidRPr="000C17EB">
              <w:rPr>
                <w:rStyle w:val="Stark"/>
                <w:rFonts w:asciiTheme="minorHAnsi" w:eastAsiaTheme="minorEastAsia" w:hAnsiTheme="minorHAnsi" w:cs="Calibri"/>
                <w:b w:val="0"/>
                <w:color w:val="003D7C" w:themeColor="text2"/>
              </w:rPr>
              <w:br/>
            </w:r>
            <w:r w:rsidRPr="000C17EB">
              <w:rPr>
                <w:rFonts w:asciiTheme="minorHAnsi" w:hAnsiTheme="minorHAnsi" w:cs="Calibri"/>
                <w:bCs/>
                <w:color w:val="003D7C" w:themeColor="text2"/>
              </w:rPr>
              <w:t>(Off-label – ej godkänd indikation vid mild astma)</w:t>
            </w:r>
          </w:p>
        </w:tc>
        <w:tc>
          <w:tcPr>
            <w:tcW w:w="2190" w:type="dxa"/>
          </w:tcPr>
          <w:p w14:paraId="28D89211" w14:textId="77777777" w:rsidR="00EC79B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budesonid+</w:t>
            </w:r>
          </w:p>
          <w:p w14:paraId="1768587D"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formoterol</w:t>
            </w:r>
          </w:p>
          <w:p w14:paraId="191783BC"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Style w:val="Stark"/>
                <w:rFonts w:asciiTheme="minorHAnsi" w:eastAsiaTheme="minorEastAsia" w:hAnsiTheme="minorHAnsi" w:cs="Calibri"/>
                <w:color w:val="003D7C" w:themeColor="text2"/>
              </w:rPr>
              <w:t xml:space="preserve">Bufomix Easyhaler </w:t>
            </w:r>
            <w:r w:rsidRPr="000C17EB">
              <w:rPr>
                <w:rFonts w:asciiTheme="minorHAnsi" w:hAnsiTheme="minorHAnsi" w:cs="Calibri"/>
                <w:color w:val="003D7C" w:themeColor="text2"/>
                <w:shd w:val="clear" w:color="auto" w:fill="B1D7FF" w:themeFill="accent2" w:themeFillTint="33"/>
              </w:rPr>
              <w:t>2 ggr/d</w:t>
            </w:r>
            <w:r>
              <w:rPr>
                <w:rFonts w:asciiTheme="minorHAnsi" w:hAnsiTheme="minorHAnsi" w:cs="Calibri"/>
                <w:color w:val="003D7C" w:themeColor="text2"/>
                <w:shd w:val="clear" w:color="auto" w:fill="B1D7FF" w:themeFill="accent2" w:themeFillTint="33"/>
              </w:rPr>
              <w:t xml:space="preserve"> </w:t>
            </w:r>
          </w:p>
        </w:tc>
        <w:tc>
          <w:tcPr>
            <w:tcW w:w="2126" w:type="dxa"/>
          </w:tcPr>
          <w:p w14:paraId="36259259"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5A6C2C02"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02E1341A"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14988817" w14:textId="77777777" w:rsidR="00EC79B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beklometason+</w:t>
            </w:r>
          </w:p>
          <w:p w14:paraId="3AA9882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formoterol</w:t>
            </w:r>
          </w:p>
          <w:p w14:paraId="14D896E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Style w:val="Stark"/>
                <w:rFonts w:asciiTheme="minorHAnsi" w:eastAsiaTheme="minorEastAsia" w:hAnsiTheme="minorHAnsi" w:cs="Calibri"/>
                <w:color w:val="003D7C" w:themeColor="text2"/>
              </w:rPr>
              <w:t xml:space="preserve">Innovair spray </w:t>
            </w:r>
            <w:r>
              <w:rPr>
                <w:rStyle w:val="Stark"/>
                <w:rFonts w:asciiTheme="minorHAnsi" w:eastAsiaTheme="minorEastAsia" w:hAnsiTheme="minorHAnsi" w:cs="Calibri"/>
                <w:color w:val="003D7C" w:themeColor="text2"/>
              </w:rPr>
              <w:br/>
            </w:r>
            <w:r w:rsidRPr="000C17EB">
              <w:rPr>
                <w:rFonts w:asciiTheme="minorHAnsi" w:hAnsiTheme="minorHAnsi" w:cs="Calibri"/>
                <w:color w:val="003D7C" w:themeColor="text2"/>
                <w:shd w:val="clear" w:color="auto" w:fill="B1D7FF" w:themeFill="accent2" w:themeFillTint="33"/>
              </w:rPr>
              <w:t>2 ggr/d</w:t>
            </w:r>
          </w:p>
        </w:tc>
        <w:tc>
          <w:tcPr>
            <w:tcW w:w="1413" w:type="dxa"/>
          </w:tcPr>
          <w:p w14:paraId="542132B8"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200-400 µg</w:t>
            </w:r>
          </w:p>
          <w:p w14:paraId="18A395C9"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56B60ACC"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 xml:space="preserve">100-200 µg </w:t>
            </w:r>
          </w:p>
        </w:tc>
        <w:tc>
          <w:tcPr>
            <w:tcW w:w="992" w:type="dxa"/>
          </w:tcPr>
          <w:p w14:paraId="20C91897"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&gt;400-800 µg</w:t>
            </w:r>
          </w:p>
          <w:p w14:paraId="5DC12295"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5558A42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&gt;200-400 µg</w:t>
            </w:r>
          </w:p>
        </w:tc>
        <w:tc>
          <w:tcPr>
            <w:tcW w:w="1418" w:type="dxa"/>
          </w:tcPr>
          <w:p w14:paraId="449DD62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&gt;800 µg</w:t>
            </w:r>
          </w:p>
          <w:p w14:paraId="762CED7B"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349F6FA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&gt;400 µg</w:t>
            </w:r>
          </w:p>
        </w:tc>
      </w:tr>
      <w:tr w:rsidR="00EC79BD" w:rsidRPr="000C17EB" w14:paraId="6CC2299B" w14:textId="77777777" w:rsidTr="00632FCC">
        <w:trPr>
          <w:trHeight w:val="615"/>
        </w:trPr>
        <w:tc>
          <w:tcPr>
            <w:cnfStyle w:val="001000000000" w:firstRow="0" w:lastRow="0" w:firstColumn="1" w:lastColumn="0" w:oddVBand="0" w:evenVBand="0" w:oddHBand="0" w:evenHBand="0" w:firstRowFirstColumn="0" w:firstRowLastColumn="0" w:lastRowFirstColumn="0" w:lastRowLastColumn="0"/>
            <w:tcW w:w="1354" w:type="dxa"/>
            <w:tcBorders>
              <w:top w:val="none" w:sz="0" w:space="0" w:color="auto"/>
              <w:left w:val="none" w:sz="0" w:space="0" w:color="auto"/>
              <w:bottom w:val="none" w:sz="0" w:space="0" w:color="auto"/>
            </w:tcBorders>
          </w:tcPr>
          <w:p w14:paraId="1CEE3A6C"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color w:val="003D7C" w:themeColor="text2"/>
              </w:rPr>
            </w:pPr>
            <w:r w:rsidRPr="000C17EB">
              <w:rPr>
                <w:rStyle w:val="Stark"/>
                <w:rFonts w:asciiTheme="minorHAnsi" w:eastAsiaTheme="minorEastAsia" w:hAnsiTheme="minorHAnsi" w:cs="Calibri"/>
                <w:b w:val="0"/>
                <w:color w:val="003D7C" w:themeColor="text2"/>
              </w:rPr>
              <w:t>ICS</w:t>
            </w:r>
          </w:p>
        </w:tc>
        <w:tc>
          <w:tcPr>
            <w:tcW w:w="2190" w:type="dxa"/>
          </w:tcPr>
          <w:p w14:paraId="7A44098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 xml:space="preserve">budesonid </w:t>
            </w:r>
            <w:r w:rsidRPr="000C17EB">
              <w:rPr>
                <w:rStyle w:val="Stark"/>
                <w:rFonts w:asciiTheme="minorHAnsi" w:eastAsiaTheme="minorEastAsia" w:hAnsiTheme="minorHAnsi" w:cs="Calibri"/>
                <w:color w:val="003D7C" w:themeColor="text2"/>
              </w:rPr>
              <w:br/>
              <w:t>Giona Easyhaler 2 ggr/d</w:t>
            </w:r>
          </w:p>
          <w:p w14:paraId="1F2ED7D7"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Novopulmon Novolizer 2 gr/d</w:t>
            </w:r>
            <w:r>
              <w:rPr>
                <w:rStyle w:val="Stark"/>
                <w:rFonts w:asciiTheme="minorHAnsi" w:eastAsiaTheme="minorEastAsia" w:hAnsiTheme="minorHAnsi" w:cs="Calibri"/>
                <w:color w:val="003D7C" w:themeColor="text2"/>
              </w:rPr>
              <w:t xml:space="preserve"> </w:t>
            </w:r>
            <w:r w:rsidRPr="00D5747D">
              <w:rPr>
                <w:rStyle w:val="Stark"/>
                <w:rFonts w:asciiTheme="minorHAnsi" w:eastAsiaTheme="minorEastAsia" w:hAnsiTheme="minorHAnsi" w:cs="Calibri"/>
                <w:b w:val="0"/>
                <w:color w:val="2D934F" w:themeColor="accent4"/>
              </w:rPr>
              <w:t>R</w:t>
            </w:r>
          </w:p>
          <w:p w14:paraId="631B0B60"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1F904B87"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p>
        </w:tc>
        <w:tc>
          <w:tcPr>
            <w:tcW w:w="2126" w:type="dxa"/>
          </w:tcPr>
          <w:p w14:paraId="7DAE31DC"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1EBBD17D"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266078F6"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5E0D32F5"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3B68C6AF"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3D9AEDB5"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Flutikason</w:t>
            </w:r>
            <w:r>
              <w:rPr>
                <w:rStyle w:val="Stark"/>
                <w:rFonts w:asciiTheme="minorHAnsi" w:eastAsiaTheme="minorEastAsia" w:hAnsiTheme="minorHAnsi" w:cs="Calibri"/>
                <w:b w:val="0"/>
                <w:color w:val="003D7C" w:themeColor="text2"/>
              </w:rPr>
              <w:t>-</w:t>
            </w:r>
            <w:r w:rsidRPr="000C17EB">
              <w:rPr>
                <w:rStyle w:val="Stark"/>
                <w:rFonts w:asciiTheme="minorHAnsi" w:eastAsiaTheme="minorEastAsia" w:hAnsiTheme="minorHAnsi" w:cs="Calibri"/>
                <w:b w:val="0"/>
                <w:color w:val="003D7C" w:themeColor="text2"/>
              </w:rPr>
              <w:t xml:space="preserve">propionat </w:t>
            </w:r>
          </w:p>
          <w:p w14:paraId="7B9E1330"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Flutide evohaler</w:t>
            </w:r>
            <w:r>
              <w:rPr>
                <w:rStyle w:val="Stark"/>
                <w:rFonts w:asciiTheme="minorHAnsi" w:eastAsiaTheme="minorEastAsia" w:hAnsiTheme="minorHAnsi" w:cs="Calibri"/>
                <w:color w:val="003D7C" w:themeColor="text2"/>
              </w:rPr>
              <w:br/>
            </w:r>
            <w:r w:rsidRPr="000C17EB">
              <w:rPr>
                <w:rStyle w:val="Stark"/>
                <w:rFonts w:asciiTheme="minorHAnsi" w:eastAsiaTheme="minorEastAsia" w:hAnsiTheme="minorHAnsi" w:cs="Calibri"/>
                <w:color w:val="003D7C" w:themeColor="text2"/>
              </w:rPr>
              <w:t>2 ggr/d</w:t>
            </w:r>
          </w:p>
        </w:tc>
        <w:tc>
          <w:tcPr>
            <w:tcW w:w="1413" w:type="dxa"/>
          </w:tcPr>
          <w:p w14:paraId="7A5321DA"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200-400 µg</w:t>
            </w:r>
          </w:p>
          <w:p w14:paraId="6246AD7E"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4C7A9A02"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16731366"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57BBED45"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 xml:space="preserve">100-250 µg </w:t>
            </w:r>
          </w:p>
        </w:tc>
        <w:tc>
          <w:tcPr>
            <w:tcW w:w="992" w:type="dxa"/>
          </w:tcPr>
          <w:p w14:paraId="5F8A594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&gt;400-800 µg</w:t>
            </w:r>
          </w:p>
          <w:p w14:paraId="598F6071"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6C73A79D"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2BF226B3"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03C373D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&gt;250-500 µg</w:t>
            </w:r>
          </w:p>
        </w:tc>
        <w:tc>
          <w:tcPr>
            <w:tcW w:w="1418" w:type="dxa"/>
          </w:tcPr>
          <w:p w14:paraId="7C3F347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&gt;800 µg</w:t>
            </w:r>
          </w:p>
          <w:p w14:paraId="1FCD0975"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17F09EF4"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050EBB21"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p>
          <w:p w14:paraId="212D9537"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&gt;500 µg</w:t>
            </w:r>
          </w:p>
        </w:tc>
      </w:tr>
      <w:tr w:rsidR="00EC79BD" w:rsidRPr="000C17EB" w14:paraId="433AE47D" w14:textId="77777777" w:rsidTr="00632FCC">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54" w:type="dxa"/>
          </w:tcPr>
          <w:p w14:paraId="6FC31C36"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 xml:space="preserve">FABA - </w:t>
            </w:r>
            <w:hyperlink w:anchor="_ORDLISTA" w:history="1">
              <w:r w:rsidRPr="000C17EB">
                <w:rPr>
                  <w:rStyle w:val="Hyperlnk"/>
                  <w:rFonts w:asciiTheme="minorHAnsi" w:hAnsiTheme="minorHAnsi" w:cs="Calibri"/>
                  <w:b/>
                  <w:color w:val="B46400" w:themeColor="accent6" w:themeShade="BF"/>
                </w:rPr>
                <w:t>LABA</w:t>
              </w:r>
            </w:hyperlink>
          </w:p>
        </w:tc>
        <w:tc>
          <w:tcPr>
            <w:tcW w:w="2190" w:type="dxa"/>
          </w:tcPr>
          <w:p w14:paraId="2B1E3C07"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b/>
                <w:bCs/>
                <w:color w:val="003D7C" w:themeColor="text2"/>
              </w:rPr>
              <w:t xml:space="preserve">formoterol </w:t>
            </w:r>
            <w:r w:rsidRPr="000C17EB">
              <w:rPr>
                <w:rFonts w:asciiTheme="minorHAnsi" w:hAnsiTheme="minorHAnsi" w:cs="Calibri"/>
                <w:color w:val="003D7C" w:themeColor="text2"/>
              </w:rPr>
              <w:br/>
              <w:t>Formatris Novolizer</w:t>
            </w:r>
          </w:p>
          <w:p w14:paraId="41F1AE7C"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color w:val="003D7C" w:themeColor="text2"/>
              </w:rPr>
            </w:pPr>
            <w:r w:rsidRPr="000C17EB">
              <w:rPr>
                <w:rStyle w:val="Stark"/>
                <w:rFonts w:asciiTheme="minorHAnsi" w:eastAsiaTheme="minorEastAsia" w:hAnsiTheme="minorHAnsi" w:cs="Calibri"/>
                <w:color w:val="003D7C" w:themeColor="text2"/>
                <w:shd w:val="clear" w:color="auto" w:fill="B1D7FF" w:themeFill="accent2" w:themeFillTint="33"/>
              </w:rPr>
              <w:t xml:space="preserve">6 </w:t>
            </w:r>
            <w:r w:rsidRPr="000C17EB">
              <w:rPr>
                <w:rFonts w:asciiTheme="minorHAnsi" w:hAnsiTheme="minorHAnsi" w:cs="Calibri"/>
                <w:color w:val="003D7C" w:themeColor="text2"/>
                <w:shd w:val="clear" w:color="auto" w:fill="B1D7FF" w:themeFill="accent2" w:themeFillTint="33"/>
              </w:rPr>
              <w:t>µg, 1-2 x 1-2</w:t>
            </w:r>
            <w:r>
              <w:rPr>
                <w:rFonts w:asciiTheme="minorHAnsi" w:hAnsiTheme="minorHAnsi" w:cs="Calibri"/>
                <w:color w:val="003D7C" w:themeColor="text2"/>
                <w:shd w:val="clear" w:color="auto" w:fill="B1D7FF" w:themeFill="accent2" w:themeFillTint="33"/>
              </w:rPr>
              <w:t xml:space="preserve"> </w:t>
            </w:r>
            <w:r w:rsidRPr="00D5747D">
              <w:rPr>
                <w:rFonts w:asciiTheme="minorHAnsi" w:hAnsiTheme="minorHAnsi" w:cs="Calibri"/>
                <w:b/>
                <w:bCs/>
                <w:color w:val="2D934F" w:themeColor="accent4"/>
                <w:shd w:val="clear" w:color="auto" w:fill="B1D7FF" w:themeFill="accent2" w:themeFillTint="33"/>
              </w:rPr>
              <w:t>R</w:t>
            </w:r>
            <w:r>
              <w:rPr>
                <w:rFonts w:asciiTheme="minorHAnsi" w:hAnsiTheme="minorHAnsi" w:cs="Calibri"/>
                <w:b/>
                <w:bCs/>
                <w:color w:val="2D934F" w:themeColor="accent4"/>
                <w:shd w:val="clear" w:color="auto" w:fill="B1D7FF" w:themeFill="accent2" w:themeFillTint="33"/>
              </w:rPr>
              <w:t xml:space="preserve"> </w:t>
            </w:r>
          </w:p>
        </w:tc>
        <w:tc>
          <w:tcPr>
            <w:tcW w:w="2126" w:type="dxa"/>
          </w:tcPr>
          <w:p w14:paraId="6FBFB1F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Fonts w:asciiTheme="minorHAnsi" w:hAnsiTheme="minorHAnsi" w:cs="Calibri"/>
                <w:color w:val="003D7C" w:themeColor="text2"/>
              </w:rPr>
              <w:t xml:space="preserve"> -</w:t>
            </w:r>
          </w:p>
        </w:tc>
        <w:tc>
          <w:tcPr>
            <w:tcW w:w="1413" w:type="dxa"/>
          </w:tcPr>
          <w:p w14:paraId="281C7382"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w:t>
            </w:r>
          </w:p>
        </w:tc>
        <w:tc>
          <w:tcPr>
            <w:tcW w:w="992" w:type="dxa"/>
          </w:tcPr>
          <w:p w14:paraId="6687FD0B"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w:t>
            </w:r>
          </w:p>
        </w:tc>
        <w:tc>
          <w:tcPr>
            <w:tcW w:w="1418" w:type="dxa"/>
          </w:tcPr>
          <w:p w14:paraId="0A037F6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w:t>
            </w:r>
          </w:p>
        </w:tc>
      </w:tr>
      <w:tr w:rsidR="00EC79BD" w:rsidRPr="000C17EB" w14:paraId="76310A99" w14:textId="77777777" w:rsidTr="00632FCC">
        <w:trPr>
          <w:trHeight w:val="610"/>
        </w:trPr>
        <w:tc>
          <w:tcPr>
            <w:cnfStyle w:val="001000000000" w:firstRow="0" w:lastRow="0" w:firstColumn="1" w:lastColumn="0" w:oddVBand="0" w:evenVBand="0" w:oddHBand="0" w:evenHBand="0" w:firstRowFirstColumn="0" w:firstRowLastColumn="0" w:lastRowFirstColumn="0" w:lastRowLastColumn="0"/>
            <w:tcW w:w="1354" w:type="dxa"/>
            <w:tcBorders>
              <w:top w:val="none" w:sz="0" w:space="0" w:color="auto"/>
              <w:left w:val="none" w:sz="0" w:space="0" w:color="auto"/>
              <w:bottom w:val="none" w:sz="0" w:space="0" w:color="auto"/>
            </w:tcBorders>
          </w:tcPr>
          <w:p w14:paraId="455C5BFD"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 xml:space="preserve">FABA - </w:t>
            </w:r>
            <w:hyperlink w:anchor="_ORDLISTA" w:history="1">
              <w:r w:rsidRPr="000C17EB">
                <w:rPr>
                  <w:rStyle w:val="Hyperlnk"/>
                  <w:rFonts w:asciiTheme="minorHAnsi" w:hAnsiTheme="minorHAnsi" w:cs="Calibri"/>
                  <w:b/>
                  <w:color w:val="B46400" w:themeColor="accent6" w:themeShade="BF"/>
                </w:rPr>
                <w:t>SABA</w:t>
              </w:r>
            </w:hyperlink>
          </w:p>
        </w:tc>
        <w:tc>
          <w:tcPr>
            <w:tcW w:w="2190" w:type="dxa"/>
          </w:tcPr>
          <w:p w14:paraId="0341C4D1"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salbutamol</w:t>
            </w:r>
          </w:p>
          <w:p w14:paraId="0D28397B"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color w:val="003D7C" w:themeColor="text2"/>
              </w:rPr>
              <w:t>Buventol Easyhaler</w:t>
            </w:r>
          </w:p>
          <w:p w14:paraId="5B31D5F6"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0,1 mg, 1-2 vb</w:t>
            </w:r>
          </w:p>
          <w:p w14:paraId="21EA2AA2"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Ventilastin Novolizer</w:t>
            </w:r>
            <w:r>
              <w:rPr>
                <w:rStyle w:val="Stark"/>
                <w:rFonts w:asciiTheme="minorHAnsi" w:eastAsiaTheme="minorEastAsia" w:hAnsiTheme="minorHAnsi" w:cs="Calibri"/>
                <w:color w:val="003D7C" w:themeColor="text2"/>
              </w:rPr>
              <w:t xml:space="preserve"> </w:t>
            </w:r>
            <w:r w:rsidRPr="00D5747D">
              <w:rPr>
                <w:rFonts w:asciiTheme="minorHAnsi" w:hAnsiTheme="minorHAnsi" w:cs="Calibri"/>
                <w:b/>
                <w:bCs/>
                <w:color w:val="2D934F" w:themeColor="accent4"/>
                <w:shd w:val="clear" w:color="auto" w:fill="FFFFFF" w:themeFill="background1"/>
              </w:rPr>
              <w:t>R</w:t>
            </w:r>
          </w:p>
          <w:p w14:paraId="2F723F1A"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color w:val="003D7C" w:themeColor="text2"/>
                <w:shd w:val="clear" w:color="auto" w:fill="F2F2F2" w:themeFill="background1" w:themeFillShade="F2"/>
              </w:rPr>
            </w:pPr>
            <w:r w:rsidRPr="000C17EB">
              <w:rPr>
                <w:rStyle w:val="Stark"/>
                <w:rFonts w:asciiTheme="minorHAnsi" w:eastAsiaTheme="minorEastAsia" w:hAnsiTheme="minorHAnsi" w:cs="Calibri"/>
                <w:color w:val="003D7C" w:themeColor="text2"/>
              </w:rPr>
              <w:t xml:space="preserve">0,1 mg, 1-2 vb </w:t>
            </w:r>
          </w:p>
        </w:tc>
        <w:tc>
          <w:tcPr>
            <w:tcW w:w="2126" w:type="dxa"/>
          </w:tcPr>
          <w:p w14:paraId="4CEB8F67" w14:textId="77777777" w:rsidR="00EC79BD" w:rsidRPr="00BA13A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lang w:val="en-US"/>
              </w:rPr>
            </w:pPr>
            <w:r w:rsidRPr="00BA13AD">
              <w:rPr>
                <w:rFonts w:asciiTheme="minorHAnsi" w:hAnsiTheme="minorHAnsi" w:cs="Calibri"/>
                <w:b/>
                <w:bCs/>
                <w:color w:val="003D7C" w:themeColor="text2"/>
                <w:lang w:val="en-US"/>
              </w:rPr>
              <w:t>salbutamol</w:t>
            </w:r>
          </w:p>
          <w:p w14:paraId="03E93CC9" w14:textId="77777777" w:rsidR="00EC79BD" w:rsidRPr="00BA13A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lang w:val="en-US"/>
              </w:rPr>
            </w:pPr>
            <w:r w:rsidRPr="00BA13AD">
              <w:rPr>
                <w:rFonts w:asciiTheme="minorHAnsi" w:hAnsiTheme="minorHAnsi" w:cs="Calibri"/>
                <w:color w:val="003D7C" w:themeColor="text2"/>
                <w:lang w:val="en-US"/>
              </w:rPr>
              <w:t>Ventoline Evohaler</w:t>
            </w:r>
          </w:p>
          <w:p w14:paraId="25CDA0BF" w14:textId="77777777" w:rsidR="00EC79BD" w:rsidRPr="00BA13A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color w:val="003D7C" w:themeColor="text2"/>
                <w:lang w:val="en-US"/>
              </w:rPr>
            </w:pPr>
            <w:r w:rsidRPr="00BA13AD">
              <w:rPr>
                <w:rFonts w:asciiTheme="minorHAnsi" w:hAnsiTheme="minorHAnsi" w:cs="Calibri"/>
                <w:color w:val="003D7C" w:themeColor="text2"/>
                <w:lang w:val="en-US"/>
              </w:rPr>
              <w:t>0,1 mg, 1-2 vb</w:t>
            </w:r>
          </w:p>
        </w:tc>
        <w:tc>
          <w:tcPr>
            <w:tcW w:w="1413" w:type="dxa"/>
          </w:tcPr>
          <w:p w14:paraId="5C9C7BED"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shd w:val="clear" w:color="auto" w:fill="F2F2F2" w:themeFill="background1" w:themeFillShade="F2"/>
              </w:rPr>
            </w:pPr>
            <w:r w:rsidRPr="000C17EB">
              <w:rPr>
                <w:rFonts w:asciiTheme="minorHAnsi" w:hAnsiTheme="minorHAnsi" w:cs="Calibri"/>
                <w:color w:val="003D7C" w:themeColor="text2"/>
                <w:shd w:val="clear" w:color="auto" w:fill="F2F2F2" w:themeFill="background1" w:themeFillShade="F2"/>
              </w:rPr>
              <w:t>-</w:t>
            </w:r>
          </w:p>
        </w:tc>
        <w:tc>
          <w:tcPr>
            <w:tcW w:w="992" w:type="dxa"/>
          </w:tcPr>
          <w:p w14:paraId="7A4B2A4E"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shd w:val="clear" w:color="auto" w:fill="F2F2F2" w:themeFill="background1" w:themeFillShade="F2"/>
              </w:rPr>
            </w:pPr>
            <w:r w:rsidRPr="000C17EB">
              <w:rPr>
                <w:rFonts w:asciiTheme="minorHAnsi" w:hAnsiTheme="minorHAnsi" w:cs="Calibri"/>
                <w:color w:val="003D7C" w:themeColor="text2"/>
                <w:shd w:val="clear" w:color="auto" w:fill="F2F2F2" w:themeFill="background1" w:themeFillShade="F2"/>
              </w:rPr>
              <w:t>-</w:t>
            </w:r>
          </w:p>
        </w:tc>
        <w:tc>
          <w:tcPr>
            <w:tcW w:w="1418" w:type="dxa"/>
          </w:tcPr>
          <w:p w14:paraId="30A2F22A"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shd w:val="clear" w:color="auto" w:fill="F2F2F2" w:themeFill="background1" w:themeFillShade="F2"/>
              </w:rPr>
            </w:pPr>
            <w:r w:rsidRPr="000C17EB">
              <w:rPr>
                <w:rFonts w:asciiTheme="minorHAnsi" w:hAnsiTheme="minorHAnsi" w:cs="Calibri"/>
                <w:color w:val="003D7C" w:themeColor="text2"/>
                <w:shd w:val="clear" w:color="auto" w:fill="F2F2F2" w:themeFill="background1" w:themeFillShade="F2"/>
              </w:rPr>
              <w:t>-</w:t>
            </w:r>
          </w:p>
        </w:tc>
      </w:tr>
      <w:tr w:rsidR="00EC79BD" w:rsidRPr="000C17EB" w14:paraId="2EB9DF75" w14:textId="77777777" w:rsidTr="00632FCC">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354" w:type="dxa"/>
          </w:tcPr>
          <w:p w14:paraId="52708B83"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hyperlink w:anchor="_ORDLISTA" w:history="1">
              <w:r w:rsidRPr="000C17EB">
                <w:rPr>
                  <w:rStyle w:val="Hyperlnk"/>
                  <w:rFonts w:asciiTheme="minorHAnsi" w:hAnsiTheme="minorHAnsi" w:cs="Calibri"/>
                  <w:b/>
                  <w:i w:val="0"/>
                  <w:iCs w:val="0"/>
                  <w:color w:val="B46400" w:themeColor="accent6" w:themeShade="BF"/>
                </w:rPr>
                <w:t>LAMA</w:t>
              </w:r>
            </w:hyperlink>
          </w:p>
        </w:tc>
        <w:tc>
          <w:tcPr>
            <w:tcW w:w="2190" w:type="dxa"/>
          </w:tcPr>
          <w:p w14:paraId="42A50B37"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Cs/>
                <w:color w:val="003D7C" w:themeColor="text2"/>
              </w:rPr>
            </w:pPr>
            <w:r w:rsidRPr="000C17EB">
              <w:rPr>
                <w:rStyle w:val="Stark"/>
                <w:rFonts w:asciiTheme="minorHAnsi" w:eastAsiaTheme="minorEastAsia" w:hAnsiTheme="minorHAnsi" w:cs="Calibri"/>
                <w:color w:val="003D7C" w:themeColor="text2"/>
              </w:rPr>
              <w:t>-</w:t>
            </w:r>
          </w:p>
        </w:tc>
        <w:tc>
          <w:tcPr>
            <w:tcW w:w="2126" w:type="dxa"/>
          </w:tcPr>
          <w:p w14:paraId="50AC02AA" w14:textId="77777777" w:rsidR="00EC79B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text2"/>
                <w:shd w:val="clear" w:color="auto" w:fill="B1D7FF" w:themeFill="accent2" w:themeFillTint="33"/>
              </w:rPr>
            </w:pPr>
            <w:r w:rsidRPr="000C17EB">
              <w:rPr>
                <w:rFonts w:asciiTheme="minorHAnsi" w:hAnsiTheme="minorHAnsi" w:cs="Calibri"/>
                <w:b/>
                <w:bCs/>
                <w:color w:val="003D7C" w:themeColor="text2"/>
              </w:rPr>
              <w:t xml:space="preserve">tiotropium </w:t>
            </w:r>
            <w:r w:rsidRPr="000C17EB">
              <w:rPr>
                <w:rFonts w:asciiTheme="minorHAnsi" w:hAnsiTheme="minorHAnsi" w:cs="Calibri"/>
                <w:b/>
                <w:bCs/>
                <w:color w:val="003D7C" w:themeColor="text2"/>
              </w:rPr>
              <w:br/>
            </w:r>
            <w:r w:rsidRPr="000C17EB">
              <w:rPr>
                <w:rFonts w:asciiTheme="minorHAnsi" w:hAnsiTheme="minorHAnsi" w:cs="Calibri"/>
                <w:color w:val="003D7C" w:themeColor="text2"/>
              </w:rPr>
              <w:t>Spiriva Respimat</w:t>
            </w:r>
            <w:r w:rsidRPr="000C17EB">
              <w:rPr>
                <w:rFonts w:asciiTheme="minorHAnsi" w:hAnsiTheme="minorHAnsi" w:cs="Calibri"/>
                <w:color w:val="003D7C" w:themeColor="text2"/>
                <w:shd w:val="clear" w:color="auto" w:fill="B1D7FF" w:themeFill="accent2" w:themeFillTint="33"/>
              </w:rPr>
              <w:t xml:space="preserve"> </w:t>
            </w:r>
          </w:p>
          <w:p w14:paraId="71EF0AB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shd w:val="clear" w:color="auto" w:fill="B1D7FF" w:themeFill="accent2" w:themeFillTint="33"/>
              </w:rPr>
              <w:t>2x</w:t>
            </w:r>
            <w:r w:rsidRPr="000C17EB">
              <w:rPr>
                <w:rFonts w:asciiTheme="minorHAnsi" w:hAnsiTheme="minorHAnsi" w:cs="Calibri"/>
                <w:color w:val="003D7C" w:themeColor="text2"/>
                <w:shd w:val="clear" w:color="auto" w:fill="B1D7FF" w:themeFill="accent2" w:themeFillTint="33"/>
              </w:rPr>
              <w:t>1</w:t>
            </w:r>
            <w:r w:rsidRPr="00AF7AB7">
              <w:rPr>
                <w:rFonts w:asciiTheme="minorHAnsi" w:hAnsiTheme="minorHAnsi" w:cs="Calibri"/>
                <w:color w:val="003D7C" w:themeColor="text2"/>
                <w:shd w:val="clear" w:color="auto" w:fill="B1D7FF" w:themeFill="accent2" w:themeFillTint="33"/>
              </w:rPr>
              <w:t xml:space="preserve"> </w:t>
            </w:r>
            <w:r w:rsidRPr="00D5747D">
              <w:rPr>
                <w:rFonts w:asciiTheme="minorHAnsi" w:hAnsiTheme="minorHAnsi" w:cs="Calibri"/>
                <w:b/>
                <w:bCs/>
                <w:color w:val="2D934F" w:themeColor="accent4"/>
                <w:shd w:val="clear" w:color="auto" w:fill="B1D7FF" w:themeFill="accent2" w:themeFillTint="33"/>
              </w:rPr>
              <w:t>R</w:t>
            </w:r>
          </w:p>
        </w:tc>
        <w:tc>
          <w:tcPr>
            <w:tcW w:w="1413" w:type="dxa"/>
          </w:tcPr>
          <w:p w14:paraId="7A7C3D2A"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w:t>
            </w:r>
          </w:p>
        </w:tc>
        <w:tc>
          <w:tcPr>
            <w:tcW w:w="992" w:type="dxa"/>
          </w:tcPr>
          <w:p w14:paraId="0B437729"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w:t>
            </w:r>
          </w:p>
        </w:tc>
        <w:tc>
          <w:tcPr>
            <w:tcW w:w="1418" w:type="dxa"/>
          </w:tcPr>
          <w:p w14:paraId="363F1FF6"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w:t>
            </w:r>
          </w:p>
        </w:tc>
      </w:tr>
      <w:tr w:rsidR="00EC79BD" w:rsidRPr="000C17EB" w14:paraId="75BBAFD6" w14:textId="77777777" w:rsidTr="00632FCC">
        <w:trPr>
          <w:trHeight w:val="412"/>
        </w:trPr>
        <w:tc>
          <w:tcPr>
            <w:cnfStyle w:val="001000000000" w:firstRow="0" w:lastRow="0" w:firstColumn="1" w:lastColumn="0" w:oddVBand="0" w:evenVBand="0" w:oddHBand="0" w:evenHBand="0" w:firstRowFirstColumn="0" w:firstRowLastColumn="0" w:lastRowFirstColumn="0" w:lastRowLastColumn="0"/>
            <w:tcW w:w="1354" w:type="dxa"/>
            <w:tcBorders>
              <w:top w:val="none" w:sz="0" w:space="0" w:color="auto"/>
              <w:left w:val="none" w:sz="0" w:space="0" w:color="auto"/>
              <w:bottom w:val="none" w:sz="0" w:space="0" w:color="auto"/>
            </w:tcBorders>
          </w:tcPr>
          <w:p w14:paraId="2BBE6319" w14:textId="77777777" w:rsidR="00EC79BD" w:rsidRDefault="00EC79BD" w:rsidP="00632FCC">
            <w:pPr>
              <w:pStyle w:val="Normal4"/>
              <w:spacing w:before="0" w:beforeAutospacing="0" w:after="0" w:afterAutospacing="0"/>
              <w:rPr>
                <w:rStyle w:val="Stark"/>
                <w:rFonts w:asciiTheme="minorHAnsi" w:eastAsiaTheme="minorEastAsia" w:hAnsiTheme="minorHAnsi" w:cs="Calibri"/>
                <w:b w:val="0"/>
                <w:i w:val="0"/>
                <w:iCs w:val="0"/>
                <w:color w:val="003D7C" w:themeColor="text2"/>
              </w:rPr>
            </w:pPr>
            <w:r w:rsidRPr="000C17EB">
              <w:rPr>
                <w:rStyle w:val="Stark"/>
                <w:rFonts w:asciiTheme="minorHAnsi" w:eastAsiaTheme="minorEastAsia" w:hAnsiTheme="minorHAnsi" w:cs="Calibri"/>
                <w:b w:val="0"/>
                <w:color w:val="003D7C" w:themeColor="text2"/>
              </w:rPr>
              <w:t>LAMA+</w:t>
            </w:r>
          </w:p>
          <w:p w14:paraId="41EC7685"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LABA</w:t>
            </w:r>
          </w:p>
        </w:tc>
        <w:tc>
          <w:tcPr>
            <w:tcW w:w="2190" w:type="dxa"/>
          </w:tcPr>
          <w:p w14:paraId="278BAE40"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formoterol+</w:t>
            </w:r>
          </w:p>
          <w:p w14:paraId="34A8903D"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b/>
                <w:bCs/>
                <w:color w:val="003D7C" w:themeColor="text2"/>
              </w:rPr>
              <w:t xml:space="preserve">aklidinium </w:t>
            </w:r>
            <w:r w:rsidRPr="000C17EB">
              <w:rPr>
                <w:rFonts w:asciiTheme="minorHAnsi" w:hAnsiTheme="minorHAnsi" w:cs="Calibri"/>
                <w:b/>
                <w:bCs/>
                <w:color w:val="003D7C" w:themeColor="text2"/>
              </w:rPr>
              <w:br/>
            </w:r>
            <w:r w:rsidRPr="000C17EB">
              <w:rPr>
                <w:rFonts w:asciiTheme="minorHAnsi" w:hAnsiTheme="minorHAnsi" w:cs="Calibri"/>
                <w:color w:val="003D7C" w:themeColor="text2"/>
              </w:rPr>
              <w:t xml:space="preserve">Duaklir Genuair </w:t>
            </w:r>
          </w:p>
          <w:p w14:paraId="41B23679"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color w:val="003D7C" w:themeColor="text2"/>
              </w:rPr>
            </w:pPr>
            <w:r w:rsidRPr="000C17EB">
              <w:rPr>
                <w:rStyle w:val="Stark"/>
                <w:rFonts w:asciiTheme="minorHAnsi" w:eastAsiaTheme="minorEastAsia" w:hAnsiTheme="minorHAnsi" w:cs="Calibri"/>
                <w:color w:val="003D7C" w:themeColor="text2"/>
              </w:rPr>
              <w:t>1x2</w:t>
            </w:r>
          </w:p>
        </w:tc>
        <w:tc>
          <w:tcPr>
            <w:tcW w:w="2126" w:type="dxa"/>
          </w:tcPr>
          <w:p w14:paraId="6CE09047"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olotarerol+</w:t>
            </w:r>
          </w:p>
          <w:p w14:paraId="7E0BE934"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Fonts w:asciiTheme="minorHAnsi" w:hAnsiTheme="minorHAnsi" w:cs="Calibri"/>
                <w:b/>
                <w:bCs/>
                <w:color w:val="003D7C" w:themeColor="text2"/>
              </w:rPr>
              <w:t xml:space="preserve">tiotropium </w:t>
            </w:r>
            <w:r w:rsidRPr="000C17EB">
              <w:rPr>
                <w:rFonts w:asciiTheme="minorHAnsi" w:hAnsiTheme="minorHAnsi" w:cs="Calibri"/>
                <w:b/>
                <w:bCs/>
                <w:color w:val="003D7C" w:themeColor="text2"/>
              </w:rPr>
              <w:br/>
            </w:r>
            <w:r w:rsidRPr="000C17EB">
              <w:rPr>
                <w:rFonts w:asciiTheme="minorHAnsi" w:hAnsiTheme="minorHAnsi" w:cs="Calibri"/>
                <w:color w:val="003D7C" w:themeColor="text2"/>
              </w:rPr>
              <w:t xml:space="preserve">Spiolto Respimat </w:t>
            </w:r>
            <w:r w:rsidRPr="000C17EB">
              <w:rPr>
                <w:rStyle w:val="Stark"/>
                <w:rFonts w:asciiTheme="minorHAnsi" w:eastAsiaTheme="minorEastAsia" w:hAnsiTheme="minorHAnsi" w:cs="Calibri"/>
                <w:color w:val="003D7C" w:themeColor="text2"/>
              </w:rPr>
              <w:t>1x2</w:t>
            </w:r>
            <w:r>
              <w:rPr>
                <w:rStyle w:val="Stark"/>
                <w:rFonts w:asciiTheme="minorHAnsi" w:eastAsiaTheme="minorEastAsia" w:hAnsiTheme="minorHAnsi" w:cs="Calibri"/>
                <w:color w:val="003D7C" w:themeColor="text2"/>
              </w:rPr>
              <w:t xml:space="preserve"> </w:t>
            </w:r>
            <w:r w:rsidRPr="00D5747D">
              <w:rPr>
                <w:rFonts w:asciiTheme="minorHAnsi" w:hAnsiTheme="minorHAnsi" w:cs="Calibri"/>
                <w:b/>
                <w:bCs/>
                <w:color w:val="2D934F" w:themeColor="accent4"/>
                <w:shd w:val="clear" w:color="auto" w:fill="FFFFFF" w:themeFill="background1"/>
              </w:rPr>
              <w:t>R</w:t>
            </w:r>
          </w:p>
        </w:tc>
        <w:tc>
          <w:tcPr>
            <w:tcW w:w="1413" w:type="dxa"/>
          </w:tcPr>
          <w:p w14:paraId="29FE6202"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w:t>
            </w:r>
          </w:p>
        </w:tc>
        <w:tc>
          <w:tcPr>
            <w:tcW w:w="992" w:type="dxa"/>
          </w:tcPr>
          <w:p w14:paraId="1F02B2C8"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w:t>
            </w:r>
          </w:p>
        </w:tc>
        <w:tc>
          <w:tcPr>
            <w:tcW w:w="1418" w:type="dxa"/>
          </w:tcPr>
          <w:p w14:paraId="45916425"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w:t>
            </w:r>
          </w:p>
        </w:tc>
      </w:tr>
      <w:tr w:rsidR="00EC79BD" w:rsidRPr="000C17EB" w14:paraId="092AE777" w14:textId="77777777" w:rsidTr="00632FCC">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354" w:type="dxa"/>
          </w:tcPr>
          <w:p w14:paraId="3C55A120" w14:textId="77777777" w:rsidR="00EC79BD" w:rsidRDefault="00EC79BD" w:rsidP="00632FCC">
            <w:pPr>
              <w:pStyle w:val="Normal4"/>
              <w:spacing w:before="0" w:beforeAutospacing="0" w:after="0" w:afterAutospacing="0"/>
              <w:rPr>
                <w:rStyle w:val="Stark"/>
                <w:rFonts w:asciiTheme="minorHAnsi" w:eastAsiaTheme="minorEastAsia" w:hAnsiTheme="minorHAnsi" w:cs="Calibri"/>
                <w:b w:val="0"/>
                <w:i w:val="0"/>
                <w:iCs w:val="0"/>
                <w:color w:val="003D7C" w:themeColor="text2"/>
              </w:rPr>
            </w:pPr>
            <w:r w:rsidRPr="000C17EB">
              <w:rPr>
                <w:rStyle w:val="Stark"/>
                <w:rFonts w:asciiTheme="minorHAnsi" w:eastAsiaTheme="minorEastAsia" w:hAnsiTheme="minorHAnsi" w:cs="Calibri"/>
                <w:b w:val="0"/>
                <w:color w:val="003D7C" w:themeColor="text2"/>
              </w:rPr>
              <w:t>ICS+</w:t>
            </w:r>
          </w:p>
          <w:p w14:paraId="3C13102F" w14:textId="77777777" w:rsidR="00EC79BD" w:rsidRDefault="00EC79BD" w:rsidP="00632FCC">
            <w:pPr>
              <w:pStyle w:val="Normal4"/>
              <w:spacing w:before="0" w:beforeAutospacing="0" w:after="0" w:afterAutospacing="0"/>
              <w:rPr>
                <w:rStyle w:val="Stark"/>
                <w:rFonts w:asciiTheme="minorHAnsi" w:eastAsiaTheme="minorEastAsia" w:hAnsiTheme="minorHAnsi" w:cs="Calibri"/>
                <w:b w:val="0"/>
                <w:i w:val="0"/>
                <w:iCs w:val="0"/>
                <w:color w:val="003D7C" w:themeColor="text2"/>
              </w:rPr>
            </w:pPr>
            <w:r w:rsidRPr="000C17EB">
              <w:rPr>
                <w:rStyle w:val="Stark"/>
                <w:rFonts w:asciiTheme="minorHAnsi" w:eastAsiaTheme="minorEastAsia" w:hAnsiTheme="minorHAnsi" w:cs="Calibri"/>
                <w:b w:val="0"/>
                <w:color w:val="003D7C" w:themeColor="text2"/>
              </w:rPr>
              <w:t>LAMA+</w:t>
            </w:r>
          </w:p>
          <w:p w14:paraId="4260A075"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Cs/>
                <w:color w:val="003D7C" w:themeColor="text2"/>
              </w:rPr>
            </w:pPr>
            <w:r w:rsidRPr="000C17EB">
              <w:rPr>
                <w:rStyle w:val="Stark"/>
                <w:rFonts w:asciiTheme="minorHAnsi" w:eastAsiaTheme="minorEastAsia" w:hAnsiTheme="minorHAnsi" w:cs="Calibri"/>
                <w:b w:val="0"/>
                <w:color w:val="003D7C" w:themeColor="text2"/>
              </w:rPr>
              <w:t>LABA</w:t>
            </w:r>
          </w:p>
          <w:p w14:paraId="0FF889FD"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p>
        </w:tc>
        <w:tc>
          <w:tcPr>
            <w:tcW w:w="2190" w:type="dxa"/>
          </w:tcPr>
          <w:p w14:paraId="4CD26E73" w14:textId="77777777" w:rsidR="00EC79B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bookmarkStart w:id="52" w:name="_Hlk148260556"/>
            <w:r w:rsidRPr="000C17EB">
              <w:rPr>
                <w:rStyle w:val="Stark"/>
                <w:rFonts w:asciiTheme="minorHAnsi" w:eastAsiaTheme="minorEastAsia" w:hAnsiTheme="minorHAnsi" w:cs="Calibri"/>
                <w:b w:val="0"/>
                <w:color w:val="003D7C" w:themeColor="text2"/>
              </w:rPr>
              <w:t>mometason+</w:t>
            </w:r>
          </w:p>
          <w:p w14:paraId="3FE40CD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glykopyrronium</w:t>
            </w:r>
            <w:r>
              <w:rPr>
                <w:rStyle w:val="Stark"/>
                <w:rFonts w:asciiTheme="minorHAnsi" w:eastAsiaTheme="minorEastAsia" w:hAnsiTheme="minorHAnsi" w:cs="Calibri"/>
                <w:b w:val="0"/>
                <w:color w:val="003D7C" w:themeColor="text2"/>
              </w:rPr>
              <w:t>+</w:t>
            </w:r>
          </w:p>
          <w:p w14:paraId="2ACC7C0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indakaterol</w:t>
            </w:r>
          </w:p>
          <w:bookmarkEnd w:id="52"/>
          <w:p w14:paraId="01BDF02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 xml:space="preserve">Enerzair 1x1  </w:t>
            </w:r>
          </w:p>
        </w:tc>
        <w:tc>
          <w:tcPr>
            <w:tcW w:w="2126" w:type="dxa"/>
          </w:tcPr>
          <w:p w14:paraId="6EB3E8EE"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06FBD29A"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05CB03CA"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585D0571" w14:textId="77777777" w:rsidR="00EC79B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03A6AE9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beklometason+</w:t>
            </w:r>
          </w:p>
          <w:p w14:paraId="2C83EDC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glykopyrronium</w:t>
            </w:r>
            <w:r>
              <w:rPr>
                <w:rStyle w:val="Stark"/>
                <w:rFonts w:asciiTheme="minorHAnsi" w:eastAsiaTheme="minorEastAsia" w:hAnsiTheme="minorHAnsi" w:cs="Calibri"/>
                <w:b w:val="0"/>
                <w:color w:val="003D7C" w:themeColor="text2"/>
              </w:rPr>
              <w:t>+</w:t>
            </w:r>
          </w:p>
          <w:p w14:paraId="5C46DEB6"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formoterol</w:t>
            </w:r>
          </w:p>
          <w:p w14:paraId="25DAD505"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Trimbow 2 ggr/d</w:t>
            </w:r>
          </w:p>
        </w:tc>
        <w:tc>
          <w:tcPr>
            <w:tcW w:w="1413" w:type="dxa"/>
          </w:tcPr>
          <w:p w14:paraId="572ADFAE"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62,5-200 µg</w:t>
            </w:r>
          </w:p>
          <w:p w14:paraId="22D3FF4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39F47A24" w14:textId="77777777" w:rsidR="00EC79B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72FE97E2"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100-200 µg</w:t>
            </w:r>
          </w:p>
        </w:tc>
        <w:tc>
          <w:tcPr>
            <w:tcW w:w="992" w:type="dxa"/>
          </w:tcPr>
          <w:p w14:paraId="2C15AD0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&gt;200-400 µg</w:t>
            </w:r>
          </w:p>
          <w:p w14:paraId="569B4C4B"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1ECAAAEC" w14:textId="77777777" w:rsidR="00EC79B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600BD2C2"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&gt;200-400 µg</w:t>
            </w:r>
          </w:p>
        </w:tc>
        <w:tc>
          <w:tcPr>
            <w:tcW w:w="1418" w:type="dxa"/>
          </w:tcPr>
          <w:p w14:paraId="40A1511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&gt;400µg</w:t>
            </w:r>
          </w:p>
          <w:p w14:paraId="07AFC4E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7D22AA6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p>
          <w:p w14:paraId="35F16B92" w14:textId="77777777" w:rsidR="00EC79B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p>
          <w:p w14:paraId="09B894A3"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&gt;400 µg</w:t>
            </w:r>
          </w:p>
        </w:tc>
      </w:tr>
    </w:tbl>
    <w:p w14:paraId="4F60F387" w14:textId="77777777" w:rsidR="007E0573" w:rsidRDefault="00EC79BD" w:rsidP="00EC79BD">
      <w:pPr>
        <w:rPr>
          <w:rFonts w:asciiTheme="minorHAnsi" w:hAnsiTheme="minorHAnsi"/>
          <w:b/>
          <w:bCs/>
          <w:color w:val="003D7C" w:themeColor="text2"/>
        </w:rPr>
      </w:pPr>
      <w:bookmarkStart w:id="53" w:name="_Antileukotriner_(Montelukast)"/>
      <w:bookmarkEnd w:id="53"/>
      <w:r w:rsidRPr="00480A7D">
        <w:rPr>
          <w:rFonts w:asciiTheme="minorHAnsi" w:hAnsiTheme="minorHAnsi"/>
          <w:b/>
          <w:bCs/>
          <w:color w:val="2D934F" w:themeColor="accent4"/>
        </w:rPr>
        <w:t>M</w:t>
      </w:r>
      <w:r>
        <w:rPr>
          <w:rFonts w:asciiTheme="minorHAnsi" w:hAnsiTheme="minorHAnsi"/>
          <w:b/>
          <w:bCs/>
          <w:color w:val="2D934F" w:themeColor="accent4"/>
        </w:rPr>
        <w:t xml:space="preserve"> </w:t>
      </w:r>
      <w:r>
        <w:rPr>
          <w:rFonts w:asciiTheme="minorHAnsi" w:hAnsiTheme="minorHAnsi"/>
        </w:rPr>
        <w:t>–</w:t>
      </w:r>
      <w:r>
        <w:rPr>
          <w:rFonts w:asciiTheme="minorHAnsi" w:hAnsiTheme="minorHAnsi"/>
          <w:b/>
          <w:bCs/>
          <w:color w:val="2D934F" w:themeColor="accent4"/>
        </w:rPr>
        <w:t xml:space="preserve"> </w:t>
      </w:r>
      <w:r w:rsidRPr="00480A7D">
        <w:rPr>
          <w:rFonts w:asciiTheme="minorHAnsi" w:hAnsiTheme="minorHAnsi"/>
        </w:rPr>
        <w:t>Inneh</w:t>
      </w:r>
      <w:r>
        <w:rPr>
          <w:rFonts w:asciiTheme="minorHAnsi" w:hAnsiTheme="minorHAnsi"/>
        </w:rPr>
        <w:t xml:space="preserve">åller inte </w:t>
      </w:r>
      <w:hyperlink w:anchor="_ORDLISTA" w:history="1">
        <w:r w:rsidRPr="00B949BB">
          <w:rPr>
            <w:rStyle w:val="Hyperlnk"/>
            <w:rFonts w:asciiTheme="minorHAnsi" w:hAnsiTheme="minorHAnsi"/>
            <w:color w:val="B46400" w:themeColor="accent6" w:themeShade="BF"/>
          </w:rPr>
          <w:t>HFC</w:t>
        </w:r>
      </w:hyperlink>
      <w:r>
        <w:rPr>
          <w:rFonts w:asciiTheme="minorHAnsi" w:hAnsiTheme="minorHAnsi"/>
        </w:rPr>
        <w:t xml:space="preserve">, miljömässigt bättre alternativ </w:t>
      </w:r>
      <w:r w:rsidRPr="00D5747D">
        <w:rPr>
          <w:rFonts w:asciiTheme="minorHAnsi" w:hAnsiTheme="minorHAnsi"/>
          <w:b/>
          <w:bCs/>
          <w:color w:val="2D934F" w:themeColor="accent4"/>
        </w:rPr>
        <w:t>R</w:t>
      </w:r>
      <w:r w:rsidRPr="00454967">
        <w:rPr>
          <w:rFonts w:asciiTheme="minorHAnsi" w:hAnsiTheme="minorHAnsi"/>
          <w:b/>
          <w:bCs/>
          <w:color w:val="003D7C" w:themeColor="text2"/>
        </w:rPr>
        <w:t xml:space="preserve"> </w:t>
      </w:r>
      <w:r>
        <w:rPr>
          <w:rFonts w:asciiTheme="minorHAnsi" w:hAnsiTheme="minorHAnsi"/>
          <w:color w:val="000000" w:themeColor="text1"/>
        </w:rPr>
        <w:t>–</w:t>
      </w:r>
      <w:r w:rsidRPr="00454967">
        <w:rPr>
          <w:rFonts w:asciiTheme="minorHAnsi" w:hAnsiTheme="minorHAnsi"/>
          <w:color w:val="000000" w:themeColor="text1"/>
        </w:rPr>
        <w:t xml:space="preserve"> </w:t>
      </w:r>
      <w:r>
        <w:rPr>
          <w:rFonts w:asciiTheme="minorHAnsi" w:hAnsiTheme="minorHAnsi"/>
          <w:color w:val="000000" w:themeColor="text1"/>
        </w:rPr>
        <w:t>Refillalternativ finns</w:t>
      </w:r>
    </w:p>
    <w:p w14:paraId="4A98928F" w14:textId="67C103B1" w:rsidR="00EC79BD" w:rsidRPr="002978E8" w:rsidRDefault="00EC79BD" w:rsidP="002978E8">
      <w:pPr>
        <w:rPr>
          <w:rFonts w:asciiTheme="minorHAnsi" w:hAnsiTheme="minorHAnsi"/>
          <w:b/>
          <w:bCs/>
          <w:color w:val="003D7C" w:themeColor="text2"/>
        </w:rPr>
      </w:pPr>
      <w:r w:rsidRPr="00055DAD">
        <w:rPr>
          <w:rFonts w:asciiTheme="minorHAnsi" w:hAnsiTheme="minorHAnsi"/>
          <w:b/>
          <w:bCs/>
        </w:rPr>
        <w:lastRenderedPageBreak/>
        <w:t>Obs! I första hand prioriteras patientens inhalationsförmåga och preferens</w:t>
      </w:r>
      <w:r>
        <w:rPr>
          <w:rFonts w:asciiTheme="minorHAnsi" w:hAnsiTheme="minorHAnsi"/>
          <w:b/>
          <w:bCs/>
        </w:rPr>
        <w:br/>
      </w:r>
    </w:p>
    <w:p w14:paraId="5A3B5ADA" w14:textId="77777777" w:rsidR="00EC79BD" w:rsidRPr="00570409" w:rsidRDefault="00EC79BD" w:rsidP="00EC79BD">
      <w:pPr>
        <w:pStyle w:val="Rubrik3"/>
        <w:rPr>
          <w:rFonts w:asciiTheme="minorHAnsi" w:hAnsiTheme="minorHAnsi" w:cs="Calibri"/>
          <w:szCs w:val="24"/>
        </w:rPr>
      </w:pPr>
      <w:r w:rsidRPr="00570409">
        <w:rPr>
          <w:rFonts w:asciiTheme="minorHAnsi" w:hAnsiTheme="minorHAnsi" w:cs="Calibri"/>
          <w:szCs w:val="24"/>
        </w:rPr>
        <w:t>Antileukotriner (Montelukast)</w:t>
      </w:r>
    </w:p>
    <w:p w14:paraId="32195468" w14:textId="77777777" w:rsidR="00EC79BD" w:rsidRPr="000C17EB" w:rsidRDefault="00EC79BD" w:rsidP="00EC79BD">
      <w:pPr>
        <w:pStyle w:val="Normal4"/>
        <w:numPr>
          <w:ilvl w:val="0"/>
          <w:numId w:val="90"/>
        </w:numPr>
        <w:spacing w:before="0" w:beforeAutospacing="0" w:after="0" w:afterAutospacing="0"/>
        <w:rPr>
          <w:rFonts w:asciiTheme="minorHAnsi" w:hAnsiTheme="minorHAnsi" w:cs="Calibri"/>
          <w:color w:val="404040"/>
        </w:rPr>
      </w:pPr>
      <w:r w:rsidRPr="000C17EB">
        <w:rPr>
          <w:rFonts w:asciiTheme="minorHAnsi" w:hAnsiTheme="minorHAnsi" w:cs="Calibri"/>
          <w:color w:val="404040"/>
        </w:rPr>
        <w:t xml:space="preserve">Sämre än </w:t>
      </w:r>
      <w:hyperlink w:anchor="_ORDLISTA" w:history="1">
        <w:r w:rsidRPr="000C17EB">
          <w:rPr>
            <w:rStyle w:val="Hyperlnk"/>
            <w:rFonts w:asciiTheme="minorHAnsi" w:hAnsiTheme="minorHAnsi" w:cs="Calibri"/>
            <w:color w:val="B46400" w:themeColor="accent6" w:themeShade="BF"/>
          </w:rPr>
          <w:t>ICS</w:t>
        </w:r>
      </w:hyperlink>
      <w:r w:rsidRPr="000C17EB">
        <w:rPr>
          <w:rFonts w:asciiTheme="minorHAnsi" w:hAnsiTheme="minorHAnsi" w:cs="Calibri"/>
          <w:color w:val="404040"/>
        </w:rPr>
        <w:t xml:space="preserve"> som monoterapi vid lindrig och medelsvår astma, minskar inte risken för exacerbationer lika mycket som ICS </w:t>
      </w:r>
    </w:p>
    <w:p w14:paraId="10C7F340" w14:textId="77777777" w:rsidR="00EC79BD" w:rsidRPr="000C17EB" w:rsidRDefault="00EC79BD" w:rsidP="00EC79BD">
      <w:pPr>
        <w:pStyle w:val="Normal4"/>
        <w:numPr>
          <w:ilvl w:val="0"/>
          <w:numId w:val="90"/>
        </w:numPr>
        <w:spacing w:before="0" w:beforeAutospacing="0" w:after="0" w:afterAutospacing="0"/>
        <w:rPr>
          <w:rFonts w:asciiTheme="minorHAnsi" w:hAnsiTheme="minorHAnsi" w:cs="Calibri"/>
          <w:color w:val="404040"/>
        </w:rPr>
      </w:pPr>
      <w:r w:rsidRPr="000C17EB">
        <w:rPr>
          <w:rFonts w:asciiTheme="minorHAnsi" w:hAnsiTheme="minorHAnsi" w:cs="Calibri"/>
          <w:color w:val="404040"/>
        </w:rPr>
        <w:t>Används som eventuell tilläggsmedicin utöver grundbehandling vid steg 3-5</w:t>
      </w:r>
    </w:p>
    <w:p w14:paraId="61CB8D14" w14:textId="77777777" w:rsidR="00EC79BD" w:rsidRPr="000C17EB" w:rsidRDefault="00EC79BD" w:rsidP="00EC79BD">
      <w:pPr>
        <w:pStyle w:val="Normal4"/>
        <w:numPr>
          <w:ilvl w:val="0"/>
          <w:numId w:val="90"/>
        </w:numPr>
        <w:spacing w:before="0" w:beforeAutospacing="0" w:after="0" w:afterAutospacing="0"/>
        <w:rPr>
          <w:rFonts w:asciiTheme="minorHAnsi" w:hAnsiTheme="minorHAnsi" w:cs="Calibri"/>
          <w:color w:val="404040"/>
        </w:rPr>
      </w:pPr>
      <w:r w:rsidRPr="000C17EB">
        <w:rPr>
          <w:rFonts w:asciiTheme="minorHAnsi" w:hAnsiTheme="minorHAnsi" w:cs="Calibri"/>
          <w:color w:val="404040"/>
        </w:rPr>
        <w:t>Utvärderas efter cirka fyra veckor då behandlingssvaret ofta är oförutsägbart</w:t>
      </w:r>
      <w:r>
        <w:rPr>
          <w:rFonts w:asciiTheme="minorHAnsi" w:hAnsiTheme="minorHAnsi" w:cs="Calibri"/>
          <w:color w:val="404040"/>
        </w:rPr>
        <w:t xml:space="preserve"> och till exempel </w:t>
      </w:r>
      <w:r w:rsidRPr="00E110C7">
        <w:rPr>
          <w:rFonts w:asciiTheme="minorHAnsi" w:hAnsiTheme="minorHAnsi" w:cs="Calibri"/>
          <w:color w:val="000000" w:themeColor="text1"/>
        </w:rPr>
        <w:t>psykiska biverkningar förekommer</w:t>
      </w:r>
      <w:r>
        <w:rPr>
          <w:rFonts w:asciiTheme="minorHAnsi" w:hAnsiTheme="minorHAnsi" w:cs="Calibri"/>
          <w:color w:val="000000" w:themeColor="text1"/>
        </w:rPr>
        <w:t xml:space="preserve">. </w:t>
      </w:r>
      <w:r w:rsidRPr="00E110C7">
        <w:rPr>
          <w:rFonts w:asciiTheme="minorHAnsi" w:hAnsiTheme="minorHAnsi" w:cs="Calibri"/>
          <w:color w:val="404040"/>
        </w:rPr>
        <w:t xml:space="preserve"> </w:t>
      </w:r>
    </w:p>
    <w:p w14:paraId="58F02642" w14:textId="77777777" w:rsidR="00EC79BD" w:rsidRPr="000C17EB" w:rsidRDefault="00EC79BD" w:rsidP="00EC79BD">
      <w:pPr>
        <w:pStyle w:val="Normal4"/>
        <w:numPr>
          <w:ilvl w:val="0"/>
          <w:numId w:val="90"/>
        </w:numPr>
        <w:spacing w:before="0" w:beforeAutospacing="0" w:after="0" w:afterAutospacing="0"/>
        <w:rPr>
          <w:rFonts w:asciiTheme="minorHAnsi" w:hAnsiTheme="minorHAnsi" w:cs="Calibri"/>
          <w:color w:val="404040"/>
        </w:rPr>
      </w:pPr>
      <w:r w:rsidRPr="000C17EB">
        <w:rPr>
          <w:rFonts w:asciiTheme="minorHAnsi" w:hAnsiTheme="minorHAnsi" w:cs="Calibri"/>
          <w:color w:val="404040"/>
        </w:rPr>
        <w:t xml:space="preserve">Flera studier talar för att olika astmafenotyper svarar olika på </w:t>
      </w:r>
      <w:hyperlink w:anchor="_ORDLISTA" w:history="1">
        <w:r w:rsidRPr="000C17EB">
          <w:rPr>
            <w:rStyle w:val="Hyperlnk"/>
            <w:rFonts w:asciiTheme="minorHAnsi" w:hAnsiTheme="minorHAnsi" w:cs="Calibri"/>
            <w:color w:val="B46400" w:themeColor="accent6" w:themeShade="BF"/>
          </w:rPr>
          <w:t>LTRA</w:t>
        </w:r>
      </w:hyperlink>
      <w:r w:rsidRPr="000C17EB">
        <w:rPr>
          <w:rFonts w:asciiTheme="minorHAnsi" w:hAnsiTheme="minorHAnsi" w:cs="Calibri"/>
          <w:color w:val="404040"/>
        </w:rPr>
        <w:t>-behandling (speciellt effektivt vid ansträngningsutlöst astma, astma med samtidig allergisk rinit, astma och obesitas, astma hos rökare, aspirinutlöst luftvägssjukdom och virusinducerat pip/väs i luftrören)</w:t>
      </w:r>
    </w:p>
    <w:p w14:paraId="0FF8A4B2" w14:textId="77777777" w:rsidR="00EC79BD" w:rsidRPr="000C17EB" w:rsidRDefault="00EC79BD" w:rsidP="00EC79BD">
      <w:pPr>
        <w:pStyle w:val="Normal4"/>
        <w:numPr>
          <w:ilvl w:val="0"/>
          <w:numId w:val="90"/>
        </w:numPr>
        <w:spacing w:before="0" w:beforeAutospacing="0" w:after="0" w:afterAutospacing="0"/>
        <w:rPr>
          <w:rFonts w:asciiTheme="minorHAnsi" w:hAnsiTheme="minorHAnsi" w:cs="Calibri"/>
          <w:color w:val="404040"/>
        </w:rPr>
      </w:pPr>
      <w:r w:rsidRPr="000C17EB">
        <w:rPr>
          <w:rFonts w:asciiTheme="minorHAnsi" w:hAnsiTheme="minorHAnsi" w:cs="Calibri"/>
          <w:color w:val="404040"/>
        </w:rPr>
        <w:t xml:space="preserve">Kan vara effektivt vid </w:t>
      </w:r>
      <w:r>
        <w:rPr>
          <w:rFonts w:asciiTheme="minorHAnsi" w:hAnsiTheme="minorHAnsi" w:cs="Calibri"/>
          <w:color w:val="404040"/>
        </w:rPr>
        <w:t>’</w:t>
      </w:r>
      <w:r w:rsidRPr="000C17EB">
        <w:rPr>
          <w:rFonts w:asciiTheme="minorHAnsi" w:hAnsiTheme="minorHAnsi" w:cs="Calibri"/>
          <w:i/>
          <w:iCs/>
          <w:color w:val="404040"/>
        </w:rPr>
        <w:t>cough-variant asthma</w:t>
      </w:r>
      <w:r>
        <w:rPr>
          <w:rFonts w:asciiTheme="minorHAnsi" w:hAnsiTheme="minorHAnsi" w:cs="Calibri"/>
          <w:i/>
          <w:iCs/>
          <w:color w:val="404040"/>
        </w:rPr>
        <w:t>’</w:t>
      </w:r>
    </w:p>
    <w:p w14:paraId="50D2F7A9" w14:textId="77777777" w:rsidR="00EC79BD" w:rsidRPr="000C17EB" w:rsidRDefault="00EC79BD" w:rsidP="00EC79BD">
      <w:pPr>
        <w:pStyle w:val="Normal4"/>
        <w:numPr>
          <w:ilvl w:val="0"/>
          <w:numId w:val="90"/>
        </w:numPr>
        <w:spacing w:before="0" w:beforeAutospacing="0" w:after="0" w:afterAutospacing="0"/>
        <w:rPr>
          <w:rFonts w:asciiTheme="minorHAnsi" w:hAnsiTheme="minorHAnsi" w:cs="Calibri"/>
          <w:color w:val="404040"/>
        </w:rPr>
      </w:pPr>
      <w:r w:rsidRPr="000C17EB">
        <w:rPr>
          <w:rFonts w:asciiTheme="minorHAnsi" w:hAnsiTheme="minorHAnsi" w:cs="Calibri"/>
          <w:color w:val="404040"/>
        </w:rPr>
        <w:t>Indikation finns för förebyggande av ansträngningsutlöst astma</w:t>
      </w:r>
    </w:p>
    <w:p w14:paraId="4873F4AC" w14:textId="77777777" w:rsidR="00EC79BD" w:rsidRPr="000C17EB" w:rsidRDefault="00EC79BD" w:rsidP="00EC79BD">
      <w:pPr>
        <w:pStyle w:val="Normal4"/>
        <w:spacing w:before="0" w:beforeAutospacing="0" w:after="0" w:afterAutospacing="0"/>
        <w:rPr>
          <w:rFonts w:asciiTheme="minorHAnsi" w:hAnsiTheme="minorHAnsi" w:cs="Calibri"/>
          <w:color w:val="404040"/>
        </w:rPr>
      </w:pPr>
      <w:r w:rsidRPr="000C17EB">
        <w:rPr>
          <w:rFonts w:asciiTheme="minorHAnsi" w:hAnsiTheme="minorHAnsi" w:cs="Calibri"/>
          <w:color w:val="404040"/>
        </w:rPr>
        <w:t xml:space="preserve"> </w:t>
      </w:r>
      <w:bookmarkStart w:id="54" w:name="_Toc150457989"/>
    </w:p>
    <w:p w14:paraId="237E4201" w14:textId="77777777" w:rsidR="00EC79BD" w:rsidRPr="00570409" w:rsidRDefault="00EC79BD" w:rsidP="00EC79BD">
      <w:pPr>
        <w:pStyle w:val="Normal4"/>
        <w:spacing w:before="0" w:beforeAutospacing="0" w:after="0" w:afterAutospacing="0"/>
        <w:rPr>
          <w:rStyle w:val="Stark"/>
          <w:rFonts w:asciiTheme="minorHAnsi" w:eastAsiaTheme="minorEastAsia" w:hAnsiTheme="minorHAnsi"/>
        </w:rPr>
      </w:pPr>
      <w:r w:rsidRPr="00570409">
        <w:rPr>
          <w:rStyle w:val="Stark"/>
          <w:rFonts w:asciiTheme="minorHAnsi" w:eastAsiaTheme="minorEastAsia" w:hAnsiTheme="minorHAnsi"/>
        </w:rPr>
        <w:t>Behandling på lungkliniken</w:t>
      </w:r>
      <w:bookmarkEnd w:id="54"/>
      <w:r w:rsidRPr="00570409">
        <w:rPr>
          <w:rStyle w:val="Stark"/>
          <w:rFonts w:asciiTheme="minorHAnsi" w:eastAsiaTheme="minorEastAsia" w:hAnsiTheme="minorHAnsi"/>
        </w:rPr>
        <w:t xml:space="preserve">  </w:t>
      </w:r>
    </w:p>
    <w:p w14:paraId="3DB6D9D5" w14:textId="77777777" w:rsidR="00EC79BD" w:rsidRPr="000C17EB" w:rsidRDefault="00EC79BD" w:rsidP="00EC79BD">
      <w:pPr>
        <w:pStyle w:val="Normal4"/>
        <w:numPr>
          <w:ilvl w:val="0"/>
          <w:numId w:val="91"/>
        </w:numPr>
        <w:spacing w:before="0" w:beforeAutospacing="0" w:after="0" w:afterAutospacing="0" w:line="276" w:lineRule="auto"/>
        <w:rPr>
          <w:rFonts w:asciiTheme="minorHAnsi" w:hAnsiTheme="minorHAnsi" w:cs="Calibri"/>
          <w:color w:val="404040"/>
        </w:rPr>
      </w:pPr>
      <w:r w:rsidRPr="000C17EB">
        <w:rPr>
          <w:rFonts w:asciiTheme="minorHAnsi" w:hAnsiTheme="minorHAnsi" w:cs="Calibri"/>
          <w:color w:val="404040"/>
        </w:rPr>
        <w:t>Anti-IgE</w:t>
      </w:r>
    </w:p>
    <w:p w14:paraId="2ACFA66F" w14:textId="77777777" w:rsidR="00EC79BD" w:rsidRPr="000C17EB" w:rsidRDefault="00EC79BD" w:rsidP="00EC79BD">
      <w:pPr>
        <w:pStyle w:val="Normal4"/>
        <w:numPr>
          <w:ilvl w:val="0"/>
          <w:numId w:val="91"/>
        </w:numPr>
        <w:spacing w:before="0" w:beforeAutospacing="0" w:after="0" w:afterAutospacing="0" w:line="276" w:lineRule="auto"/>
        <w:rPr>
          <w:rFonts w:asciiTheme="minorHAnsi" w:hAnsiTheme="minorHAnsi" w:cs="Calibri"/>
          <w:color w:val="404040"/>
        </w:rPr>
      </w:pPr>
      <w:r w:rsidRPr="000C17EB">
        <w:rPr>
          <w:rFonts w:asciiTheme="minorHAnsi" w:hAnsiTheme="minorHAnsi" w:cs="Calibri"/>
          <w:color w:val="404040"/>
        </w:rPr>
        <w:t xml:space="preserve">Orala kortikosteroider </w:t>
      </w:r>
    </w:p>
    <w:p w14:paraId="7B30B2EF" w14:textId="77777777" w:rsidR="00EC79BD" w:rsidRPr="000C17EB" w:rsidRDefault="00EC79BD" w:rsidP="00EC79BD">
      <w:pPr>
        <w:pStyle w:val="Normal4"/>
        <w:numPr>
          <w:ilvl w:val="0"/>
          <w:numId w:val="91"/>
        </w:numPr>
        <w:spacing w:before="0" w:beforeAutospacing="0" w:after="0" w:afterAutospacing="0" w:line="276" w:lineRule="auto"/>
        <w:rPr>
          <w:rFonts w:asciiTheme="minorHAnsi" w:hAnsiTheme="minorHAnsi" w:cs="Calibri"/>
          <w:color w:val="404040"/>
        </w:rPr>
      </w:pPr>
      <w:r w:rsidRPr="000C17EB">
        <w:rPr>
          <w:rFonts w:asciiTheme="minorHAnsi" w:hAnsiTheme="minorHAnsi" w:cs="Calibri"/>
          <w:color w:val="404040"/>
        </w:rPr>
        <w:t xml:space="preserve">Azithromycin </w:t>
      </w:r>
    </w:p>
    <w:p w14:paraId="164D6706" w14:textId="77777777" w:rsidR="00EC79BD" w:rsidRPr="000C17EB" w:rsidRDefault="00EC79BD" w:rsidP="00EC79BD">
      <w:pPr>
        <w:pStyle w:val="Normal4"/>
        <w:numPr>
          <w:ilvl w:val="0"/>
          <w:numId w:val="91"/>
        </w:numPr>
        <w:spacing w:before="0" w:beforeAutospacing="0" w:after="0" w:afterAutospacing="0" w:line="276" w:lineRule="auto"/>
        <w:rPr>
          <w:rFonts w:asciiTheme="minorHAnsi" w:hAnsiTheme="minorHAnsi" w:cs="Calibri"/>
          <w:color w:val="404040"/>
        </w:rPr>
      </w:pPr>
      <w:r w:rsidRPr="000C17EB">
        <w:rPr>
          <w:rFonts w:asciiTheme="minorHAnsi" w:hAnsiTheme="minorHAnsi" w:cs="Calibri"/>
          <w:color w:val="404040"/>
        </w:rPr>
        <w:t xml:space="preserve">Nebulisator </w:t>
      </w:r>
    </w:p>
    <w:p w14:paraId="32760FBF" w14:textId="77777777" w:rsidR="00EC79BD" w:rsidRPr="00570409" w:rsidRDefault="00EC79BD" w:rsidP="00EC79BD">
      <w:pPr>
        <w:pStyle w:val="Rubrik3"/>
        <w:rPr>
          <w:rFonts w:asciiTheme="minorHAnsi" w:hAnsiTheme="minorHAnsi" w:cs="Calibri"/>
          <w:szCs w:val="24"/>
        </w:rPr>
      </w:pPr>
      <w:bookmarkStart w:id="55" w:name="_Toc150457990"/>
      <w:r w:rsidRPr="00570409">
        <w:rPr>
          <w:rFonts w:asciiTheme="minorHAnsi" w:hAnsiTheme="minorHAnsi" w:cs="Calibri"/>
          <w:szCs w:val="24"/>
        </w:rPr>
        <w:t>Graviditet och amning</w:t>
      </w:r>
      <w:bookmarkEnd w:id="55"/>
    </w:p>
    <w:p w14:paraId="7646DF8F" w14:textId="77777777" w:rsidR="00EC79BD" w:rsidRPr="000C17EB" w:rsidRDefault="00EC79BD" w:rsidP="00EC79BD">
      <w:pPr>
        <w:pStyle w:val="Normal4"/>
        <w:spacing w:before="0" w:beforeAutospacing="0" w:after="240" w:afterAutospacing="0"/>
        <w:rPr>
          <w:rFonts w:asciiTheme="minorHAnsi" w:hAnsiTheme="minorHAnsi" w:cs="Calibri"/>
          <w:color w:val="404040"/>
        </w:rPr>
      </w:pPr>
      <w:r w:rsidRPr="000C17EB">
        <w:rPr>
          <w:rFonts w:asciiTheme="minorHAnsi" w:hAnsiTheme="minorHAnsi" w:cs="Calibri"/>
          <w:color w:val="404040"/>
        </w:rPr>
        <w:t xml:space="preserve">Astma under </w:t>
      </w:r>
      <w:r w:rsidRPr="000C17EB">
        <w:rPr>
          <w:rStyle w:val="Stark"/>
          <w:rFonts w:asciiTheme="minorHAnsi" w:eastAsiaTheme="minorEastAsia" w:hAnsiTheme="minorHAnsi" w:cs="Calibri"/>
          <w:color w:val="404040"/>
        </w:rPr>
        <w:t>graviditet</w:t>
      </w:r>
      <w:r w:rsidRPr="000C17EB">
        <w:rPr>
          <w:rFonts w:asciiTheme="minorHAnsi" w:hAnsiTheme="minorHAnsi" w:cs="Calibri"/>
          <w:color w:val="404040"/>
        </w:rPr>
        <w:t xml:space="preserve"> och </w:t>
      </w:r>
      <w:r w:rsidRPr="000C17EB">
        <w:rPr>
          <w:rStyle w:val="Stark"/>
          <w:rFonts w:asciiTheme="minorHAnsi" w:eastAsiaTheme="minorEastAsia" w:hAnsiTheme="minorHAnsi" w:cs="Calibri"/>
          <w:color w:val="404040"/>
        </w:rPr>
        <w:t>amning</w:t>
      </w:r>
      <w:r w:rsidRPr="000C17EB">
        <w:rPr>
          <w:rFonts w:asciiTheme="minorHAnsi" w:hAnsiTheme="minorHAnsi" w:cs="Calibri"/>
          <w:color w:val="404040"/>
        </w:rPr>
        <w:t xml:space="preserve"> ska inte behandlas annorlunda än annan astma och tidigare insatt behandling ska fortsätta. Dock rekommenderas inte nyinsättning av </w:t>
      </w:r>
      <w:hyperlink w:anchor="_ORDLISTA" w:history="1">
        <w:r w:rsidRPr="000C17EB">
          <w:rPr>
            <w:rStyle w:val="Hyperlnk"/>
            <w:rFonts w:asciiTheme="minorHAnsi" w:hAnsiTheme="minorHAnsi" w:cs="Calibri"/>
            <w:color w:val="B46400" w:themeColor="accent6" w:themeShade="BF"/>
          </w:rPr>
          <w:t>LTRA</w:t>
        </w:r>
      </w:hyperlink>
      <w:r w:rsidRPr="000C17EB">
        <w:rPr>
          <w:rFonts w:asciiTheme="minorHAnsi" w:hAnsiTheme="minorHAnsi" w:cs="Calibri"/>
          <w:color w:val="404040"/>
        </w:rPr>
        <w:t>.</w:t>
      </w:r>
    </w:p>
    <w:p w14:paraId="17FB749A" w14:textId="77777777" w:rsidR="00EC79BD" w:rsidRPr="00570409" w:rsidRDefault="00EC79BD" w:rsidP="00EC79BD">
      <w:pPr>
        <w:pStyle w:val="Rubrik3"/>
        <w:rPr>
          <w:rFonts w:asciiTheme="minorHAnsi" w:hAnsiTheme="minorHAnsi" w:cs="Calibri"/>
          <w:szCs w:val="24"/>
        </w:rPr>
      </w:pPr>
      <w:bookmarkStart w:id="56" w:name="_Toc150457991"/>
      <w:r w:rsidRPr="00570409">
        <w:rPr>
          <w:rFonts w:asciiTheme="minorHAnsi" w:hAnsiTheme="minorHAnsi" w:cs="Calibri"/>
          <w:szCs w:val="24"/>
        </w:rPr>
        <w:t>Akut behandling</w:t>
      </w:r>
      <w:bookmarkEnd w:id="56"/>
    </w:p>
    <w:p w14:paraId="24B4F0F8" w14:textId="77777777" w:rsidR="00EC79BD" w:rsidRPr="00570409" w:rsidRDefault="00EC79BD" w:rsidP="00EC79BD">
      <w:pPr>
        <w:rPr>
          <w:rFonts w:asciiTheme="minorHAnsi" w:hAnsiTheme="minorHAnsi" w:cs="Calibri"/>
          <w:b/>
          <w:bCs/>
        </w:rPr>
      </w:pPr>
      <w:hyperlink r:id="rId30" w:history="1">
        <w:r w:rsidRPr="00570409">
          <w:rPr>
            <w:rStyle w:val="Stark"/>
            <w:rFonts w:asciiTheme="minorHAnsi" w:hAnsiTheme="minorHAnsi"/>
            <w:b w:val="0"/>
            <w:bCs/>
          </w:rPr>
          <w:t>Akut-PM nära vård Blekinge</w:t>
        </w:r>
      </w:hyperlink>
    </w:p>
    <w:p w14:paraId="4C8D1656" w14:textId="77777777" w:rsidR="00EC79BD" w:rsidRPr="001F551E" w:rsidRDefault="00EC79BD" w:rsidP="00EC79BD">
      <w:pPr>
        <w:pStyle w:val="Rubrik3"/>
        <w:rPr>
          <w:rFonts w:cs="Calibri"/>
          <w:szCs w:val="24"/>
        </w:rPr>
      </w:pPr>
      <w:r w:rsidRPr="001F551E">
        <w:rPr>
          <w:rFonts w:cs="Calibri"/>
          <w:szCs w:val="24"/>
        </w:rPr>
        <w:t xml:space="preserve">Inhalationsteknik hos </w:t>
      </w:r>
      <w:r>
        <w:rPr>
          <w:rFonts w:cs="Calibri"/>
          <w:szCs w:val="24"/>
        </w:rPr>
        <w:t>vuxna</w:t>
      </w:r>
      <w:r w:rsidRPr="001F551E">
        <w:rPr>
          <w:rFonts w:cs="Calibri"/>
          <w:szCs w:val="24"/>
        </w:rPr>
        <w:t xml:space="preserve">               </w:t>
      </w:r>
    </w:p>
    <w:p w14:paraId="5B9EBC94" w14:textId="77777777" w:rsidR="00EC79BD" w:rsidRPr="00570409" w:rsidRDefault="00EC79BD" w:rsidP="00EC79BD">
      <w:pPr>
        <w:pStyle w:val="Rubrik3"/>
        <w:rPr>
          <w:rStyle w:val="Stark"/>
          <w:rFonts w:ascii="Garamond" w:hAnsi="Garamond"/>
          <w:b/>
          <w:bCs w:val="0"/>
          <w:u w:val="single"/>
        </w:rPr>
      </w:pPr>
      <w:r w:rsidRPr="00570409">
        <w:rPr>
          <w:rStyle w:val="Stark"/>
          <w:rFonts w:ascii="Garamond" w:hAnsi="Garamond"/>
          <w:b/>
          <w:u w:val="single"/>
        </w:rPr>
        <w:t>Andningsbehållare/spacers</w:t>
      </w:r>
    </w:p>
    <w:p w14:paraId="73B563B6" w14:textId="77777777" w:rsidR="00EC79BD" w:rsidRPr="000C17EB" w:rsidRDefault="00EC79BD" w:rsidP="00EC79BD">
      <w:pPr>
        <w:pStyle w:val="Oformateradtext"/>
        <w:numPr>
          <w:ilvl w:val="0"/>
          <w:numId w:val="81"/>
        </w:numPr>
        <w:rPr>
          <w:rFonts w:asciiTheme="minorHAnsi" w:hAnsiTheme="minorHAnsi"/>
          <w:szCs w:val="24"/>
        </w:rPr>
      </w:pPr>
      <w:r w:rsidRPr="000A374B">
        <w:rPr>
          <w:rFonts w:asciiTheme="minorHAnsi" w:hAnsiTheme="minorHAnsi"/>
          <w:szCs w:val="24"/>
        </w:rPr>
        <w:t>Optichamber Diamond</w:t>
      </w:r>
      <w:r w:rsidRPr="000C17EB">
        <w:rPr>
          <w:rFonts w:asciiTheme="minorHAnsi" w:hAnsiTheme="minorHAnsi"/>
          <w:szCs w:val="24"/>
        </w:rPr>
        <w:t xml:space="preserve"> </w:t>
      </w:r>
    </w:p>
    <w:p w14:paraId="10BF372E" w14:textId="77777777" w:rsidR="00EC79BD" w:rsidRPr="000C17EB" w:rsidRDefault="00EC79BD" w:rsidP="00EC79BD">
      <w:pPr>
        <w:pStyle w:val="Oformateradtext"/>
        <w:numPr>
          <w:ilvl w:val="1"/>
          <w:numId w:val="81"/>
        </w:numPr>
        <w:rPr>
          <w:rFonts w:asciiTheme="minorHAnsi" w:hAnsiTheme="minorHAnsi"/>
          <w:szCs w:val="24"/>
        </w:rPr>
      </w:pPr>
      <w:r w:rsidRPr="000C17EB">
        <w:rPr>
          <w:rFonts w:asciiTheme="minorHAnsi" w:hAnsiTheme="minorHAnsi"/>
          <w:szCs w:val="24"/>
        </w:rPr>
        <w:t>Med mask: 6 andetag/puff</w:t>
      </w:r>
    </w:p>
    <w:p w14:paraId="12B48F25" w14:textId="77777777" w:rsidR="00EC79BD" w:rsidRPr="000C17EB" w:rsidRDefault="00EC79BD" w:rsidP="00EC79BD">
      <w:pPr>
        <w:pStyle w:val="Oformateradtext"/>
        <w:numPr>
          <w:ilvl w:val="1"/>
          <w:numId w:val="81"/>
        </w:numPr>
        <w:rPr>
          <w:rFonts w:asciiTheme="minorHAnsi" w:hAnsiTheme="minorHAnsi"/>
          <w:szCs w:val="24"/>
        </w:rPr>
      </w:pPr>
      <w:r w:rsidRPr="000C17EB">
        <w:rPr>
          <w:rFonts w:asciiTheme="minorHAnsi" w:hAnsiTheme="minorHAnsi"/>
          <w:szCs w:val="24"/>
        </w:rPr>
        <w:t xml:space="preserve">Utan mask (enbart munstycke): 1 eller fler andetag/puff </w:t>
      </w:r>
    </w:p>
    <w:p w14:paraId="33E43118" w14:textId="77777777" w:rsidR="00EC79BD" w:rsidRPr="000C17EB" w:rsidRDefault="00EC79BD" w:rsidP="00EC79BD">
      <w:pPr>
        <w:pStyle w:val="Oformateradtext"/>
        <w:numPr>
          <w:ilvl w:val="0"/>
          <w:numId w:val="81"/>
        </w:numPr>
        <w:rPr>
          <w:rFonts w:asciiTheme="minorHAnsi" w:hAnsiTheme="minorHAnsi"/>
          <w:szCs w:val="24"/>
        </w:rPr>
      </w:pPr>
      <w:r w:rsidRPr="000A374B">
        <w:rPr>
          <w:rFonts w:asciiTheme="minorHAnsi" w:hAnsiTheme="minorHAnsi"/>
          <w:szCs w:val="24"/>
        </w:rPr>
        <w:t>Vortex</w:t>
      </w:r>
      <w:r w:rsidRPr="000C17EB">
        <w:rPr>
          <w:rFonts w:asciiTheme="minorHAnsi" w:hAnsiTheme="minorHAnsi"/>
          <w:i/>
          <w:iCs/>
          <w:szCs w:val="24"/>
        </w:rPr>
        <w:t xml:space="preserve"> </w:t>
      </w:r>
    </w:p>
    <w:p w14:paraId="543C3777" w14:textId="77777777" w:rsidR="00EC79BD" w:rsidRPr="00762D83" w:rsidRDefault="00EC79BD" w:rsidP="00EC79BD">
      <w:pPr>
        <w:pStyle w:val="Oformateradtext"/>
        <w:numPr>
          <w:ilvl w:val="1"/>
          <w:numId w:val="81"/>
        </w:numPr>
        <w:rPr>
          <w:rFonts w:asciiTheme="minorHAnsi" w:hAnsiTheme="minorHAnsi"/>
          <w:szCs w:val="24"/>
        </w:rPr>
      </w:pPr>
      <w:r w:rsidRPr="000C17EB">
        <w:rPr>
          <w:rFonts w:asciiTheme="minorHAnsi" w:hAnsiTheme="minorHAnsi"/>
          <w:szCs w:val="24"/>
        </w:rPr>
        <w:t xml:space="preserve">med mask: </w:t>
      </w:r>
      <w:r w:rsidRPr="00762D83">
        <w:rPr>
          <w:rFonts w:asciiTheme="minorHAnsi" w:hAnsiTheme="minorHAnsi"/>
          <w:szCs w:val="24"/>
        </w:rPr>
        <w:t>1-2 andetag/puff</w:t>
      </w:r>
    </w:p>
    <w:p w14:paraId="2528B097" w14:textId="77777777" w:rsidR="00EC79BD" w:rsidRPr="00762D83" w:rsidRDefault="00EC79BD" w:rsidP="00EC79BD">
      <w:pPr>
        <w:pStyle w:val="Oformateradtext"/>
        <w:numPr>
          <w:ilvl w:val="1"/>
          <w:numId w:val="81"/>
        </w:numPr>
        <w:rPr>
          <w:rFonts w:asciiTheme="minorHAnsi" w:hAnsiTheme="minorHAnsi"/>
          <w:szCs w:val="24"/>
        </w:rPr>
      </w:pPr>
      <w:r w:rsidRPr="000C17EB">
        <w:rPr>
          <w:rFonts w:asciiTheme="minorHAnsi" w:hAnsiTheme="minorHAnsi"/>
          <w:szCs w:val="24"/>
        </w:rPr>
        <w:t>Inhalation utan mask (enbart munstycke)</w:t>
      </w:r>
      <w:r>
        <w:rPr>
          <w:rFonts w:asciiTheme="minorHAnsi" w:hAnsiTheme="minorHAnsi"/>
          <w:szCs w:val="24"/>
        </w:rPr>
        <w:t>: 1 andetag/puff</w:t>
      </w:r>
    </w:p>
    <w:p w14:paraId="41DB3DE6" w14:textId="77777777" w:rsidR="002978E8" w:rsidRDefault="002978E8" w:rsidP="00EC79BD">
      <w:pPr>
        <w:pStyle w:val="Normal4"/>
        <w:spacing w:before="0" w:beforeAutospacing="0" w:after="240" w:afterAutospacing="0"/>
        <w:rPr>
          <w:rStyle w:val="Stark"/>
          <w:rFonts w:asciiTheme="minorHAnsi" w:eastAsiaTheme="minorEastAsia" w:hAnsiTheme="minorHAnsi"/>
          <w:bCs/>
        </w:rPr>
      </w:pPr>
    </w:p>
    <w:p w14:paraId="17167400" w14:textId="77777777" w:rsidR="002978E8" w:rsidRDefault="002978E8" w:rsidP="00EC79BD">
      <w:pPr>
        <w:pStyle w:val="Normal4"/>
        <w:spacing w:before="0" w:beforeAutospacing="0" w:after="240" w:afterAutospacing="0"/>
        <w:rPr>
          <w:rStyle w:val="Stark"/>
          <w:rFonts w:asciiTheme="minorHAnsi" w:eastAsiaTheme="minorEastAsia" w:hAnsiTheme="minorHAnsi"/>
          <w:bCs/>
        </w:rPr>
      </w:pPr>
    </w:p>
    <w:p w14:paraId="15CC045E" w14:textId="77777777" w:rsidR="002978E8" w:rsidRDefault="002978E8" w:rsidP="00EC79BD">
      <w:pPr>
        <w:pStyle w:val="Normal4"/>
        <w:spacing w:before="0" w:beforeAutospacing="0" w:after="240" w:afterAutospacing="0"/>
        <w:rPr>
          <w:rStyle w:val="Stark"/>
          <w:rFonts w:asciiTheme="minorHAnsi" w:eastAsiaTheme="minorEastAsia" w:hAnsiTheme="minorHAnsi"/>
          <w:bCs/>
        </w:rPr>
      </w:pPr>
    </w:p>
    <w:p w14:paraId="29488D3A" w14:textId="77777777" w:rsidR="002978E8" w:rsidRDefault="002978E8" w:rsidP="00EC79BD">
      <w:pPr>
        <w:pStyle w:val="Normal4"/>
        <w:spacing w:before="0" w:beforeAutospacing="0" w:after="240" w:afterAutospacing="0"/>
        <w:rPr>
          <w:rStyle w:val="Stark"/>
          <w:rFonts w:asciiTheme="minorHAnsi" w:eastAsiaTheme="minorEastAsia" w:hAnsiTheme="minorHAnsi"/>
          <w:bCs/>
        </w:rPr>
      </w:pPr>
    </w:p>
    <w:p w14:paraId="4C7B4DC5" w14:textId="77777777" w:rsidR="002978E8" w:rsidRDefault="002978E8" w:rsidP="00EC79BD">
      <w:pPr>
        <w:pStyle w:val="Normal4"/>
        <w:spacing w:before="0" w:beforeAutospacing="0" w:after="240" w:afterAutospacing="0"/>
        <w:rPr>
          <w:rStyle w:val="Stark"/>
          <w:rFonts w:asciiTheme="minorHAnsi" w:eastAsiaTheme="minorEastAsia" w:hAnsiTheme="minorHAnsi"/>
          <w:bCs/>
        </w:rPr>
      </w:pPr>
    </w:p>
    <w:p w14:paraId="250B5AF6" w14:textId="5F5EA20A" w:rsidR="00EC79BD" w:rsidRPr="00570409" w:rsidRDefault="00EC79BD" w:rsidP="00EC79BD">
      <w:pPr>
        <w:pStyle w:val="Normal4"/>
        <w:spacing w:before="0" w:beforeAutospacing="0" w:after="240" w:afterAutospacing="0"/>
        <w:rPr>
          <w:rStyle w:val="Stark"/>
          <w:rFonts w:asciiTheme="minorHAnsi" w:eastAsiaTheme="minorEastAsia" w:hAnsiTheme="minorHAnsi"/>
          <w:bCs/>
        </w:rPr>
      </w:pPr>
      <w:r w:rsidRPr="00570409">
        <w:rPr>
          <w:rStyle w:val="Stark"/>
          <w:rFonts w:asciiTheme="minorHAnsi" w:eastAsiaTheme="minorEastAsia" w:hAnsiTheme="minorHAnsi"/>
          <w:bCs/>
        </w:rPr>
        <w:lastRenderedPageBreak/>
        <w:t>Miljötips</w:t>
      </w:r>
    </w:p>
    <w:p w14:paraId="3FAD5B7F" w14:textId="77777777" w:rsidR="00EC79BD" w:rsidRDefault="00EC79BD" w:rsidP="00EC79BD">
      <w:pPr>
        <w:tabs>
          <w:tab w:val="clear" w:pos="284"/>
        </w:tabs>
        <w:spacing w:after="120" w:line="260" w:lineRule="atLeast"/>
        <w:rPr>
          <w:rFonts w:asciiTheme="minorHAnsi" w:hAnsiTheme="minorHAnsi" w:cs="Calibri"/>
        </w:rPr>
      </w:pPr>
      <w:r w:rsidRPr="00570409">
        <w:rPr>
          <w:rFonts w:asciiTheme="minorHAnsi" w:hAnsiTheme="minorHAnsi"/>
          <w:b/>
          <w:noProof/>
          <w:color w:val="404040"/>
        </w:rPr>
        <mc:AlternateContent>
          <mc:Choice Requires="wps">
            <w:drawing>
              <wp:anchor distT="0" distB="0" distL="114300" distR="114300" simplePos="0" relativeHeight="251767808" behindDoc="1" locked="0" layoutInCell="1" allowOverlap="1" wp14:anchorId="3B42D78B" wp14:editId="0E53C5F7">
                <wp:simplePos x="0" y="0"/>
                <wp:positionH relativeFrom="margin">
                  <wp:posOffset>402599</wp:posOffset>
                </wp:positionH>
                <wp:positionV relativeFrom="paragraph">
                  <wp:posOffset>-57166</wp:posOffset>
                </wp:positionV>
                <wp:extent cx="5295908" cy="2666010"/>
                <wp:effectExtent l="0" t="0" r="19050" b="20320"/>
                <wp:wrapThrough wrapText="bothSides">
                  <wp:wrapPolygon edited="0">
                    <wp:start x="1243" y="0"/>
                    <wp:lineTo x="622" y="617"/>
                    <wp:lineTo x="0" y="1852"/>
                    <wp:lineTo x="0" y="20067"/>
                    <wp:lineTo x="1010" y="21610"/>
                    <wp:lineTo x="1165" y="21610"/>
                    <wp:lineTo x="20435" y="21610"/>
                    <wp:lineTo x="20590" y="21610"/>
                    <wp:lineTo x="21600" y="20067"/>
                    <wp:lineTo x="21600" y="1852"/>
                    <wp:lineTo x="20745" y="154"/>
                    <wp:lineTo x="20357" y="0"/>
                    <wp:lineTo x="1243" y="0"/>
                  </wp:wrapPolygon>
                </wp:wrapThrough>
                <wp:docPr id="47" name="Rektangel: rundade hörn 47"/>
                <wp:cNvGraphicFramePr/>
                <a:graphic xmlns:a="http://schemas.openxmlformats.org/drawingml/2006/main">
                  <a:graphicData uri="http://schemas.microsoft.com/office/word/2010/wordprocessingShape">
                    <wps:wsp>
                      <wps:cNvSpPr/>
                      <wps:spPr>
                        <a:xfrm>
                          <a:off x="0" y="0"/>
                          <a:ext cx="5295908" cy="2666010"/>
                        </a:xfrm>
                        <a:prstGeom prst="roundRect">
                          <a:avLst/>
                        </a:prstGeom>
                        <a:solidFill>
                          <a:srgbClr val="98C21D">
                            <a:lumMod val="40000"/>
                            <a:lumOff val="60000"/>
                          </a:srgbClr>
                        </a:solidFill>
                        <a:ln w="25400" cap="flat" cmpd="sng" algn="ctr">
                          <a:solidFill>
                            <a:srgbClr val="98C21D">
                              <a:shade val="50000"/>
                            </a:srgbClr>
                          </a:solidFill>
                          <a:prstDash val="solid"/>
                        </a:ln>
                        <a:effectLst/>
                      </wps:spPr>
                      <wps:txbx>
                        <w:txbxContent>
                          <w:p w14:paraId="10B7126A" w14:textId="77777777" w:rsidR="00EC79BD" w:rsidRPr="00986AEE" w:rsidRDefault="00EC79BD" w:rsidP="00EC79BD">
                            <w:pPr>
                              <w:pStyle w:val="Rubrik3"/>
                              <w:spacing w:before="0"/>
                              <w:jc w:val="center"/>
                              <w:rPr>
                                <w:color w:val="164927" w:themeColor="accent4" w:themeShade="80"/>
                              </w:rPr>
                            </w:pPr>
                            <w:r w:rsidRPr="00986AEE">
                              <w:rPr>
                                <w:color w:val="2D934F" w:themeColor="accent4"/>
                              </w:rPr>
                              <w:t>MILJÖTIPS</w:t>
                            </w:r>
                            <w:r w:rsidRPr="00986AEE">
                              <w:rPr>
                                <w:color w:val="164927" w:themeColor="accent4" w:themeShade="80"/>
                              </w:rPr>
                              <w:br/>
                            </w:r>
                          </w:p>
                          <w:p w14:paraId="5A4A206F" w14:textId="77777777" w:rsidR="00EC79BD" w:rsidRPr="00986AEE" w:rsidRDefault="00EC79BD" w:rsidP="00EC79BD">
                            <w:pPr>
                              <w:pStyle w:val="Normal4"/>
                              <w:spacing w:before="0" w:beforeAutospacing="0" w:after="0" w:afterAutospacing="0"/>
                              <w:rPr>
                                <w:rFonts w:ascii="Garamond" w:hAnsi="Garamond" w:cs="Calibri"/>
                                <w:b/>
                                <w:bCs/>
                                <w:color w:val="000000" w:themeColor="text1"/>
                              </w:rPr>
                            </w:pPr>
                            <w:r w:rsidRPr="00986AEE">
                              <w:rPr>
                                <w:rFonts w:ascii="Garamond" w:hAnsi="Garamond" w:cs="Calibri"/>
                                <w:i/>
                                <w:iCs/>
                                <w:color w:val="404040"/>
                              </w:rPr>
                              <w:t>Spray med drivgas påverkar miljön betydligt mer än pulverinhalatorer på grund av att de innehåller</w:t>
                            </w:r>
                            <w:hyperlink w:anchor="_ORDLISTA" w:history="1">
                              <w:r w:rsidRPr="00986AEE">
                                <w:rPr>
                                  <w:rStyle w:val="Hyperlnk"/>
                                  <w:rFonts w:ascii="Garamond" w:hAnsi="Garamond" w:cs="Calibri"/>
                                  <w:i/>
                                  <w:iCs/>
                                  <w:color w:val="00A6E2" w:themeColor="accent1"/>
                                  <w:u w:val="none"/>
                                </w:rPr>
                                <w:t xml:space="preserve"> </w:t>
                              </w:r>
                              <w:r w:rsidRPr="00986AEE">
                                <w:rPr>
                                  <w:rStyle w:val="Hyperlnk"/>
                                  <w:rFonts w:ascii="Garamond" w:hAnsi="Garamond" w:cs="Calibri"/>
                                  <w:i/>
                                  <w:iCs/>
                                  <w:color w:val="B46400" w:themeColor="accent6" w:themeShade="BF"/>
                                </w:rPr>
                                <w:t>HFC</w:t>
                              </w:r>
                            </w:hyperlink>
                            <w:r w:rsidRPr="00986AEE">
                              <w:rPr>
                                <w:rFonts w:ascii="Garamond" w:hAnsi="Garamond" w:cs="Calibri"/>
                                <w:i/>
                                <w:iCs/>
                                <w:color w:val="404040"/>
                              </w:rPr>
                              <w:t xml:space="preserve">. </w:t>
                            </w:r>
                            <w:r>
                              <w:rPr>
                                <w:rFonts w:ascii="Garamond" w:hAnsi="Garamond" w:cs="Calibri"/>
                                <w:i/>
                                <w:iCs/>
                                <w:color w:val="404040"/>
                              </w:rPr>
                              <w:t xml:space="preserve">Pulver- och respimatinhalatorer är ur den aspekten mer miljövänliga.  </w:t>
                            </w:r>
                            <w:r w:rsidRPr="00986AEE">
                              <w:rPr>
                                <w:rFonts w:ascii="Garamond" w:hAnsi="Garamond" w:cs="Calibri"/>
                                <w:i/>
                                <w:iCs/>
                                <w:color w:val="404040"/>
                              </w:rPr>
                              <w:tab/>
                            </w:r>
                          </w:p>
                          <w:p w14:paraId="68CB1771" w14:textId="77777777" w:rsidR="00EC79BD" w:rsidRDefault="00EC79BD" w:rsidP="00EC79BD">
                            <w:pPr>
                              <w:pStyle w:val="Normal4"/>
                              <w:spacing w:before="0" w:beforeAutospacing="0" w:after="0" w:afterAutospacing="0"/>
                              <w:jc w:val="center"/>
                              <w:rPr>
                                <w:rFonts w:ascii="Garamond" w:hAnsi="Garamond" w:cs="Calibri"/>
                                <w:b/>
                                <w:bCs/>
                                <w:color w:val="000000" w:themeColor="text1"/>
                              </w:rPr>
                            </w:pPr>
                            <w:r w:rsidRPr="00695761">
                              <w:rPr>
                                <w:rFonts w:ascii="Garamond" w:hAnsi="Garamond" w:cs="Calibri"/>
                                <w:color w:val="000000" w:themeColor="text1"/>
                              </w:rPr>
                              <w:t xml:space="preserve">Vid val mellan likvärdiga produkter bör klimatpåverkan beaktas men i </w:t>
                            </w:r>
                            <w:r>
                              <w:rPr>
                                <w:rFonts w:ascii="Garamond" w:hAnsi="Garamond" w:cs="Calibri"/>
                                <w:b/>
                                <w:bCs/>
                                <w:color w:val="000000" w:themeColor="text1"/>
                              </w:rPr>
                              <w:t>första hand är det patientens inhalationsförmåga och preferens som ska prioriteras</w:t>
                            </w:r>
                          </w:p>
                          <w:p w14:paraId="524F3114" w14:textId="77777777" w:rsidR="00EC79BD" w:rsidRPr="00986AEE" w:rsidRDefault="00EC79BD" w:rsidP="00EC79BD">
                            <w:pPr>
                              <w:pStyle w:val="Normal4"/>
                              <w:spacing w:before="0" w:beforeAutospacing="0" w:after="0" w:afterAutospacing="0"/>
                              <w:jc w:val="center"/>
                              <w:rPr>
                                <w:rFonts w:ascii="Garamond" w:hAnsi="Garamond" w:cs="Calibri"/>
                                <w:b/>
                                <w:bCs/>
                                <w:color w:val="000000" w:themeColor="text1"/>
                              </w:rPr>
                            </w:pPr>
                          </w:p>
                          <w:p w14:paraId="431A9CBD" w14:textId="77777777" w:rsidR="00EC79BD" w:rsidRPr="00695761" w:rsidRDefault="00EC79BD" w:rsidP="00EC79BD">
                            <w:pPr>
                              <w:pStyle w:val="Normal4"/>
                              <w:spacing w:before="0" w:beforeAutospacing="0" w:after="240" w:afterAutospacing="0"/>
                              <w:jc w:val="center"/>
                              <w:rPr>
                                <w:rFonts w:asciiTheme="minorHAnsi" w:hAnsiTheme="minorHAnsi" w:cs="Calibri"/>
                                <w:color w:val="000000" w:themeColor="text1"/>
                              </w:rPr>
                            </w:pPr>
                            <w:r w:rsidRPr="00695761">
                              <w:rPr>
                                <w:rFonts w:asciiTheme="minorHAnsi" w:hAnsiTheme="minorHAnsi" w:cs="Calibri"/>
                                <w:color w:val="000000" w:themeColor="text1"/>
                              </w:rPr>
                              <w:t>Om refillförpackningar finns är det ett miljömässigt klokare val</w:t>
                            </w:r>
                          </w:p>
                          <w:p w14:paraId="6EFBDBA5" w14:textId="77777777" w:rsidR="00EC79BD" w:rsidRDefault="00EC79BD" w:rsidP="00EC79BD">
                            <w:pPr>
                              <w:pStyle w:val="Normal4"/>
                              <w:spacing w:before="0" w:beforeAutospacing="0" w:after="240" w:afterAutospacing="0"/>
                              <w:jc w:val="center"/>
                              <w:rPr>
                                <w:rFonts w:asciiTheme="minorHAnsi" w:hAnsiTheme="minorHAnsi" w:cs="Calibri"/>
                                <w:b/>
                                <w:bCs/>
                                <w:color w:val="2D934F" w:themeColor="accent4"/>
                              </w:rPr>
                            </w:pPr>
                            <w:r>
                              <w:rPr>
                                <w:rFonts w:asciiTheme="minorHAnsi" w:hAnsiTheme="minorHAnsi" w:cs="Calibri"/>
                                <w:color w:val="000000" w:themeColor="text1"/>
                              </w:rPr>
                              <w:t xml:space="preserve">I tabellöversikten över inhalatorerna </w:t>
                            </w:r>
                            <w:r w:rsidRPr="00695761">
                              <w:rPr>
                                <w:rFonts w:asciiTheme="minorHAnsi" w:hAnsiTheme="minorHAnsi" w:cs="Calibri"/>
                                <w:color w:val="000000" w:themeColor="text1"/>
                              </w:rPr>
                              <w:t>markera</w:t>
                            </w:r>
                            <w:r>
                              <w:rPr>
                                <w:rFonts w:asciiTheme="minorHAnsi" w:hAnsiTheme="minorHAnsi" w:cs="Calibri"/>
                                <w:color w:val="000000" w:themeColor="text1"/>
                              </w:rPr>
                              <w:t>s</w:t>
                            </w:r>
                            <w:r w:rsidRPr="00695761">
                              <w:rPr>
                                <w:rFonts w:asciiTheme="minorHAnsi" w:hAnsiTheme="minorHAnsi" w:cs="Calibri"/>
                                <w:color w:val="000000" w:themeColor="text1"/>
                              </w:rPr>
                              <w:t xml:space="preserve"> </w:t>
                            </w:r>
                            <w:r>
                              <w:rPr>
                                <w:rFonts w:asciiTheme="minorHAnsi" w:hAnsiTheme="minorHAnsi" w:cs="Calibri"/>
                                <w:color w:val="000000" w:themeColor="text1"/>
                              </w:rPr>
                              <w:t>de</w:t>
                            </w:r>
                            <w:r w:rsidRPr="00695761">
                              <w:rPr>
                                <w:rFonts w:asciiTheme="minorHAnsi" w:hAnsiTheme="minorHAnsi" w:cs="Calibri"/>
                                <w:color w:val="000000" w:themeColor="text1"/>
                              </w:rPr>
                              <w:t xml:space="preserve"> utan HFC med</w:t>
                            </w:r>
                            <w:r>
                              <w:rPr>
                                <w:rFonts w:asciiTheme="minorHAnsi" w:hAnsiTheme="minorHAnsi" w:cs="Calibri"/>
                                <w:b/>
                                <w:bCs/>
                                <w:color w:val="000000" w:themeColor="text1"/>
                              </w:rPr>
                              <w:t xml:space="preserve"> </w:t>
                            </w:r>
                            <w:r w:rsidRPr="00D5747D">
                              <w:rPr>
                                <w:rFonts w:asciiTheme="minorHAnsi" w:hAnsiTheme="minorHAnsi" w:cs="Calibri"/>
                                <w:b/>
                                <w:bCs/>
                                <w:color w:val="2D934F" w:themeColor="accent4"/>
                              </w:rPr>
                              <w:t xml:space="preserve">M </w:t>
                            </w:r>
                            <w:r w:rsidRPr="00695761">
                              <w:rPr>
                                <w:rFonts w:asciiTheme="minorHAnsi" w:hAnsiTheme="minorHAnsi" w:cs="Calibri"/>
                                <w:color w:val="000000" w:themeColor="text1"/>
                              </w:rPr>
                              <w:t xml:space="preserve">och de som har refillalternativ med </w:t>
                            </w:r>
                            <w:r w:rsidRPr="00695761">
                              <w:rPr>
                                <w:rFonts w:asciiTheme="minorHAnsi" w:hAnsiTheme="minorHAnsi" w:cs="Calibri"/>
                                <w:noProof/>
                                <w:color w:val="000000" w:themeColor="text1"/>
                              </w:rPr>
                              <w:t>ett</w:t>
                            </w:r>
                            <w:r>
                              <w:rPr>
                                <w:rFonts w:asciiTheme="minorHAnsi" w:hAnsiTheme="minorHAnsi" w:cs="Calibri"/>
                                <w:b/>
                                <w:bCs/>
                                <w:noProof/>
                                <w:color w:val="000000" w:themeColor="text1"/>
                              </w:rPr>
                              <w:t xml:space="preserve"> </w:t>
                            </w:r>
                            <w:r w:rsidRPr="00D5747D">
                              <w:rPr>
                                <w:rFonts w:asciiTheme="minorHAnsi" w:hAnsiTheme="minorHAnsi" w:cs="Calibri"/>
                                <w:b/>
                                <w:bCs/>
                                <w:color w:val="2D934F" w:themeColor="accent4"/>
                              </w:rPr>
                              <w:t>R</w:t>
                            </w:r>
                          </w:p>
                          <w:p w14:paraId="4F2632BD" w14:textId="77777777" w:rsidR="00EC79BD" w:rsidRPr="00B51153" w:rsidRDefault="00EC79BD" w:rsidP="00EC79BD">
                            <w:pPr>
                              <w:pStyle w:val="Normal4"/>
                              <w:spacing w:before="0" w:beforeAutospacing="0" w:after="240" w:afterAutospacing="0"/>
                              <w:jc w:val="center"/>
                              <w:rPr>
                                <w:rFonts w:asciiTheme="minorHAnsi" w:hAnsiTheme="minorHAnsi" w:cs="Calibri"/>
                                <w:b/>
                                <w:bCs/>
                              </w:rPr>
                            </w:pPr>
                            <w:r>
                              <w:rPr>
                                <w:rFonts w:asciiTheme="minorHAnsi" w:hAnsiTheme="minorHAnsi" w:cs="Calibri"/>
                                <w:b/>
                                <w:bCs/>
                                <w:color w:val="216D3B" w:themeColor="accent4" w:themeShade="BF"/>
                              </w:rPr>
                              <w:t xml:space="preserve"> </w:t>
                            </w:r>
                          </w:p>
                          <w:p w14:paraId="077568C9"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3E419E9E"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766EE4B1"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17485D94"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4E3AB33B"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3CFACEAD"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7CD7A06E" w14:textId="77777777" w:rsidR="00EC79BD" w:rsidRPr="006E6D8C" w:rsidRDefault="00EC79BD" w:rsidP="00EC79BD">
                            <w:pPr>
                              <w:pStyle w:val="Normal4"/>
                              <w:spacing w:before="0" w:beforeAutospacing="0" w:after="240" w:afterAutospacing="0"/>
                              <w:rPr>
                                <w:rFonts w:ascii="Calibri" w:hAnsi="Calibri" w:cs="Calibri"/>
                                <w:b/>
                                <w:bCs/>
                                <w:color w:val="000000" w:themeColor="text1"/>
                              </w:rPr>
                            </w:pPr>
                          </w:p>
                          <w:p w14:paraId="77329724" w14:textId="77777777" w:rsidR="00EC79BD" w:rsidRDefault="00EC79BD" w:rsidP="00EC79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42D78B" id="Rektangel: rundade hörn 47" o:spid="_x0000_s1050" style="position:absolute;margin-left:31.7pt;margin-top:-4.5pt;width:417pt;height:209.9pt;z-index:-25154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" fillcolor="#daf09b" strokecolor="#6e8e12" strokeweight="2pt">
                <v:textbox>
                  <w:txbxContent>
                    <w:p w14:paraId="10B7126A" w14:textId="77777777" w:rsidR="00EC79BD" w:rsidRPr="00986AEE" w:rsidRDefault="00EC79BD" w:rsidP="00EC79BD">
                      <w:pPr>
                        <w:pStyle w:val="Rubrik3"/>
                        <w:spacing w:before="0"/>
                        <w:jc w:val="center"/>
                        <w:rPr>
                          <w:color w:val="164927" w:themeColor="accent4" w:themeShade="80"/>
                        </w:rPr>
                      </w:pPr>
                      <w:r w:rsidRPr="00986AEE">
                        <w:rPr>
                          <w:color w:val="2D934F" w:themeColor="accent4"/>
                        </w:rPr>
                        <w:t>MILJÖTIPS</w:t>
                      </w:r>
                      <w:r w:rsidRPr="00986AEE">
                        <w:rPr>
                          <w:color w:val="164927" w:themeColor="accent4" w:themeShade="80"/>
                        </w:rPr>
                        <w:br/>
                      </w:r>
                    </w:p>
                    <w:p w14:paraId="5A4A206F" w14:textId="77777777" w:rsidR="00EC79BD" w:rsidRPr="00986AEE" w:rsidRDefault="00EC79BD" w:rsidP="00EC79BD">
                      <w:pPr>
                        <w:pStyle w:val="Normal4"/>
                        <w:spacing w:before="0" w:beforeAutospacing="0" w:after="0" w:afterAutospacing="0"/>
                        <w:rPr>
                          <w:rFonts w:ascii="Garamond" w:hAnsi="Garamond" w:cs="Calibri"/>
                          <w:b/>
                          <w:bCs/>
                          <w:color w:val="000000" w:themeColor="text1"/>
                        </w:rPr>
                      </w:pPr>
                      <w:r w:rsidRPr="00986AEE">
                        <w:rPr>
                          <w:rFonts w:ascii="Garamond" w:hAnsi="Garamond" w:cs="Calibri"/>
                          <w:i/>
                          <w:iCs/>
                          <w:color w:val="404040"/>
                        </w:rPr>
                        <w:t>Spray med drivgas påverkar miljön betydligt mer än pulverinhalatorer på grund av att de innehåller</w:t>
                      </w:r>
                      <w:hyperlink w:anchor="_ORDLISTA" w:history="1">
                        <w:r w:rsidRPr="00986AEE">
                          <w:rPr>
                            <w:rStyle w:val="Hyperlnk"/>
                            <w:rFonts w:ascii="Garamond" w:hAnsi="Garamond" w:cs="Calibri"/>
                            <w:i/>
                            <w:iCs/>
                            <w:color w:val="00A6E2" w:themeColor="accent1"/>
                            <w:u w:val="none"/>
                          </w:rPr>
                          <w:t xml:space="preserve"> </w:t>
                        </w:r>
                        <w:r w:rsidRPr="00986AEE">
                          <w:rPr>
                            <w:rStyle w:val="Hyperlnk"/>
                            <w:rFonts w:ascii="Garamond" w:hAnsi="Garamond" w:cs="Calibri"/>
                            <w:i/>
                            <w:iCs/>
                            <w:color w:val="B46400" w:themeColor="accent6" w:themeShade="BF"/>
                          </w:rPr>
                          <w:t>HFC</w:t>
                        </w:r>
                      </w:hyperlink>
                      <w:r w:rsidRPr="00986AEE">
                        <w:rPr>
                          <w:rFonts w:ascii="Garamond" w:hAnsi="Garamond" w:cs="Calibri"/>
                          <w:i/>
                          <w:iCs/>
                          <w:color w:val="404040"/>
                        </w:rPr>
                        <w:t xml:space="preserve">. </w:t>
                      </w:r>
                      <w:r>
                        <w:rPr>
                          <w:rFonts w:ascii="Garamond" w:hAnsi="Garamond" w:cs="Calibri"/>
                          <w:i/>
                          <w:iCs/>
                          <w:color w:val="404040"/>
                        </w:rPr>
                        <w:t xml:space="preserve">Pulver- och respimatinhalatorer är ur den aspekten mer miljövänliga.  </w:t>
                      </w:r>
                      <w:r w:rsidRPr="00986AEE">
                        <w:rPr>
                          <w:rFonts w:ascii="Garamond" w:hAnsi="Garamond" w:cs="Calibri"/>
                          <w:i/>
                          <w:iCs/>
                          <w:color w:val="404040"/>
                        </w:rPr>
                        <w:tab/>
                      </w:r>
                    </w:p>
                    <w:p w14:paraId="68CB1771" w14:textId="77777777" w:rsidR="00EC79BD" w:rsidRDefault="00EC79BD" w:rsidP="00EC79BD">
                      <w:pPr>
                        <w:pStyle w:val="Normal4"/>
                        <w:spacing w:before="0" w:beforeAutospacing="0" w:after="0" w:afterAutospacing="0"/>
                        <w:jc w:val="center"/>
                        <w:rPr>
                          <w:rFonts w:ascii="Garamond" w:hAnsi="Garamond" w:cs="Calibri"/>
                          <w:b/>
                          <w:bCs/>
                          <w:color w:val="000000" w:themeColor="text1"/>
                        </w:rPr>
                      </w:pPr>
                      <w:r w:rsidRPr="00695761">
                        <w:rPr>
                          <w:rFonts w:ascii="Garamond" w:hAnsi="Garamond" w:cs="Calibri"/>
                          <w:color w:val="000000" w:themeColor="text1"/>
                        </w:rPr>
                        <w:t xml:space="preserve">Vid val mellan likvärdiga produkter bör klimatpåverkan beaktas men i </w:t>
                      </w:r>
                      <w:r>
                        <w:rPr>
                          <w:rFonts w:ascii="Garamond" w:hAnsi="Garamond" w:cs="Calibri"/>
                          <w:b/>
                          <w:bCs/>
                          <w:color w:val="000000" w:themeColor="text1"/>
                        </w:rPr>
                        <w:t>första hand är det patientens inhalationsförmåga och preferens som ska prioriteras</w:t>
                      </w:r>
                    </w:p>
                    <w:p w14:paraId="524F3114" w14:textId="77777777" w:rsidR="00EC79BD" w:rsidRPr="00986AEE" w:rsidRDefault="00EC79BD" w:rsidP="00EC79BD">
                      <w:pPr>
                        <w:pStyle w:val="Normal4"/>
                        <w:spacing w:before="0" w:beforeAutospacing="0" w:after="0" w:afterAutospacing="0"/>
                        <w:jc w:val="center"/>
                        <w:rPr>
                          <w:rFonts w:ascii="Garamond" w:hAnsi="Garamond" w:cs="Calibri"/>
                          <w:b/>
                          <w:bCs/>
                          <w:color w:val="000000" w:themeColor="text1"/>
                        </w:rPr>
                      </w:pPr>
                    </w:p>
                    <w:p w14:paraId="431A9CBD" w14:textId="77777777" w:rsidR="00EC79BD" w:rsidRPr="00695761" w:rsidRDefault="00EC79BD" w:rsidP="00EC79BD">
                      <w:pPr>
                        <w:pStyle w:val="Normal4"/>
                        <w:spacing w:before="0" w:beforeAutospacing="0" w:after="240" w:afterAutospacing="0"/>
                        <w:jc w:val="center"/>
                        <w:rPr>
                          <w:rFonts w:asciiTheme="minorHAnsi" w:hAnsiTheme="minorHAnsi" w:cs="Calibri"/>
                          <w:color w:val="000000" w:themeColor="text1"/>
                        </w:rPr>
                      </w:pPr>
                      <w:r w:rsidRPr="00695761">
                        <w:rPr>
                          <w:rFonts w:asciiTheme="minorHAnsi" w:hAnsiTheme="minorHAnsi" w:cs="Calibri"/>
                          <w:color w:val="000000" w:themeColor="text1"/>
                        </w:rPr>
                        <w:t>Om refillförpackningar finns är det ett miljömässigt klokare val</w:t>
                      </w:r>
                    </w:p>
                    <w:p w14:paraId="6EFBDBA5" w14:textId="77777777" w:rsidR="00EC79BD" w:rsidRDefault="00EC79BD" w:rsidP="00EC79BD">
                      <w:pPr>
                        <w:pStyle w:val="Normal4"/>
                        <w:spacing w:before="0" w:beforeAutospacing="0" w:after="240" w:afterAutospacing="0"/>
                        <w:jc w:val="center"/>
                        <w:rPr>
                          <w:rFonts w:asciiTheme="minorHAnsi" w:hAnsiTheme="minorHAnsi" w:cs="Calibri"/>
                          <w:b/>
                          <w:bCs/>
                          <w:color w:val="2D934F" w:themeColor="accent4"/>
                        </w:rPr>
                      </w:pPr>
                      <w:r>
                        <w:rPr>
                          <w:rFonts w:asciiTheme="minorHAnsi" w:hAnsiTheme="minorHAnsi" w:cs="Calibri"/>
                          <w:color w:val="000000" w:themeColor="text1"/>
                        </w:rPr>
                        <w:t xml:space="preserve">I tabellöversikten över inhalatorerna </w:t>
                      </w:r>
                      <w:r w:rsidRPr="00695761">
                        <w:rPr>
                          <w:rFonts w:asciiTheme="minorHAnsi" w:hAnsiTheme="minorHAnsi" w:cs="Calibri"/>
                          <w:color w:val="000000" w:themeColor="text1"/>
                        </w:rPr>
                        <w:t>markera</w:t>
                      </w:r>
                      <w:r>
                        <w:rPr>
                          <w:rFonts w:asciiTheme="minorHAnsi" w:hAnsiTheme="minorHAnsi" w:cs="Calibri"/>
                          <w:color w:val="000000" w:themeColor="text1"/>
                        </w:rPr>
                        <w:t>s</w:t>
                      </w:r>
                      <w:r w:rsidRPr="00695761">
                        <w:rPr>
                          <w:rFonts w:asciiTheme="minorHAnsi" w:hAnsiTheme="minorHAnsi" w:cs="Calibri"/>
                          <w:color w:val="000000" w:themeColor="text1"/>
                        </w:rPr>
                        <w:t xml:space="preserve"> </w:t>
                      </w:r>
                      <w:r>
                        <w:rPr>
                          <w:rFonts w:asciiTheme="minorHAnsi" w:hAnsiTheme="minorHAnsi" w:cs="Calibri"/>
                          <w:color w:val="000000" w:themeColor="text1"/>
                        </w:rPr>
                        <w:t>de</w:t>
                      </w:r>
                      <w:r w:rsidRPr="00695761">
                        <w:rPr>
                          <w:rFonts w:asciiTheme="minorHAnsi" w:hAnsiTheme="minorHAnsi" w:cs="Calibri"/>
                          <w:color w:val="000000" w:themeColor="text1"/>
                        </w:rPr>
                        <w:t xml:space="preserve"> utan HFC med</w:t>
                      </w:r>
                      <w:r>
                        <w:rPr>
                          <w:rFonts w:asciiTheme="minorHAnsi" w:hAnsiTheme="minorHAnsi" w:cs="Calibri"/>
                          <w:b/>
                          <w:bCs/>
                          <w:color w:val="000000" w:themeColor="text1"/>
                        </w:rPr>
                        <w:t xml:space="preserve"> </w:t>
                      </w:r>
                      <w:r w:rsidRPr="00D5747D">
                        <w:rPr>
                          <w:rFonts w:asciiTheme="minorHAnsi" w:hAnsiTheme="minorHAnsi" w:cs="Calibri"/>
                          <w:b/>
                          <w:bCs/>
                          <w:color w:val="2D934F" w:themeColor="accent4"/>
                        </w:rPr>
                        <w:t xml:space="preserve">M </w:t>
                      </w:r>
                      <w:r w:rsidRPr="00695761">
                        <w:rPr>
                          <w:rFonts w:asciiTheme="minorHAnsi" w:hAnsiTheme="minorHAnsi" w:cs="Calibri"/>
                          <w:color w:val="000000" w:themeColor="text1"/>
                        </w:rPr>
                        <w:t xml:space="preserve">och de som har refillalternativ med </w:t>
                      </w:r>
                      <w:r w:rsidRPr="00695761">
                        <w:rPr>
                          <w:rFonts w:asciiTheme="minorHAnsi" w:hAnsiTheme="minorHAnsi" w:cs="Calibri"/>
                          <w:noProof/>
                          <w:color w:val="000000" w:themeColor="text1"/>
                        </w:rPr>
                        <w:t>ett</w:t>
                      </w:r>
                      <w:r>
                        <w:rPr>
                          <w:rFonts w:asciiTheme="minorHAnsi" w:hAnsiTheme="minorHAnsi" w:cs="Calibri"/>
                          <w:b/>
                          <w:bCs/>
                          <w:noProof/>
                          <w:color w:val="000000" w:themeColor="text1"/>
                        </w:rPr>
                        <w:t xml:space="preserve"> </w:t>
                      </w:r>
                      <w:r w:rsidRPr="00D5747D">
                        <w:rPr>
                          <w:rFonts w:asciiTheme="minorHAnsi" w:hAnsiTheme="minorHAnsi" w:cs="Calibri"/>
                          <w:b/>
                          <w:bCs/>
                          <w:color w:val="2D934F" w:themeColor="accent4"/>
                        </w:rPr>
                        <w:t>R</w:t>
                      </w:r>
                    </w:p>
                    <w:p w14:paraId="4F2632BD" w14:textId="77777777" w:rsidR="00EC79BD" w:rsidRPr="00B51153" w:rsidRDefault="00EC79BD" w:rsidP="00EC79BD">
                      <w:pPr>
                        <w:pStyle w:val="Normal4"/>
                        <w:spacing w:before="0" w:beforeAutospacing="0" w:after="240" w:afterAutospacing="0"/>
                        <w:jc w:val="center"/>
                        <w:rPr>
                          <w:rFonts w:asciiTheme="minorHAnsi" w:hAnsiTheme="minorHAnsi" w:cs="Calibri"/>
                          <w:b/>
                          <w:bCs/>
                        </w:rPr>
                      </w:pPr>
                      <w:r>
                        <w:rPr>
                          <w:rFonts w:asciiTheme="minorHAnsi" w:hAnsiTheme="minorHAnsi" w:cs="Calibri"/>
                          <w:b/>
                          <w:bCs/>
                          <w:color w:val="216D3B" w:themeColor="accent4" w:themeShade="BF"/>
                        </w:rPr>
                        <w:t xml:space="preserve"> </w:t>
                      </w:r>
                    </w:p>
                    <w:p w14:paraId="077568C9"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3E419E9E"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766EE4B1"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17485D94"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4E3AB33B"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3CFACEAD"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7CD7A06E" w14:textId="77777777" w:rsidR="00EC79BD" w:rsidRPr="006E6D8C" w:rsidRDefault="00EC79BD" w:rsidP="00EC79BD">
                      <w:pPr>
                        <w:pStyle w:val="Normal4"/>
                        <w:spacing w:before="0" w:beforeAutospacing="0" w:after="240" w:afterAutospacing="0"/>
                        <w:rPr>
                          <w:rFonts w:ascii="Calibri" w:hAnsi="Calibri" w:cs="Calibri"/>
                          <w:b/>
                          <w:bCs/>
                          <w:color w:val="000000" w:themeColor="text1"/>
                        </w:rPr>
                      </w:pPr>
                    </w:p>
                    <w:p w14:paraId="77329724" w14:textId="77777777" w:rsidR="00EC79BD" w:rsidRDefault="00EC79BD" w:rsidP="00EC79BD">
                      <w:pPr>
                        <w:jc w:val="center"/>
                      </w:pPr>
                    </w:p>
                  </w:txbxContent>
                </v:textbox>
                <w10:wrap type="through" anchorx="margin"/>
              </v:roundrect>
            </w:pict>
          </mc:Fallback>
        </mc:AlternateContent>
      </w:r>
      <w:r w:rsidRPr="00570409">
        <w:rPr>
          <w:rFonts w:asciiTheme="minorHAnsi" w:hAnsiTheme="minorHAnsi" w:cs="Calibri"/>
          <w:b/>
          <w:noProof/>
          <w:color w:val="000000" w:themeColor="text1"/>
        </w:rPr>
        <w:drawing>
          <wp:anchor distT="0" distB="0" distL="114300" distR="114300" simplePos="0" relativeHeight="251768832" behindDoc="1" locked="0" layoutInCell="1" allowOverlap="1" wp14:anchorId="3EDE5FBC" wp14:editId="740B8251">
            <wp:simplePos x="0" y="0"/>
            <wp:positionH relativeFrom="column">
              <wp:posOffset>2113874</wp:posOffset>
            </wp:positionH>
            <wp:positionV relativeFrom="paragraph">
              <wp:posOffset>117565</wp:posOffset>
            </wp:positionV>
            <wp:extent cx="338455" cy="338455"/>
            <wp:effectExtent l="0" t="0" r="4445" b="4445"/>
            <wp:wrapThrough wrapText="bothSides">
              <wp:wrapPolygon edited="0">
                <wp:start x="8510" y="0"/>
                <wp:lineTo x="0" y="3647"/>
                <wp:lineTo x="0" y="10942"/>
                <wp:lineTo x="8510" y="20668"/>
                <wp:lineTo x="15805" y="20668"/>
                <wp:lineTo x="20668" y="13373"/>
                <wp:lineTo x="20668" y="3647"/>
                <wp:lineTo x="15805" y="0"/>
                <wp:lineTo x="8510" y="0"/>
              </wp:wrapPolygon>
            </wp:wrapThrough>
            <wp:docPr id="54" name="Bild 54" descr="Lövträd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 33" descr="Lövträd med hel fyllning"/>
                    <pic:cNvPicPr/>
                  </pic:nvPicPr>
                  <pic:blipFill>
                    <a:blip r:embed="rId18">
                      <a:extLst>
                        <a:ext uri="{96DAC541-7B7A-43D3-8B79-37D633B846F1}">
                          <asvg:svgBlip xmlns:asvg="http://schemas.microsoft.com/office/drawing/2016/SVG/main" r:embed="rId19"/>
                        </a:ext>
                      </a:extLst>
                    </a:blip>
                    <a:stretch>
                      <a:fillRect/>
                    </a:stretch>
                  </pic:blipFill>
                  <pic:spPr>
                    <a:xfrm flipH="1">
                      <a:off x="0" y="0"/>
                      <a:ext cx="338455" cy="338455"/>
                    </a:xfrm>
                    <a:prstGeom prst="rect">
                      <a:avLst/>
                    </a:prstGeom>
                  </pic:spPr>
                </pic:pic>
              </a:graphicData>
            </a:graphic>
            <wp14:sizeRelH relativeFrom="margin">
              <wp14:pctWidth>0</wp14:pctWidth>
            </wp14:sizeRelH>
            <wp14:sizeRelV relativeFrom="margin">
              <wp14:pctHeight>0</wp14:pctHeight>
            </wp14:sizeRelV>
          </wp:anchor>
        </w:drawing>
      </w:r>
      <w:r w:rsidRPr="00570409">
        <w:rPr>
          <w:rFonts w:asciiTheme="minorHAnsi" w:hAnsiTheme="minorHAnsi" w:cs="Calibri"/>
          <w:b/>
          <w:noProof/>
          <w:color w:val="000000" w:themeColor="text1"/>
        </w:rPr>
        <w:drawing>
          <wp:anchor distT="0" distB="0" distL="114300" distR="114300" simplePos="0" relativeHeight="251769856" behindDoc="1" locked="0" layoutInCell="1" allowOverlap="1" wp14:anchorId="78934127" wp14:editId="44376C61">
            <wp:simplePos x="0" y="0"/>
            <wp:positionH relativeFrom="column">
              <wp:posOffset>3777912</wp:posOffset>
            </wp:positionH>
            <wp:positionV relativeFrom="paragraph">
              <wp:posOffset>132459</wp:posOffset>
            </wp:positionV>
            <wp:extent cx="338455" cy="338455"/>
            <wp:effectExtent l="0" t="0" r="4445" b="4445"/>
            <wp:wrapThrough wrapText="bothSides">
              <wp:wrapPolygon edited="0">
                <wp:start x="8510" y="0"/>
                <wp:lineTo x="0" y="3647"/>
                <wp:lineTo x="0" y="10942"/>
                <wp:lineTo x="8510" y="20668"/>
                <wp:lineTo x="15805" y="20668"/>
                <wp:lineTo x="20668" y="13373"/>
                <wp:lineTo x="20668" y="3647"/>
                <wp:lineTo x="15805" y="0"/>
                <wp:lineTo x="8510" y="0"/>
              </wp:wrapPolygon>
            </wp:wrapThrough>
            <wp:docPr id="48" name="Bild 48" descr="Lövträd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 33" descr="Lövträd med hel fyllning"/>
                    <pic:cNvPicPr/>
                  </pic:nvPicPr>
                  <pic:blipFill>
                    <a:blip r:embed="rId18">
                      <a:extLst>
                        <a:ext uri="{96DAC541-7B7A-43D3-8B79-37D633B846F1}">
                          <asvg:svgBlip xmlns:asvg="http://schemas.microsoft.com/office/drawing/2016/SVG/main" r:embed="rId19"/>
                        </a:ext>
                      </a:extLst>
                    </a:blip>
                    <a:stretch>
                      <a:fillRect/>
                    </a:stretch>
                  </pic:blipFill>
                  <pic:spPr>
                    <a:xfrm flipH="1">
                      <a:off x="0" y="0"/>
                      <a:ext cx="338455" cy="33845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Calibri"/>
        </w:rPr>
        <w:br w:type="page"/>
      </w:r>
    </w:p>
    <w:p w14:paraId="789BDF97" w14:textId="77777777" w:rsidR="00EC79BD" w:rsidRPr="006F12A8" w:rsidRDefault="00EC79BD" w:rsidP="00EC79BD">
      <w:pPr>
        <w:pStyle w:val="Rubrik3"/>
        <w:rPr>
          <w:rFonts w:eastAsia="Times New Roman"/>
          <w:noProof/>
          <w:lang w:eastAsia="sv-SE"/>
        </w:rPr>
      </w:pPr>
      <w:r w:rsidRPr="006F12A8">
        <w:lastRenderedPageBreak/>
        <w:t>KOL (kroniskt obstruktiv lungsjukdom)</w:t>
      </w:r>
    </w:p>
    <w:p w14:paraId="0EDD9680" w14:textId="77777777" w:rsidR="00EC79BD" w:rsidRDefault="00EC79BD" w:rsidP="00EC79BD">
      <w:pPr>
        <w:rPr>
          <w:rStyle w:val="Stark"/>
        </w:rPr>
      </w:pPr>
      <w:bookmarkStart w:id="57" w:name="_Toc150457993"/>
    </w:p>
    <w:bookmarkEnd w:id="57"/>
    <w:p w14:paraId="65E35CAD" w14:textId="77777777" w:rsidR="00EC79BD" w:rsidRDefault="00EC79BD" w:rsidP="00EC79BD">
      <w:r w:rsidRPr="006F12A8">
        <w:rPr>
          <w:rStyle w:val="Stark"/>
          <w:bCs/>
          <w:sz w:val="24"/>
          <w:szCs w:val="24"/>
        </w:rPr>
        <w:t>Nyheter och huvudbudskap</w:t>
      </w:r>
      <w:r>
        <w:rPr>
          <w:rStyle w:val="Stark"/>
          <w:bCs/>
          <w:sz w:val="24"/>
          <w:szCs w:val="24"/>
        </w:rPr>
        <w:br/>
      </w:r>
    </w:p>
    <w:p w14:paraId="5E67512E" w14:textId="77777777" w:rsidR="00EC79BD" w:rsidRPr="006F12A8" w:rsidRDefault="00EC79BD" w:rsidP="00EC79BD">
      <w:pPr>
        <w:pStyle w:val="Normal4"/>
        <w:spacing w:before="0" w:beforeAutospacing="0" w:after="240" w:afterAutospacing="0"/>
        <w:rPr>
          <w:rFonts w:asciiTheme="minorHAnsi" w:hAnsiTheme="minorHAnsi" w:cs="Calibri"/>
          <w:b/>
          <w:bCs/>
          <w:color w:val="404040"/>
        </w:rPr>
      </w:pPr>
      <w:r w:rsidRPr="006F12A8">
        <w:rPr>
          <w:rFonts w:asciiTheme="minorHAnsi" w:hAnsiTheme="minorHAnsi" w:cs="Calibri"/>
          <w:b/>
          <w:bCs/>
          <w:noProof/>
          <w:color w:val="B46400" w:themeColor="accent6" w:themeShade="BF"/>
        </w:rPr>
        <mc:AlternateContent>
          <mc:Choice Requires="wps">
            <w:drawing>
              <wp:anchor distT="0" distB="0" distL="114300" distR="114300" simplePos="0" relativeHeight="251770880" behindDoc="1" locked="0" layoutInCell="1" allowOverlap="1" wp14:anchorId="1D459EC8" wp14:editId="12E91475">
                <wp:simplePos x="0" y="0"/>
                <wp:positionH relativeFrom="margin">
                  <wp:posOffset>-173355</wp:posOffset>
                </wp:positionH>
                <wp:positionV relativeFrom="paragraph">
                  <wp:posOffset>277099</wp:posOffset>
                </wp:positionV>
                <wp:extent cx="6216732" cy="706582"/>
                <wp:effectExtent l="0" t="0" r="12700" b="17780"/>
                <wp:wrapNone/>
                <wp:docPr id="1200761869" name="Rektangel: rundade hörn 1200761869"/>
                <wp:cNvGraphicFramePr/>
                <a:graphic xmlns:a="http://schemas.openxmlformats.org/drawingml/2006/main">
                  <a:graphicData uri="http://schemas.microsoft.com/office/word/2010/wordprocessingShape">
                    <wps:wsp>
                      <wps:cNvSpPr/>
                      <wps:spPr>
                        <a:xfrm>
                          <a:off x="0" y="0"/>
                          <a:ext cx="6216732" cy="706582"/>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335E57" id="Rektangel: rundade hörn 1200761869" o:spid="_x0000_s1026" style="position:absolute;margin-left:-13.65pt;margin-top:21.8pt;width:489.5pt;height:55.65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" fillcolor="#86cdff" strokecolor="#0079a6" strokeweight="2pt">
                <v:fill color2="#dceeff" rotate="t" angle="45" colors="0 #86cdff;.5 #b7deff;1 #dceeff" focus="100%" type="gradient"/>
                <w10:wrap anchorx="margin"/>
              </v:roundrect>
            </w:pict>
          </mc:Fallback>
        </mc:AlternateContent>
      </w:r>
      <w:hyperlink w:anchor="_ORDLISTA" w:history="1">
        <w:r w:rsidRPr="006F12A8">
          <w:rPr>
            <w:rStyle w:val="Hyperlnk"/>
            <w:rFonts w:asciiTheme="minorHAnsi" w:hAnsiTheme="minorHAnsi" w:cs="Calibri"/>
            <w:b/>
            <w:bCs/>
            <w:color w:val="B46400" w:themeColor="accent6" w:themeShade="BF"/>
            <w:u w:val="none"/>
          </w:rPr>
          <w:t>GOLD</w:t>
        </w:r>
      </w:hyperlink>
      <w:r w:rsidRPr="006F12A8">
        <w:rPr>
          <w:rFonts w:asciiTheme="minorHAnsi" w:hAnsiTheme="minorHAnsi" w:cs="Calibri"/>
          <w:b/>
          <w:bCs/>
        </w:rPr>
        <w:t>-gruppering</w:t>
      </w:r>
    </w:p>
    <w:p w14:paraId="3CA246F9" w14:textId="77777777" w:rsidR="00EC79BD" w:rsidRPr="000C17EB" w:rsidRDefault="00EC79BD" w:rsidP="00EC79BD">
      <w:pPr>
        <w:pStyle w:val="Normal4"/>
        <w:spacing w:before="0" w:beforeAutospacing="0" w:after="0" w:afterAutospacing="0"/>
        <w:rPr>
          <w:rFonts w:asciiTheme="minorHAnsi" w:hAnsiTheme="minorHAnsi" w:cs="Calibri"/>
          <w:b/>
          <w:bCs/>
          <w:color w:val="003D7C" w:themeColor="text2"/>
        </w:rPr>
      </w:pPr>
      <w:r w:rsidRPr="000C17EB">
        <w:rPr>
          <w:rFonts w:asciiTheme="minorHAnsi" w:hAnsiTheme="minorHAnsi" w:cs="Calibri"/>
          <w:b/>
          <w:bCs/>
          <w:color w:val="003D7C" w:themeColor="text2"/>
        </w:rPr>
        <w:t xml:space="preserve">GOLD C OCH D har slagits ihop till en grupp - GOLD E. </w:t>
      </w:r>
    </w:p>
    <w:p w14:paraId="3889A290" w14:textId="77777777" w:rsidR="00EC79BD" w:rsidRPr="000C17EB" w:rsidRDefault="00EC79BD" w:rsidP="00EC79BD">
      <w:pPr>
        <w:pStyle w:val="Normal4"/>
        <w:spacing w:before="0" w:beforeAutospacing="0" w:after="0" w:afterAutospacing="0"/>
        <w:rPr>
          <w:rFonts w:asciiTheme="minorHAnsi" w:hAnsiTheme="minorHAnsi" w:cs="Calibri"/>
          <w:color w:val="003D7C" w:themeColor="text2"/>
        </w:rPr>
      </w:pPr>
      <w:r w:rsidRPr="000C17EB">
        <w:rPr>
          <w:rFonts w:asciiTheme="minorHAnsi" w:hAnsiTheme="minorHAnsi" w:cs="Calibri"/>
          <w:color w:val="003D7C" w:themeColor="text2"/>
        </w:rPr>
        <w:t xml:space="preserve">Sammanslagning har gjorts för att förtydliga att exacerbationer har betydelse oavsett hur mycket luftvägssymptom patienten har. </w:t>
      </w:r>
    </w:p>
    <w:p w14:paraId="132E3B91" w14:textId="77777777" w:rsidR="00EC79BD" w:rsidRPr="000C17EB" w:rsidRDefault="00EC79BD" w:rsidP="00EC79BD">
      <w:pPr>
        <w:pStyle w:val="Normal4"/>
        <w:spacing w:before="0" w:beforeAutospacing="0" w:after="240" w:afterAutospacing="0"/>
        <w:rPr>
          <w:rFonts w:asciiTheme="minorHAnsi" w:hAnsiTheme="minorHAnsi" w:cs="Calibri"/>
          <w:b/>
          <w:bCs/>
          <w:color w:val="003D7C" w:themeColor="text2"/>
        </w:rPr>
      </w:pPr>
    </w:p>
    <w:p w14:paraId="6FAFE790" w14:textId="77777777" w:rsidR="00EC79BD" w:rsidRPr="006F12A8" w:rsidRDefault="00EC79BD" w:rsidP="00EC79BD">
      <w:pPr>
        <w:pStyle w:val="Normal4"/>
        <w:spacing w:before="0" w:beforeAutospacing="0" w:after="240" w:afterAutospacing="0"/>
        <w:rPr>
          <w:rFonts w:asciiTheme="minorHAnsi" w:hAnsiTheme="minorHAnsi" w:cs="Calibri"/>
          <w:b/>
          <w:bCs/>
          <w:color w:val="003D7C" w:themeColor="text2"/>
        </w:rPr>
      </w:pPr>
      <w:r w:rsidRPr="006F12A8">
        <w:rPr>
          <w:rFonts w:asciiTheme="minorHAnsi" w:hAnsiTheme="minorHAnsi" w:cs="Calibri"/>
          <w:b/>
          <w:bCs/>
          <w:noProof/>
        </w:rPr>
        <mc:AlternateContent>
          <mc:Choice Requires="wps">
            <w:drawing>
              <wp:anchor distT="0" distB="0" distL="114300" distR="114300" simplePos="0" relativeHeight="251771904" behindDoc="1" locked="0" layoutInCell="1" allowOverlap="1" wp14:anchorId="12C29004" wp14:editId="4D1BB62E">
                <wp:simplePos x="0" y="0"/>
                <wp:positionH relativeFrom="margin">
                  <wp:posOffset>-203044</wp:posOffset>
                </wp:positionH>
                <wp:positionV relativeFrom="paragraph">
                  <wp:posOffset>249143</wp:posOffset>
                </wp:positionV>
                <wp:extent cx="6341423" cy="1116281"/>
                <wp:effectExtent l="0" t="0" r="21590" b="27305"/>
                <wp:wrapNone/>
                <wp:docPr id="23" name="Rektangel: rundade hörn 23"/>
                <wp:cNvGraphicFramePr/>
                <a:graphic xmlns:a="http://schemas.openxmlformats.org/drawingml/2006/main">
                  <a:graphicData uri="http://schemas.microsoft.com/office/word/2010/wordprocessingShape">
                    <wps:wsp>
                      <wps:cNvSpPr/>
                      <wps:spPr>
                        <a:xfrm>
                          <a:off x="0" y="0"/>
                          <a:ext cx="6341423" cy="1116281"/>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E04C4" id="Rektangel: rundade hörn 23" o:spid="_x0000_s1026" style="position:absolute;margin-left:-16pt;margin-top:19.6pt;width:499.3pt;height:87.9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" fillcolor="#86cdff" strokecolor="#0079a6" strokeweight="2pt">
                <v:fill color2="#dceeff" rotate="t" angle="45" colors="0 #86cdff;.5 #b7deff;1 #dceeff" focus="100%" type="gradient"/>
                <w10:wrap anchorx="margin"/>
              </v:roundrect>
            </w:pict>
          </mc:Fallback>
        </mc:AlternateContent>
      </w:r>
      <w:r w:rsidRPr="006F12A8">
        <w:rPr>
          <w:rFonts w:asciiTheme="minorHAnsi" w:hAnsiTheme="minorHAnsi" w:cs="Calibri"/>
          <w:b/>
          <w:bCs/>
        </w:rPr>
        <w:t>Behandling</w:t>
      </w:r>
    </w:p>
    <w:p w14:paraId="4A5380DD" w14:textId="77777777" w:rsidR="00EC79BD" w:rsidRPr="000C17EB" w:rsidRDefault="00EC79BD" w:rsidP="00EC79BD">
      <w:pPr>
        <w:pStyle w:val="Normal4"/>
        <w:spacing w:before="0" w:beforeAutospacing="0" w:after="240" w:afterAutospacing="0"/>
        <w:rPr>
          <w:rFonts w:asciiTheme="minorHAnsi" w:hAnsiTheme="minorHAnsi" w:cs="Calibri"/>
          <w:color w:val="003D7C" w:themeColor="text2"/>
        </w:rPr>
      </w:pPr>
      <w:r w:rsidRPr="000C17EB">
        <w:rPr>
          <w:rFonts w:asciiTheme="minorHAnsi" w:hAnsiTheme="minorHAnsi" w:cs="Calibri"/>
          <w:b/>
          <w:bCs/>
          <w:color w:val="003D7C" w:themeColor="text2"/>
        </w:rPr>
        <w:t xml:space="preserve">Tillkomst av gruppen </w:t>
      </w:r>
      <w:hyperlink w:anchor="_ORDLISTA" w:history="1">
        <w:r w:rsidRPr="000C17EB">
          <w:rPr>
            <w:rStyle w:val="Hyperlnk"/>
            <w:rFonts w:asciiTheme="minorHAnsi" w:hAnsiTheme="minorHAnsi" w:cs="Calibri"/>
            <w:b/>
            <w:bCs/>
            <w:color w:val="B46400" w:themeColor="accent6" w:themeShade="BF"/>
          </w:rPr>
          <w:t>FABA</w:t>
        </w:r>
      </w:hyperlink>
      <w:r w:rsidRPr="000C17EB">
        <w:rPr>
          <w:rFonts w:asciiTheme="minorHAnsi" w:hAnsiTheme="minorHAnsi" w:cs="Calibri"/>
          <w:b/>
          <w:bCs/>
          <w:color w:val="003D7C" w:themeColor="text2"/>
        </w:rPr>
        <w:t>, snabbverkande beta-2-agonister</w:t>
      </w:r>
      <w:r w:rsidRPr="000C17EB">
        <w:rPr>
          <w:rFonts w:asciiTheme="minorHAnsi" w:hAnsiTheme="minorHAnsi" w:cs="Calibri"/>
          <w:b/>
          <w:bCs/>
          <w:color w:val="003D7C" w:themeColor="text2"/>
        </w:rPr>
        <w:br/>
      </w:r>
      <w:r w:rsidRPr="000C17EB">
        <w:rPr>
          <w:rFonts w:asciiTheme="minorHAnsi" w:hAnsiTheme="minorHAnsi" w:cs="Calibri"/>
          <w:color w:val="003D7C" w:themeColor="text2"/>
        </w:rPr>
        <w:t xml:space="preserve">Inkluderar preparat från </w:t>
      </w:r>
      <w:hyperlink w:anchor="_ORDLISTA" w:history="1">
        <w:r w:rsidRPr="000C17EB">
          <w:rPr>
            <w:rStyle w:val="Hyperlnk"/>
            <w:rFonts w:asciiTheme="minorHAnsi" w:hAnsiTheme="minorHAnsi" w:cs="Calibri"/>
            <w:color w:val="B46400" w:themeColor="accent6" w:themeShade="BF"/>
          </w:rPr>
          <w:t>SABA</w:t>
        </w:r>
      </w:hyperlink>
      <w:r w:rsidRPr="000C17EB">
        <w:rPr>
          <w:rFonts w:asciiTheme="minorHAnsi" w:hAnsiTheme="minorHAnsi" w:cs="Calibri"/>
          <w:color w:val="003D7C" w:themeColor="text2"/>
        </w:rPr>
        <w:t xml:space="preserve">-gruppen (salbutamol och terbutalin) samt från </w:t>
      </w:r>
      <w:hyperlink w:anchor="_ORDLISTA" w:history="1">
        <w:r w:rsidRPr="000C17EB">
          <w:rPr>
            <w:rStyle w:val="Hyperlnk"/>
            <w:rFonts w:asciiTheme="minorHAnsi" w:hAnsiTheme="minorHAnsi" w:cs="Calibri"/>
            <w:color w:val="B46400" w:themeColor="accent6" w:themeShade="BF"/>
          </w:rPr>
          <w:t>LABA</w:t>
        </w:r>
      </w:hyperlink>
      <w:r w:rsidRPr="000C17EB">
        <w:rPr>
          <w:rFonts w:asciiTheme="minorHAnsi" w:hAnsiTheme="minorHAnsi" w:cs="Calibri"/>
          <w:color w:val="003D7C" w:themeColor="text2"/>
        </w:rPr>
        <w:t xml:space="preserve">-gruppen (formoterol). </w:t>
      </w:r>
      <w:r w:rsidRPr="000C17EB">
        <w:rPr>
          <w:rFonts w:asciiTheme="minorHAnsi" w:hAnsiTheme="minorHAnsi" w:cs="Calibri"/>
          <w:color w:val="003D7C" w:themeColor="text2"/>
        </w:rPr>
        <w:br/>
        <w:t xml:space="preserve">I första hand ska långverkande FABA väljas som vid-behovsbehandling. </w:t>
      </w:r>
      <w:r w:rsidRPr="000C17EB">
        <w:rPr>
          <w:rFonts w:asciiTheme="minorHAnsi" w:hAnsiTheme="minorHAnsi" w:cs="Calibri"/>
          <w:color w:val="003D7C" w:themeColor="text2"/>
        </w:rPr>
        <w:br/>
        <w:t>Finns det pågående grundbehandling med LABA kan man också välja SAB</w:t>
      </w:r>
      <w:r>
        <w:rPr>
          <w:rFonts w:asciiTheme="minorHAnsi" w:hAnsiTheme="minorHAnsi" w:cs="Calibri"/>
          <w:color w:val="003D7C" w:themeColor="text2"/>
        </w:rPr>
        <w:t>A</w:t>
      </w:r>
    </w:p>
    <w:p w14:paraId="00837A60" w14:textId="77777777" w:rsidR="00EC79BD" w:rsidRPr="000C17EB" w:rsidRDefault="00EC79BD" w:rsidP="00EC79BD">
      <w:pPr>
        <w:pStyle w:val="Normal4"/>
        <w:spacing w:before="0" w:beforeAutospacing="0" w:after="240" w:afterAutospacing="0"/>
        <w:rPr>
          <w:rFonts w:asciiTheme="minorHAnsi" w:hAnsiTheme="minorHAnsi" w:cs="Calibri"/>
          <w:b/>
          <w:bCs/>
          <w:color w:val="003D7C" w:themeColor="text2"/>
        </w:rPr>
      </w:pPr>
      <w:r w:rsidRPr="000C17EB">
        <w:rPr>
          <w:rFonts w:asciiTheme="minorHAnsi" w:hAnsiTheme="minorHAnsi" w:cs="Calibri"/>
          <w:b/>
          <w:bCs/>
          <w:noProof/>
          <w:color w:val="003D7C" w:themeColor="text2"/>
        </w:rPr>
        <mc:AlternateContent>
          <mc:Choice Requires="wps">
            <w:drawing>
              <wp:anchor distT="0" distB="0" distL="114300" distR="114300" simplePos="0" relativeHeight="251772928" behindDoc="1" locked="0" layoutInCell="1" allowOverlap="1" wp14:anchorId="3B28DC8D" wp14:editId="29A1DEE5">
                <wp:simplePos x="0" y="0"/>
                <wp:positionH relativeFrom="margin">
                  <wp:posOffset>-179293</wp:posOffset>
                </wp:positionH>
                <wp:positionV relativeFrom="paragraph">
                  <wp:posOffset>132863</wp:posOffset>
                </wp:positionV>
                <wp:extent cx="6359237" cy="765959"/>
                <wp:effectExtent l="0" t="0" r="22860" b="15240"/>
                <wp:wrapNone/>
                <wp:docPr id="1200761871" name="Rektangel: rundade hörn 1200761871"/>
                <wp:cNvGraphicFramePr/>
                <a:graphic xmlns:a="http://schemas.openxmlformats.org/drawingml/2006/main">
                  <a:graphicData uri="http://schemas.microsoft.com/office/word/2010/wordprocessingShape">
                    <wps:wsp>
                      <wps:cNvSpPr/>
                      <wps:spPr>
                        <a:xfrm>
                          <a:off x="0" y="0"/>
                          <a:ext cx="6359237" cy="765959"/>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D22F86" id="Rektangel: rundade hörn 1200761871" o:spid="_x0000_s1026" style="position:absolute;margin-left:-14.1pt;margin-top:10.45pt;width:500.75pt;height:60.3pt;z-index:-25154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" fillcolor="#86cdff" strokecolor="#0079a6" strokeweight="2pt">
                <v:fill color2="#dceeff" rotate="t" angle="45" colors="0 #86cdff;.5 #b7deff;1 #dceeff" focus="100%" type="gradient"/>
                <w10:wrap anchorx="margin"/>
              </v:roundrect>
            </w:pict>
          </mc:Fallback>
        </mc:AlternateContent>
      </w:r>
    </w:p>
    <w:p w14:paraId="4EFA716B" w14:textId="77777777" w:rsidR="00EC79BD" w:rsidRPr="000C17EB" w:rsidRDefault="00EC79BD" w:rsidP="00EC79BD">
      <w:pPr>
        <w:pStyle w:val="Normal4"/>
        <w:spacing w:before="0" w:beforeAutospacing="0" w:after="240" w:afterAutospacing="0"/>
        <w:rPr>
          <w:rFonts w:asciiTheme="minorHAnsi" w:hAnsiTheme="minorHAnsi" w:cs="Calibri"/>
          <w:b/>
          <w:bCs/>
          <w:color w:val="003D7C" w:themeColor="text2"/>
        </w:rPr>
      </w:pPr>
      <w:r w:rsidRPr="000C17EB">
        <w:rPr>
          <w:rFonts w:asciiTheme="minorHAnsi" w:hAnsiTheme="minorHAnsi" w:cs="Calibri"/>
          <w:b/>
          <w:bCs/>
          <w:color w:val="003D7C" w:themeColor="text2"/>
        </w:rPr>
        <w:t xml:space="preserve">GOLD A grundbehandlas med </w:t>
      </w:r>
      <w:hyperlink w:anchor="_ORDLISTA" w:history="1">
        <w:r w:rsidRPr="000C17EB">
          <w:rPr>
            <w:rStyle w:val="Hyperlnk"/>
            <w:rFonts w:asciiTheme="minorHAnsi" w:hAnsiTheme="minorHAnsi" w:cs="Calibri"/>
            <w:b/>
            <w:bCs/>
            <w:color w:val="B46400" w:themeColor="accent6" w:themeShade="BF"/>
          </w:rPr>
          <w:t>LABA</w:t>
        </w:r>
      </w:hyperlink>
      <w:r w:rsidRPr="000C17EB">
        <w:rPr>
          <w:rFonts w:asciiTheme="minorHAnsi" w:hAnsiTheme="minorHAnsi" w:cs="Calibri"/>
          <w:b/>
          <w:bCs/>
          <w:color w:val="003D7C" w:themeColor="text2"/>
        </w:rPr>
        <w:t xml:space="preserve"> eller </w:t>
      </w:r>
      <w:hyperlink w:anchor="_ORDLISTA" w:history="1">
        <w:r w:rsidRPr="000C17EB">
          <w:rPr>
            <w:rStyle w:val="Hyperlnk"/>
            <w:rFonts w:asciiTheme="minorHAnsi" w:hAnsiTheme="minorHAnsi" w:cs="Calibri"/>
            <w:b/>
            <w:bCs/>
            <w:color w:val="B46400" w:themeColor="accent6" w:themeShade="BF"/>
          </w:rPr>
          <w:t>LAMA</w:t>
        </w:r>
      </w:hyperlink>
      <w:r w:rsidRPr="000C17EB">
        <w:rPr>
          <w:rFonts w:asciiTheme="minorHAnsi" w:hAnsiTheme="minorHAnsi" w:cs="Calibri"/>
          <w:b/>
          <w:bCs/>
          <w:color w:val="003D7C" w:themeColor="text2"/>
        </w:rPr>
        <w:t xml:space="preserve"> om symptom finns. </w:t>
      </w:r>
      <w:r w:rsidRPr="000C17EB">
        <w:rPr>
          <w:rFonts w:asciiTheme="minorHAnsi" w:hAnsiTheme="minorHAnsi" w:cs="Calibri"/>
          <w:b/>
          <w:bCs/>
          <w:color w:val="003D7C" w:themeColor="text2"/>
        </w:rPr>
        <w:br/>
      </w:r>
      <w:r w:rsidRPr="000C17EB">
        <w:rPr>
          <w:rFonts w:asciiTheme="minorHAnsi" w:hAnsiTheme="minorHAnsi" w:cs="Calibri"/>
          <w:color w:val="003D7C" w:themeColor="text2"/>
        </w:rPr>
        <w:t>Hos asymptomatiska patienter kan LABA eller LAMA testas under några veckor och sedan utvärderas, utsättning sker om patienten inte upplever någon skillnad.</w:t>
      </w:r>
      <w:r w:rsidRPr="000C17EB">
        <w:rPr>
          <w:rFonts w:asciiTheme="minorHAnsi" w:hAnsiTheme="minorHAnsi" w:cs="Calibri"/>
          <w:b/>
          <w:bCs/>
          <w:color w:val="003D7C" w:themeColor="text2"/>
        </w:rPr>
        <w:t xml:space="preserve">  </w:t>
      </w:r>
    </w:p>
    <w:p w14:paraId="78DDE6B7" w14:textId="77777777" w:rsidR="00EC79BD" w:rsidRPr="000C17EB" w:rsidRDefault="00EC79BD" w:rsidP="00EC79BD">
      <w:pPr>
        <w:pStyle w:val="Normal4"/>
        <w:spacing w:before="0" w:beforeAutospacing="0" w:after="240" w:afterAutospacing="0"/>
        <w:rPr>
          <w:rFonts w:asciiTheme="minorHAnsi" w:hAnsiTheme="minorHAnsi" w:cs="Calibri"/>
          <w:color w:val="003D7C" w:themeColor="text2"/>
        </w:rPr>
      </w:pPr>
      <w:r w:rsidRPr="000C17EB">
        <w:rPr>
          <w:rFonts w:asciiTheme="minorHAnsi" w:hAnsiTheme="minorHAnsi" w:cs="Calibri"/>
          <w:b/>
          <w:bCs/>
          <w:noProof/>
          <w:color w:val="003D7C" w:themeColor="text2"/>
        </w:rPr>
        <mc:AlternateContent>
          <mc:Choice Requires="wps">
            <w:drawing>
              <wp:anchor distT="0" distB="0" distL="114300" distR="114300" simplePos="0" relativeHeight="251774976" behindDoc="1" locked="0" layoutInCell="1" allowOverlap="1" wp14:anchorId="41F0D095" wp14:editId="4E7EB25A">
                <wp:simplePos x="0" y="0"/>
                <wp:positionH relativeFrom="margin">
                  <wp:posOffset>-197107</wp:posOffset>
                </wp:positionH>
                <wp:positionV relativeFrom="paragraph">
                  <wp:posOffset>947313</wp:posOffset>
                </wp:positionV>
                <wp:extent cx="6430489" cy="640080"/>
                <wp:effectExtent l="0" t="0" r="27940" b="26670"/>
                <wp:wrapNone/>
                <wp:docPr id="1200761873" name="Rektangel: rundade hörn 1200761873"/>
                <wp:cNvGraphicFramePr/>
                <a:graphic xmlns:a="http://schemas.openxmlformats.org/drawingml/2006/main">
                  <a:graphicData uri="http://schemas.microsoft.com/office/word/2010/wordprocessingShape">
                    <wps:wsp>
                      <wps:cNvSpPr/>
                      <wps:spPr>
                        <a:xfrm>
                          <a:off x="0" y="0"/>
                          <a:ext cx="6430489" cy="640080"/>
                        </a:xfrm>
                        <a:prstGeom prst="roundRect">
                          <a:avLst/>
                        </a:prstGeom>
                        <a:gradFill flip="none" rotWithShape="1">
                          <a:gsLst>
                            <a:gs pos="0">
                              <a:srgbClr val="D7007F">
                                <a:lumMod val="40000"/>
                                <a:lumOff val="60000"/>
                                <a:tint val="66000"/>
                                <a:satMod val="160000"/>
                              </a:srgbClr>
                            </a:gs>
                            <a:gs pos="50000">
                              <a:srgbClr val="D7007F">
                                <a:lumMod val="40000"/>
                                <a:lumOff val="60000"/>
                                <a:tint val="44500"/>
                                <a:satMod val="160000"/>
                              </a:srgbClr>
                            </a:gs>
                            <a:gs pos="100000">
                              <a:srgbClr val="D7007F">
                                <a:lumMod val="40000"/>
                                <a:lumOff val="60000"/>
                                <a:tint val="23500"/>
                                <a:satMod val="160000"/>
                              </a:srgbClr>
                            </a:gs>
                          </a:gsLst>
                          <a:lin ang="2700000" scaled="1"/>
                          <a:tileRect/>
                        </a:gradFill>
                        <a:ln w="25400" cap="flat" cmpd="sng" algn="ctr">
                          <a:solidFill>
                            <a:srgbClr val="00A6E2">
                              <a:shade val="50000"/>
                            </a:srgbClr>
                          </a:solidFill>
                          <a:prstDash val="solid"/>
                        </a:ln>
                        <a:effectLst/>
                      </wps:spPr>
                      <wps:txbx>
                        <w:txbxContent>
                          <w:p w14:paraId="6ADD3198" w14:textId="77777777" w:rsidR="00EC79BD" w:rsidRPr="006F12A8" w:rsidRDefault="00EC79BD" w:rsidP="00EC79BD">
                            <w:pPr>
                              <w:jc w:val="center"/>
                              <w:rPr>
                                <w:rFonts w:asciiTheme="minorHAnsi" w:eastAsia="Times New Roman" w:hAnsiTheme="minorHAnsi" w:cs="Calibri"/>
                                <w:b/>
                                <w:bCs/>
                                <w:color w:val="404040"/>
                                <w:sz w:val="24"/>
                                <w:szCs w:val="28"/>
                                <w:lang w:eastAsia="sv-SE"/>
                              </w:rPr>
                            </w:pPr>
                            <w:r w:rsidRPr="006F12A8">
                              <w:rPr>
                                <w:rFonts w:asciiTheme="minorHAnsi" w:eastAsia="Times New Roman" w:hAnsiTheme="minorHAnsi" w:cs="Calibri"/>
                                <w:b/>
                                <w:bCs/>
                                <w:color w:val="003D7C" w:themeColor="text2"/>
                                <w:sz w:val="24"/>
                                <w:szCs w:val="28"/>
                                <w:lang w:eastAsia="sv-SE"/>
                              </w:rPr>
                              <w:t>Utsättning av inhalerad kortikosteroid hos en KOL-patient sker med försiktighet!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F0D095" id="Rektangel: rundade hörn 1200761873" o:spid="_x0000_s1051" style="position:absolute;margin-left:-15.5pt;margin-top:74.6pt;width:506.35pt;height:50.4pt;z-index:-25154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" fillcolor="#ffa8e2" strokecolor="#0079a6" strokeweight="2pt">
                <v:fill color2="#ffe4f5" rotate="t" angle="45" colors="0 #ffa8e2;.5 #ffc9ec;1 #ffe4f5" focus="100%" type="gradient"/>
                <v:textbox>
                  <w:txbxContent>
                    <w:p w14:paraId="6ADD3198" w14:textId="77777777" w:rsidR="00EC79BD" w:rsidRPr="006F12A8" w:rsidRDefault="00EC79BD" w:rsidP="00EC79BD">
                      <w:pPr>
                        <w:jc w:val="center"/>
                        <w:rPr>
                          <w:rFonts w:asciiTheme="minorHAnsi" w:eastAsia="Times New Roman" w:hAnsiTheme="minorHAnsi" w:cs="Calibri"/>
                          <w:b/>
                          <w:bCs/>
                          <w:color w:val="404040"/>
                          <w:sz w:val="24"/>
                          <w:szCs w:val="28"/>
                          <w:lang w:eastAsia="sv-SE"/>
                        </w:rPr>
                      </w:pPr>
                      <w:r w:rsidRPr="006F12A8">
                        <w:rPr>
                          <w:rFonts w:asciiTheme="minorHAnsi" w:eastAsia="Times New Roman" w:hAnsiTheme="minorHAnsi" w:cs="Calibri"/>
                          <w:b/>
                          <w:bCs/>
                          <w:color w:val="003D7C" w:themeColor="text2"/>
                          <w:sz w:val="24"/>
                          <w:szCs w:val="28"/>
                          <w:lang w:eastAsia="sv-SE"/>
                        </w:rPr>
                        <w:t>Utsättning av inhalerad kortikosteroid hos en KOL-patient sker med försiktighet!</w:t>
                      </w:r>
                    </w:p>
                  </w:txbxContent>
                </v:textbox>
                <w10:wrap anchorx="margin"/>
              </v:roundrect>
            </w:pict>
          </mc:Fallback>
        </mc:AlternateContent>
      </w:r>
      <w:r w:rsidRPr="000C17EB">
        <w:rPr>
          <w:rFonts w:asciiTheme="minorHAnsi" w:hAnsiTheme="minorHAnsi" w:cs="Calibri"/>
          <w:b/>
          <w:bCs/>
          <w:noProof/>
          <w:color w:val="003D7C" w:themeColor="text2"/>
        </w:rPr>
        <mc:AlternateContent>
          <mc:Choice Requires="wps">
            <w:drawing>
              <wp:anchor distT="0" distB="0" distL="114300" distR="114300" simplePos="0" relativeHeight="251773952" behindDoc="1" locked="0" layoutInCell="1" allowOverlap="1" wp14:anchorId="6D8D18CF" wp14:editId="58FDAF8A">
                <wp:simplePos x="0" y="0"/>
                <wp:positionH relativeFrom="margin">
                  <wp:posOffset>-203043</wp:posOffset>
                </wp:positionH>
                <wp:positionV relativeFrom="paragraph">
                  <wp:posOffset>3223</wp:posOffset>
                </wp:positionV>
                <wp:extent cx="6400165" cy="760021"/>
                <wp:effectExtent l="0" t="0" r="19685" b="21590"/>
                <wp:wrapNone/>
                <wp:docPr id="1200761872" name="Rektangel: rundade hörn 1200761872"/>
                <wp:cNvGraphicFramePr/>
                <a:graphic xmlns:a="http://schemas.openxmlformats.org/drawingml/2006/main">
                  <a:graphicData uri="http://schemas.microsoft.com/office/word/2010/wordprocessingShape">
                    <wps:wsp>
                      <wps:cNvSpPr/>
                      <wps:spPr>
                        <a:xfrm>
                          <a:off x="0" y="0"/>
                          <a:ext cx="6400165" cy="760021"/>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txbx>
                        <w:txbxContent>
                          <w:p w14:paraId="42C47540" w14:textId="77777777" w:rsidR="00EC79BD" w:rsidRDefault="00EC79BD" w:rsidP="00EC79BD">
                            <w:pPr>
                              <w:jc w:val="center"/>
                            </w:pPr>
                          </w:p>
                          <w:p w14:paraId="05D2FAC9" w14:textId="77777777" w:rsidR="00EC79BD" w:rsidRDefault="00EC79BD" w:rsidP="00EC79BD">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8D18CF" id="Rektangel: rundade hörn 1200761872" o:spid="_x0000_s1052" style="position:absolute;margin-left:-16pt;margin-top:.25pt;width:503.95pt;height:59.8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" fillcolor="#86cdff" strokecolor="#0079a6" strokeweight="2pt">
                <v:fill color2="#dceeff" rotate="t" angle="45" colors="0 #86cdff;.5 #b7deff;1 #dceeff" focus="100%" type="gradient"/>
                <v:textbox>
                  <w:txbxContent>
                    <w:p w14:paraId="42C47540" w14:textId="77777777" w:rsidR="00EC79BD" w:rsidRDefault="00EC79BD" w:rsidP="00EC79BD">
                      <w:pPr>
                        <w:jc w:val="center"/>
                      </w:pPr>
                    </w:p>
                    <w:p w14:paraId="05D2FAC9" w14:textId="77777777" w:rsidR="00EC79BD" w:rsidRDefault="00EC79BD" w:rsidP="00EC79BD">
                      <w:r>
                        <w:br/>
                      </w:r>
                    </w:p>
                  </w:txbxContent>
                </v:textbox>
                <w10:wrap anchorx="margin"/>
              </v:roundrect>
            </w:pict>
          </mc:Fallback>
        </mc:AlternateContent>
      </w:r>
      <w:r>
        <w:rPr>
          <w:rFonts w:asciiTheme="minorHAnsi" w:hAnsiTheme="minorHAnsi" w:cs="Calibri"/>
          <w:b/>
          <w:bCs/>
          <w:color w:val="003D7C" w:themeColor="text2"/>
        </w:rPr>
        <w:br/>
      </w:r>
      <w:r w:rsidRPr="000C17EB">
        <w:rPr>
          <w:rFonts w:asciiTheme="minorHAnsi" w:hAnsiTheme="minorHAnsi" w:cs="Calibri"/>
          <w:b/>
          <w:bCs/>
          <w:color w:val="003D7C" w:themeColor="text2"/>
        </w:rPr>
        <w:t xml:space="preserve">GOLD B behandlas alltid med både </w:t>
      </w:r>
      <w:hyperlink w:anchor="_ORDLISTA" w:history="1">
        <w:r w:rsidRPr="000C17EB">
          <w:rPr>
            <w:rStyle w:val="Hyperlnk"/>
            <w:rFonts w:asciiTheme="minorHAnsi" w:hAnsiTheme="minorHAnsi" w:cs="Calibri"/>
            <w:b/>
            <w:bCs/>
            <w:color w:val="B46400" w:themeColor="accent6" w:themeShade="BF"/>
          </w:rPr>
          <w:t>LABA</w:t>
        </w:r>
      </w:hyperlink>
      <w:r w:rsidRPr="000C17EB">
        <w:rPr>
          <w:rFonts w:asciiTheme="minorHAnsi" w:hAnsiTheme="minorHAnsi" w:cs="Calibri"/>
          <w:b/>
          <w:bCs/>
          <w:color w:val="003D7C" w:themeColor="text2"/>
        </w:rPr>
        <w:t xml:space="preserve"> </w:t>
      </w:r>
      <w:r w:rsidRPr="000C17EB">
        <w:rPr>
          <w:rFonts w:asciiTheme="minorHAnsi" w:hAnsiTheme="minorHAnsi" w:cs="Calibri"/>
          <w:b/>
          <w:bCs/>
          <w:color w:val="003D7C" w:themeColor="text2"/>
          <w:u w:val="single"/>
        </w:rPr>
        <w:t>OCH</w:t>
      </w:r>
      <w:r w:rsidRPr="000C17EB">
        <w:rPr>
          <w:rFonts w:asciiTheme="minorHAnsi" w:hAnsiTheme="minorHAnsi" w:cs="Calibri"/>
          <w:b/>
          <w:bCs/>
          <w:color w:val="003D7C" w:themeColor="text2"/>
        </w:rPr>
        <w:t xml:space="preserve"> </w:t>
      </w:r>
      <w:hyperlink w:anchor="_ORDLISTA" w:history="1">
        <w:r w:rsidRPr="000C17EB">
          <w:rPr>
            <w:rStyle w:val="Hyperlnk"/>
            <w:rFonts w:asciiTheme="minorHAnsi" w:hAnsiTheme="minorHAnsi" w:cs="Calibri"/>
            <w:b/>
            <w:bCs/>
            <w:color w:val="B46400" w:themeColor="accent6" w:themeShade="BF"/>
          </w:rPr>
          <w:t>LAMA</w:t>
        </w:r>
      </w:hyperlink>
      <w:r w:rsidRPr="000C17EB">
        <w:rPr>
          <w:rFonts w:asciiTheme="minorHAnsi" w:hAnsiTheme="minorHAnsi" w:cs="Calibri"/>
          <w:b/>
          <w:bCs/>
          <w:color w:val="003D7C" w:themeColor="text2"/>
        </w:rPr>
        <w:t xml:space="preserve"> </w:t>
      </w:r>
      <w:r w:rsidRPr="000C17EB">
        <w:rPr>
          <w:rFonts w:asciiTheme="minorHAnsi" w:hAnsiTheme="minorHAnsi" w:cs="Calibri"/>
          <w:b/>
          <w:bCs/>
          <w:color w:val="003D7C" w:themeColor="text2"/>
        </w:rPr>
        <w:br/>
      </w:r>
      <w:r w:rsidRPr="000C17EB">
        <w:rPr>
          <w:rFonts w:asciiTheme="minorHAnsi" w:hAnsiTheme="minorHAnsi" w:cs="Calibri"/>
          <w:color w:val="003D7C" w:themeColor="text2"/>
        </w:rPr>
        <w:t xml:space="preserve">Ersätter tidigare alternativet LABA </w:t>
      </w:r>
      <w:r w:rsidRPr="000C17EB">
        <w:rPr>
          <w:rFonts w:asciiTheme="minorHAnsi" w:hAnsiTheme="minorHAnsi" w:cs="Calibri"/>
          <w:color w:val="003D7C" w:themeColor="text2"/>
          <w:u w:val="single"/>
        </w:rPr>
        <w:t>ELLER</w:t>
      </w:r>
      <w:r w:rsidRPr="000C17EB">
        <w:rPr>
          <w:rFonts w:asciiTheme="minorHAnsi" w:hAnsiTheme="minorHAnsi" w:cs="Calibri"/>
          <w:color w:val="003D7C" w:themeColor="text2"/>
        </w:rPr>
        <w:t xml:space="preserve"> LAMA (kunde dock även tidigare ges tillsammans utifrån patientens behov).</w:t>
      </w:r>
      <w:r w:rsidRPr="000C17EB">
        <w:rPr>
          <w:rFonts w:asciiTheme="minorHAnsi" w:hAnsiTheme="minorHAnsi" w:cs="Calibri"/>
          <w:color w:val="003D7C" w:themeColor="text2"/>
        </w:rPr>
        <w:br/>
      </w:r>
    </w:p>
    <w:p w14:paraId="73E905C5" w14:textId="77777777" w:rsidR="00EC79BD" w:rsidRPr="000C17EB" w:rsidRDefault="00EC79BD" w:rsidP="00EC79BD">
      <w:pPr>
        <w:pStyle w:val="Normal4"/>
        <w:spacing w:before="0" w:beforeAutospacing="0" w:after="0" w:afterAutospacing="0"/>
        <w:ind w:left="420"/>
        <w:rPr>
          <w:rFonts w:asciiTheme="minorHAnsi" w:hAnsiTheme="minorHAnsi" w:cs="Calibri"/>
          <w:color w:val="A1005E" w:themeColor="accent5" w:themeShade="BF"/>
        </w:rPr>
      </w:pPr>
    </w:p>
    <w:p w14:paraId="4D8F4A2E" w14:textId="77777777" w:rsidR="00EC79BD" w:rsidRPr="000C17EB" w:rsidRDefault="00EC79BD" w:rsidP="00EC79BD">
      <w:pPr>
        <w:pStyle w:val="Normal4"/>
        <w:spacing w:before="0" w:beforeAutospacing="0" w:after="0" w:afterAutospacing="0"/>
        <w:ind w:left="420"/>
        <w:rPr>
          <w:rFonts w:asciiTheme="minorHAnsi" w:hAnsiTheme="minorHAnsi" w:cs="Calibri"/>
          <w:color w:val="A1005E" w:themeColor="accent5" w:themeShade="BF"/>
        </w:rPr>
      </w:pPr>
    </w:p>
    <w:p w14:paraId="0D1DAB0B" w14:textId="77777777" w:rsidR="00EC79BD" w:rsidRPr="000C17EB" w:rsidRDefault="00EC79BD" w:rsidP="00EC79BD">
      <w:pPr>
        <w:pStyle w:val="Normal4"/>
        <w:spacing w:before="0" w:beforeAutospacing="0" w:after="0" w:afterAutospacing="0"/>
        <w:ind w:left="420"/>
        <w:rPr>
          <w:rFonts w:asciiTheme="minorHAnsi" w:hAnsiTheme="minorHAnsi" w:cs="Calibri"/>
          <w:color w:val="A1005E" w:themeColor="accent5" w:themeShade="BF"/>
        </w:rPr>
      </w:pPr>
    </w:p>
    <w:p w14:paraId="463780CA" w14:textId="77777777" w:rsidR="00EC79BD" w:rsidRPr="000C17EB" w:rsidRDefault="00EC79BD" w:rsidP="00EC79BD">
      <w:pPr>
        <w:pStyle w:val="Normal4"/>
        <w:spacing w:before="0" w:beforeAutospacing="0" w:after="0" w:afterAutospacing="0"/>
        <w:ind w:left="420"/>
        <w:rPr>
          <w:rFonts w:asciiTheme="minorHAnsi" w:hAnsiTheme="minorHAnsi" w:cs="Calibri"/>
          <w:color w:val="A1005E" w:themeColor="accent5" w:themeShade="BF"/>
        </w:rPr>
      </w:pPr>
    </w:p>
    <w:p w14:paraId="5A549D46" w14:textId="77777777" w:rsidR="00EC79BD" w:rsidRPr="000C17EB" w:rsidRDefault="00EC79BD" w:rsidP="00EC79BD">
      <w:pPr>
        <w:pStyle w:val="Normal4"/>
        <w:spacing w:before="0" w:beforeAutospacing="0" w:after="0" w:afterAutospacing="0"/>
        <w:ind w:left="420"/>
        <w:rPr>
          <w:rFonts w:asciiTheme="minorHAnsi" w:hAnsiTheme="minorHAnsi" w:cs="Calibri"/>
          <w:color w:val="A1005E" w:themeColor="accent5" w:themeShade="BF"/>
        </w:rPr>
      </w:pPr>
    </w:p>
    <w:p w14:paraId="7B2262BD" w14:textId="77777777" w:rsidR="00EC79BD" w:rsidRPr="00FB035B" w:rsidRDefault="00EC79BD" w:rsidP="00EC79BD">
      <w:pPr>
        <w:pStyle w:val="Rubrik3"/>
        <w:rPr>
          <w:rStyle w:val="Stark"/>
          <w:b/>
          <w:bCs w:val="0"/>
        </w:rPr>
      </w:pPr>
      <w:r>
        <w:rPr>
          <w:rStyle w:val="Stark"/>
          <w:b/>
        </w:rPr>
        <w:t>Diagnos</w:t>
      </w:r>
    </w:p>
    <w:p w14:paraId="7132E478" w14:textId="77777777" w:rsidR="00EC79BD" w:rsidRPr="006F12A8" w:rsidRDefault="00EC79BD" w:rsidP="00EC79BD">
      <w:pPr>
        <w:pStyle w:val="Rubrik3"/>
        <w:rPr>
          <w:rFonts w:asciiTheme="minorHAnsi" w:hAnsiTheme="minorHAnsi" w:cs="Calibri"/>
          <w:szCs w:val="24"/>
        </w:rPr>
      </w:pPr>
      <w:bookmarkStart w:id="58" w:name="_Toc150457995"/>
      <w:r w:rsidRPr="006F12A8">
        <w:rPr>
          <w:rFonts w:asciiTheme="minorHAnsi" w:hAnsiTheme="minorHAnsi" w:cs="Calibri"/>
          <w:szCs w:val="24"/>
        </w:rPr>
        <w:t>Att sätta KOL-diagnos</w:t>
      </w:r>
      <w:bookmarkEnd w:id="58"/>
      <w:r w:rsidRPr="006F12A8">
        <w:rPr>
          <w:rFonts w:asciiTheme="minorHAnsi" w:hAnsiTheme="minorHAnsi" w:cs="Calibri"/>
          <w:szCs w:val="24"/>
        </w:rPr>
        <w:t xml:space="preserve"> </w:t>
      </w:r>
    </w:p>
    <w:p w14:paraId="4873BA84" w14:textId="77777777" w:rsidR="00EC79BD" w:rsidRPr="006F12A8" w:rsidRDefault="00EC79BD" w:rsidP="00EC79BD">
      <w:pPr>
        <w:numPr>
          <w:ilvl w:val="0"/>
          <w:numId w:val="92"/>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6F12A8">
        <w:rPr>
          <w:rStyle w:val="Stark"/>
          <w:rFonts w:asciiTheme="minorHAnsi" w:hAnsiTheme="minorHAnsi"/>
          <w:b w:val="0"/>
          <w:bCs/>
          <w:sz w:val="24"/>
          <w:szCs w:val="24"/>
        </w:rPr>
        <w:t>Riskfaktorer (ärftlighet, exponering)</w:t>
      </w:r>
      <w:r w:rsidRPr="006F12A8">
        <w:rPr>
          <w:rStyle w:val="Stark"/>
          <w:rFonts w:asciiTheme="minorHAnsi" w:hAnsiTheme="minorHAnsi"/>
          <w:b w:val="0"/>
          <w:bCs/>
          <w:sz w:val="24"/>
          <w:szCs w:val="24"/>
        </w:rPr>
        <w:br/>
      </w:r>
    </w:p>
    <w:p w14:paraId="1AC73B96" w14:textId="77777777" w:rsidR="00EC79BD" w:rsidRPr="006F12A8" w:rsidRDefault="00EC79BD" w:rsidP="00EC79BD">
      <w:pPr>
        <w:numPr>
          <w:ilvl w:val="0"/>
          <w:numId w:val="92"/>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6F12A8">
        <w:rPr>
          <w:rStyle w:val="Stark"/>
          <w:rFonts w:asciiTheme="minorHAnsi" w:hAnsiTheme="minorHAnsi"/>
          <w:b w:val="0"/>
          <w:bCs/>
          <w:sz w:val="24"/>
          <w:szCs w:val="24"/>
        </w:rPr>
        <w:t>Symtom:</w:t>
      </w:r>
    </w:p>
    <w:p w14:paraId="6845B6F7" w14:textId="77777777" w:rsidR="00EC79BD" w:rsidRPr="006F12A8" w:rsidRDefault="00EC79BD" w:rsidP="00EC79BD">
      <w:pPr>
        <w:numPr>
          <w:ilvl w:val="1"/>
          <w:numId w:val="92"/>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6F12A8">
        <w:rPr>
          <w:rStyle w:val="Stark"/>
          <w:rFonts w:asciiTheme="minorHAnsi" w:hAnsiTheme="minorHAnsi"/>
          <w:b w:val="0"/>
          <w:bCs/>
          <w:sz w:val="24"/>
          <w:szCs w:val="24"/>
        </w:rPr>
        <w:t>Långvariga och återkommande förkylningar/bronkitsymtom hos medelålders individer</w:t>
      </w:r>
    </w:p>
    <w:p w14:paraId="55891AE3" w14:textId="77777777" w:rsidR="00EC79BD" w:rsidRPr="006F12A8" w:rsidRDefault="00EC79BD" w:rsidP="00EC79BD">
      <w:pPr>
        <w:numPr>
          <w:ilvl w:val="1"/>
          <w:numId w:val="92"/>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6F12A8">
        <w:rPr>
          <w:rStyle w:val="Stark"/>
          <w:rFonts w:asciiTheme="minorHAnsi" w:hAnsiTheme="minorHAnsi"/>
          <w:b w:val="0"/>
          <w:bCs/>
          <w:sz w:val="24"/>
          <w:szCs w:val="24"/>
        </w:rPr>
        <w:t>Hosta, ökad slemproduktion, dyspné eller pip i bröstet</w:t>
      </w:r>
    </w:p>
    <w:p w14:paraId="07D96BA8" w14:textId="77777777" w:rsidR="00EC79BD" w:rsidRPr="006F12A8" w:rsidRDefault="00EC79BD" w:rsidP="00EC79BD">
      <w:pPr>
        <w:numPr>
          <w:ilvl w:val="1"/>
          <w:numId w:val="92"/>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6F12A8">
        <w:rPr>
          <w:rStyle w:val="Stark"/>
          <w:rFonts w:asciiTheme="minorHAnsi" w:hAnsiTheme="minorHAnsi"/>
          <w:b w:val="0"/>
          <w:bCs/>
          <w:sz w:val="24"/>
          <w:szCs w:val="24"/>
        </w:rPr>
        <w:t>Fatigue</w:t>
      </w:r>
      <w:r w:rsidRPr="006F12A8">
        <w:rPr>
          <w:rStyle w:val="Stark"/>
          <w:rFonts w:asciiTheme="minorHAnsi" w:hAnsiTheme="minorHAnsi"/>
          <w:b w:val="0"/>
          <w:bCs/>
          <w:sz w:val="24"/>
          <w:szCs w:val="24"/>
        </w:rPr>
        <w:br/>
      </w:r>
    </w:p>
    <w:p w14:paraId="3B03C2CE" w14:textId="77777777" w:rsidR="00EC79BD" w:rsidRPr="006F12A8" w:rsidRDefault="00EC79BD" w:rsidP="00EC79BD">
      <w:pPr>
        <w:numPr>
          <w:ilvl w:val="0"/>
          <w:numId w:val="92"/>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hyperlink w:anchor="_ORDLISTA" w:history="1">
        <w:r w:rsidRPr="006F12A8">
          <w:rPr>
            <w:rStyle w:val="Stark"/>
            <w:rFonts w:asciiTheme="minorHAnsi" w:hAnsiTheme="minorHAnsi"/>
            <w:b w:val="0"/>
            <w:bCs/>
            <w:sz w:val="24"/>
            <w:szCs w:val="24"/>
          </w:rPr>
          <w:t>FEV1</w:t>
        </w:r>
      </w:hyperlink>
      <w:r w:rsidRPr="006F12A8">
        <w:rPr>
          <w:rStyle w:val="Stark"/>
          <w:rFonts w:asciiTheme="minorHAnsi" w:hAnsiTheme="minorHAnsi"/>
          <w:b w:val="0"/>
          <w:bCs/>
          <w:sz w:val="24"/>
          <w:szCs w:val="24"/>
        </w:rPr>
        <w:t>/</w:t>
      </w:r>
      <w:hyperlink w:anchor="_ORDLISTA" w:history="1">
        <w:r w:rsidRPr="006F12A8">
          <w:rPr>
            <w:rStyle w:val="Stark"/>
            <w:rFonts w:asciiTheme="minorHAnsi" w:hAnsiTheme="minorHAnsi"/>
            <w:b w:val="0"/>
            <w:bCs/>
            <w:sz w:val="24"/>
            <w:szCs w:val="24"/>
          </w:rPr>
          <w:t>FVC</w:t>
        </w:r>
      </w:hyperlink>
      <w:r w:rsidRPr="006F12A8">
        <w:rPr>
          <w:rStyle w:val="Stark"/>
          <w:rFonts w:asciiTheme="minorHAnsi" w:hAnsiTheme="minorHAnsi"/>
          <w:b w:val="0"/>
          <w:bCs/>
          <w:sz w:val="24"/>
          <w:szCs w:val="24"/>
        </w:rPr>
        <w:t>-kvot &lt;0,7 efter bronkdilatation</w:t>
      </w:r>
    </w:p>
    <w:p w14:paraId="1A552A36" w14:textId="77777777" w:rsidR="00EC79BD" w:rsidRPr="006F12A8" w:rsidRDefault="00EC79BD" w:rsidP="00EC79BD">
      <w:pPr>
        <w:numPr>
          <w:ilvl w:val="1"/>
          <w:numId w:val="92"/>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6F12A8">
        <w:rPr>
          <w:rStyle w:val="Stark"/>
          <w:rFonts w:asciiTheme="minorHAnsi" w:hAnsiTheme="minorHAnsi"/>
          <w:b w:val="0"/>
          <w:bCs/>
          <w:sz w:val="24"/>
          <w:szCs w:val="24"/>
        </w:rPr>
        <w:lastRenderedPageBreak/>
        <w:t>Notera att även om signifikant reversibilitet (&gt;12% och 200 ml ökning av FEV1) finns hos mer än hälften av KOL-patienterna kommer kvoten aldrig normaliseras</w:t>
      </w:r>
    </w:p>
    <w:p w14:paraId="50411722" w14:textId="77777777" w:rsidR="00EC79BD" w:rsidRPr="006F12A8" w:rsidRDefault="00EC79BD" w:rsidP="00EC79BD">
      <w:pPr>
        <w:numPr>
          <w:ilvl w:val="1"/>
          <w:numId w:val="92"/>
        </w:num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6F12A8">
        <w:rPr>
          <w:rStyle w:val="Stark"/>
          <w:rFonts w:asciiTheme="minorHAnsi" w:hAnsiTheme="minorHAnsi"/>
          <w:b w:val="0"/>
          <w:bCs/>
          <w:sz w:val="24"/>
          <w:szCs w:val="24"/>
        </w:rPr>
        <w:t>Vid FEV1/FVC-kvot mellan 0,6-0,8 betonas behov av upprepade spirometrier</w:t>
      </w:r>
    </w:p>
    <w:p w14:paraId="6C21520F" w14:textId="77777777" w:rsidR="00EC79BD" w:rsidRPr="006F12A8" w:rsidRDefault="00EC79BD" w:rsidP="00EC79BD">
      <w:pPr>
        <w:shd w:val="clear" w:color="auto" w:fill="FFFFFF"/>
        <w:tabs>
          <w:tab w:val="clear" w:pos="284"/>
        </w:tabs>
        <w:spacing w:before="100" w:beforeAutospacing="1" w:after="100" w:afterAutospacing="1" w:line="240" w:lineRule="auto"/>
        <w:rPr>
          <w:rFonts w:asciiTheme="minorHAnsi" w:hAnsiTheme="minorHAnsi" w:cs="Calibri"/>
          <w:bCs/>
          <w:sz w:val="24"/>
          <w:szCs w:val="24"/>
        </w:rPr>
      </w:pPr>
      <w:r w:rsidRPr="006F12A8">
        <w:rPr>
          <w:rStyle w:val="Stark"/>
          <w:rFonts w:asciiTheme="minorHAnsi" w:hAnsiTheme="minorHAnsi"/>
          <w:b w:val="0"/>
          <w:bCs/>
          <w:sz w:val="24"/>
          <w:szCs w:val="24"/>
        </w:rPr>
        <w:t>Samsjuklighet bör beaktas där kardiovaskulär sjuklighet, osteoporos samt depression kan nämnas</w:t>
      </w:r>
      <w:bookmarkStart w:id="59" w:name="_Toc150457996"/>
      <w:r>
        <w:rPr>
          <w:rStyle w:val="Stark"/>
          <w:rFonts w:asciiTheme="minorHAnsi" w:hAnsiTheme="minorHAnsi"/>
          <w:b w:val="0"/>
          <w:bCs/>
          <w:sz w:val="24"/>
          <w:szCs w:val="24"/>
        </w:rPr>
        <w:t xml:space="preserve"> </w:t>
      </w:r>
      <w:r w:rsidRPr="006F12A8">
        <w:rPr>
          <w:rFonts w:asciiTheme="minorHAnsi" w:hAnsiTheme="minorHAnsi" w:cs="Calibri"/>
          <w:bCs/>
          <w:sz w:val="24"/>
          <w:szCs w:val="24"/>
        </w:rPr>
        <w:t>Screening med minispirometer (</w:t>
      </w:r>
      <w:hyperlink w:anchor="_ORDLISTA" w:history="1">
        <w:r w:rsidRPr="006F12A8">
          <w:rPr>
            <w:rStyle w:val="Hyperlnk"/>
            <w:rFonts w:asciiTheme="minorHAnsi" w:hAnsiTheme="minorHAnsi" w:cs="Calibri"/>
            <w:bCs/>
            <w:color w:val="B46400" w:themeColor="accent6" w:themeShade="BF"/>
            <w:sz w:val="24"/>
            <w:szCs w:val="24"/>
          </w:rPr>
          <w:t>FEV</w:t>
        </w:r>
        <w:r w:rsidRPr="006F12A8">
          <w:rPr>
            <w:rStyle w:val="Hyperlnk"/>
            <w:rFonts w:asciiTheme="minorHAnsi" w:hAnsiTheme="minorHAnsi" w:cs="Calibri"/>
            <w:bCs/>
            <w:color w:val="B46400" w:themeColor="accent6" w:themeShade="BF"/>
            <w:sz w:val="24"/>
            <w:szCs w:val="24"/>
            <w:vertAlign w:val="subscript"/>
          </w:rPr>
          <w:t>1</w:t>
        </w:r>
      </w:hyperlink>
      <w:r w:rsidRPr="006F12A8">
        <w:rPr>
          <w:rFonts w:asciiTheme="minorHAnsi" w:hAnsiTheme="minorHAnsi" w:cs="Calibri"/>
          <w:bCs/>
          <w:sz w:val="24"/>
          <w:szCs w:val="24"/>
        </w:rPr>
        <w:t>/</w:t>
      </w:r>
      <w:hyperlink w:anchor="_ORDLISTA" w:history="1">
        <w:r w:rsidRPr="006F12A8">
          <w:rPr>
            <w:rStyle w:val="Hyperlnk"/>
            <w:rFonts w:asciiTheme="minorHAnsi" w:hAnsiTheme="minorHAnsi" w:cs="Calibri"/>
            <w:bCs/>
            <w:color w:val="B46400" w:themeColor="accent6" w:themeShade="BF"/>
            <w:sz w:val="24"/>
            <w:szCs w:val="24"/>
          </w:rPr>
          <w:t>FEV</w:t>
        </w:r>
        <w:r w:rsidRPr="006F12A8">
          <w:rPr>
            <w:rStyle w:val="Hyperlnk"/>
            <w:rFonts w:asciiTheme="minorHAnsi" w:hAnsiTheme="minorHAnsi" w:cs="Calibri"/>
            <w:bCs/>
            <w:color w:val="B46400" w:themeColor="accent6" w:themeShade="BF"/>
            <w:sz w:val="24"/>
            <w:szCs w:val="24"/>
            <w:vertAlign w:val="subscript"/>
          </w:rPr>
          <w:t>6</w:t>
        </w:r>
      </w:hyperlink>
      <w:r w:rsidRPr="006F12A8">
        <w:rPr>
          <w:rFonts w:asciiTheme="minorHAnsi" w:hAnsiTheme="minorHAnsi" w:cs="Calibri"/>
          <w:bCs/>
          <w:sz w:val="24"/>
          <w:szCs w:val="24"/>
        </w:rPr>
        <w:t>)</w:t>
      </w:r>
      <w:bookmarkEnd w:id="59"/>
    </w:p>
    <w:p w14:paraId="5555FA11" w14:textId="77777777" w:rsidR="00EC79BD" w:rsidRDefault="00EC79BD" w:rsidP="00EC79BD">
      <w:pPr>
        <w:shd w:val="clear" w:color="auto" w:fill="FFFFFF"/>
        <w:tabs>
          <w:tab w:val="clear" w:pos="284"/>
        </w:tabs>
        <w:spacing w:before="100" w:beforeAutospacing="1" w:after="100" w:afterAutospacing="1" w:line="240" w:lineRule="auto"/>
        <w:rPr>
          <w:rStyle w:val="Stark"/>
          <w:rFonts w:asciiTheme="minorHAnsi" w:hAnsiTheme="minorHAnsi"/>
          <w:b w:val="0"/>
          <w:bCs/>
          <w:sz w:val="24"/>
          <w:szCs w:val="24"/>
        </w:rPr>
      </w:pPr>
      <w:r w:rsidRPr="006F12A8">
        <w:rPr>
          <w:rStyle w:val="Stark"/>
          <w:rFonts w:asciiTheme="minorHAnsi" w:hAnsiTheme="minorHAnsi"/>
          <w:b w:val="0"/>
          <w:bCs/>
          <w:sz w:val="24"/>
          <w:szCs w:val="24"/>
        </w:rPr>
        <w:t>Underdiagnostiken är stor och screening bör erbjudas till personer som röker eller har rökt med symptom från luftvägarna. En FEV1/FEV6-kvot under 0,73 är en indikation för att utreda vidare med dynamisk spirometri för att identifiera patienter med KOL</w:t>
      </w:r>
    </w:p>
    <w:p w14:paraId="5E673850" w14:textId="77777777" w:rsidR="00EC79BD" w:rsidRDefault="00EC79BD" w:rsidP="00EC79BD">
      <w:pPr>
        <w:pStyle w:val="Rubrik3"/>
        <w:rPr>
          <w:rStyle w:val="Stark"/>
          <w:b/>
        </w:rPr>
      </w:pPr>
      <w:r>
        <w:rPr>
          <w:rStyle w:val="Stark"/>
          <w:b/>
        </w:rPr>
        <w:t>Bedömning av sjukdomens svårighet</w:t>
      </w:r>
    </w:p>
    <w:p w14:paraId="38E8429C" w14:textId="77777777" w:rsidR="00EC79BD" w:rsidRPr="006F12A8" w:rsidRDefault="00EC79BD" w:rsidP="00EC79BD">
      <w:pPr>
        <w:rPr>
          <w:b/>
          <w:bCs/>
          <w:sz w:val="24"/>
          <w:szCs w:val="24"/>
        </w:rPr>
      </w:pPr>
      <w:r w:rsidRPr="006F12A8">
        <w:rPr>
          <w:b/>
          <w:bCs/>
          <w:sz w:val="24"/>
          <w:szCs w:val="24"/>
        </w:rPr>
        <w:t>Stadieindelningar och klassifikationer</w:t>
      </w:r>
    </w:p>
    <w:p w14:paraId="41502394" w14:textId="77777777" w:rsidR="00EC79BD" w:rsidRPr="006F12A8" w:rsidRDefault="00EC79BD" w:rsidP="00EC79BD">
      <w:pPr>
        <w:pStyle w:val="Normal4"/>
        <w:spacing w:before="0" w:beforeAutospacing="0" w:after="0" w:afterAutospacing="0"/>
        <w:rPr>
          <w:rFonts w:asciiTheme="minorHAnsi" w:hAnsiTheme="minorHAnsi" w:cs="Calibri"/>
          <w:color w:val="404040"/>
        </w:rPr>
      </w:pPr>
      <w:r w:rsidRPr="006F12A8">
        <w:rPr>
          <w:rFonts w:asciiTheme="minorHAnsi" w:hAnsiTheme="minorHAnsi" w:cs="Calibri"/>
          <w:color w:val="404040"/>
        </w:rPr>
        <w:t xml:space="preserve">Görs utifrån lungfunktionsnedsättning (GOLD-stadium 1-4) samt symptombild och exacerbationsfrekvens (GOLD-grupper A, B och E). </w:t>
      </w:r>
    </w:p>
    <w:p w14:paraId="3A71B47D" w14:textId="77777777" w:rsidR="00EC79BD" w:rsidRPr="001F551E" w:rsidRDefault="00EC79BD" w:rsidP="00EC79BD">
      <w:pPr>
        <w:pStyle w:val="Rubrik3"/>
        <w:rPr>
          <w:rFonts w:cs="Calibri"/>
          <w:szCs w:val="24"/>
        </w:rPr>
      </w:pPr>
      <w:bookmarkStart w:id="60" w:name="_Toc150457998"/>
      <w:r w:rsidRPr="001F551E">
        <w:rPr>
          <w:rFonts w:cs="Calibri"/>
          <w:szCs w:val="24"/>
        </w:rPr>
        <w:t>GOLD-stadium</w:t>
      </w:r>
      <w:bookmarkEnd w:id="60"/>
      <w:r w:rsidRPr="001F551E">
        <w:rPr>
          <w:rFonts w:cs="Calibri"/>
          <w:szCs w:val="24"/>
        </w:rPr>
        <w:br/>
      </w:r>
    </w:p>
    <w:tbl>
      <w:tblPr>
        <w:tblStyle w:val="Listtabell7frgstarkdekorfrg1"/>
        <w:tblW w:w="0" w:type="auto"/>
        <w:tblLook w:val="04A0" w:firstRow="1" w:lastRow="0" w:firstColumn="1" w:lastColumn="0" w:noHBand="0" w:noVBand="1"/>
      </w:tblPr>
      <w:tblGrid>
        <w:gridCol w:w="3544"/>
        <w:gridCol w:w="4382"/>
      </w:tblGrid>
      <w:tr w:rsidR="00EC79BD" w:rsidRPr="000C17EB" w14:paraId="77D1C140" w14:textId="77777777" w:rsidTr="00632FC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44" w:type="dxa"/>
          </w:tcPr>
          <w:p w14:paraId="37260371" w14:textId="77777777" w:rsidR="00EC79BD" w:rsidRPr="000C17EB" w:rsidRDefault="00EC79BD" w:rsidP="00632FCC">
            <w:pPr>
              <w:rPr>
                <w:rFonts w:asciiTheme="minorHAnsi" w:hAnsiTheme="minorHAnsi" w:cs="Calibri"/>
                <w:szCs w:val="24"/>
              </w:rPr>
            </w:pPr>
          </w:p>
        </w:tc>
        <w:tc>
          <w:tcPr>
            <w:tcW w:w="4382" w:type="dxa"/>
          </w:tcPr>
          <w:p w14:paraId="485ECC55" w14:textId="77777777" w:rsidR="00EC79BD" w:rsidRPr="000C17EB" w:rsidRDefault="00EC79BD" w:rsidP="00632FCC">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szCs w:val="24"/>
              </w:rPr>
            </w:pPr>
          </w:p>
        </w:tc>
      </w:tr>
      <w:tr w:rsidR="00EC79BD" w:rsidRPr="000C17EB" w14:paraId="6E624087"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4EFB56D" w14:textId="77777777" w:rsidR="00EC79BD" w:rsidRPr="00D1411A" w:rsidRDefault="00EC79BD" w:rsidP="00632FCC">
            <w:pPr>
              <w:rPr>
                <w:rStyle w:val="Stark"/>
                <w:b w:val="0"/>
                <w:bCs/>
                <w:i w:val="0"/>
                <w:iCs w:val="0"/>
                <w:color w:val="003D7C" w:themeColor="text2"/>
              </w:rPr>
            </w:pPr>
            <w:r w:rsidRPr="00D1411A">
              <w:rPr>
                <w:rStyle w:val="Stark"/>
                <w:b w:val="0"/>
                <w:i w:val="0"/>
                <w:color w:val="003D7C" w:themeColor="text2"/>
              </w:rPr>
              <w:t>GOLD-stadium</w:t>
            </w:r>
          </w:p>
        </w:tc>
        <w:tc>
          <w:tcPr>
            <w:tcW w:w="4382" w:type="dxa"/>
          </w:tcPr>
          <w:p w14:paraId="3B0FF622" w14:textId="77777777" w:rsidR="00EC79BD" w:rsidRPr="00D1411A" w:rsidRDefault="00EC79BD" w:rsidP="00632FCC">
            <w:pPr>
              <w:cnfStyle w:val="000000100000" w:firstRow="0" w:lastRow="0" w:firstColumn="0" w:lastColumn="0" w:oddVBand="0" w:evenVBand="0" w:oddHBand="1" w:evenHBand="0" w:firstRowFirstColumn="0" w:firstRowLastColumn="0" w:lastRowFirstColumn="0" w:lastRowLastColumn="0"/>
              <w:rPr>
                <w:rStyle w:val="Stark"/>
                <w:b w:val="0"/>
                <w:bCs/>
                <w:iCs/>
                <w:color w:val="003D7C" w:themeColor="text2"/>
              </w:rPr>
            </w:pPr>
            <w:hyperlink w:anchor="_ORDLISTA" w:history="1">
              <w:r w:rsidRPr="00D1411A">
                <w:rPr>
                  <w:rStyle w:val="Stark"/>
                  <w:b w:val="0"/>
                  <w:color w:val="003D7C" w:themeColor="text2"/>
                </w:rPr>
                <w:t>FEV1</w:t>
              </w:r>
            </w:hyperlink>
            <w:r w:rsidRPr="00D1411A">
              <w:rPr>
                <w:rStyle w:val="Stark"/>
                <w:b w:val="0"/>
                <w:color w:val="003D7C" w:themeColor="text2"/>
              </w:rPr>
              <w:t xml:space="preserve"> (% av förväntat värde)</w:t>
            </w:r>
          </w:p>
        </w:tc>
      </w:tr>
      <w:tr w:rsidR="00EC79BD" w:rsidRPr="000C17EB" w14:paraId="7FD77A0C" w14:textId="77777777" w:rsidTr="00632FCC">
        <w:tc>
          <w:tcPr>
            <w:cnfStyle w:val="001000000000" w:firstRow="0" w:lastRow="0" w:firstColumn="1" w:lastColumn="0" w:oddVBand="0" w:evenVBand="0" w:oddHBand="0" w:evenHBand="0" w:firstRowFirstColumn="0" w:firstRowLastColumn="0" w:lastRowFirstColumn="0" w:lastRowLastColumn="0"/>
            <w:tcW w:w="3544" w:type="dxa"/>
          </w:tcPr>
          <w:p w14:paraId="4A527480" w14:textId="77777777" w:rsidR="00EC79BD" w:rsidRPr="00D1411A" w:rsidRDefault="00EC79BD" w:rsidP="00632FCC">
            <w:pPr>
              <w:rPr>
                <w:rStyle w:val="Stark"/>
                <w:b w:val="0"/>
                <w:bCs/>
                <w:color w:val="003D7C" w:themeColor="text2"/>
              </w:rPr>
            </w:pPr>
            <w:r w:rsidRPr="00D1411A">
              <w:rPr>
                <w:rStyle w:val="Stark"/>
                <w:b w:val="0"/>
                <w:color w:val="003D7C" w:themeColor="text2"/>
              </w:rPr>
              <w:t>Stadium 1 (lindrig)</w:t>
            </w:r>
          </w:p>
        </w:tc>
        <w:tc>
          <w:tcPr>
            <w:tcW w:w="4382" w:type="dxa"/>
          </w:tcPr>
          <w:p w14:paraId="584C3D46" w14:textId="77777777" w:rsidR="00EC79BD" w:rsidRPr="00D1411A" w:rsidRDefault="00EC79BD" w:rsidP="00632FCC">
            <w:pPr>
              <w:cnfStyle w:val="000000000000" w:firstRow="0" w:lastRow="0" w:firstColumn="0" w:lastColumn="0" w:oddVBand="0" w:evenVBand="0" w:oddHBand="0" w:evenHBand="0" w:firstRowFirstColumn="0" w:firstRowLastColumn="0" w:lastRowFirstColumn="0" w:lastRowLastColumn="0"/>
              <w:rPr>
                <w:rStyle w:val="Stark"/>
                <w:color w:val="003D7C" w:themeColor="text2"/>
              </w:rPr>
            </w:pPr>
            <w:r w:rsidRPr="00D1411A">
              <w:rPr>
                <w:rStyle w:val="Stark"/>
                <w:color w:val="003D7C" w:themeColor="text2"/>
              </w:rPr>
              <w:t>FEV1 ≥ 80 %</w:t>
            </w:r>
          </w:p>
        </w:tc>
      </w:tr>
      <w:tr w:rsidR="00EC79BD" w:rsidRPr="000C17EB" w14:paraId="14BC83FE"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872137A" w14:textId="77777777" w:rsidR="00EC79BD" w:rsidRPr="00D1411A" w:rsidRDefault="00EC79BD" w:rsidP="00632FCC">
            <w:pPr>
              <w:rPr>
                <w:rStyle w:val="Stark"/>
                <w:b w:val="0"/>
                <w:bCs/>
                <w:color w:val="003D7C" w:themeColor="text2"/>
              </w:rPr>
            </w:pPr>
            <w:r w:rsidRPr="00D1411A">
              <w:rPr>
                <w:rStyle w:val="Stark"/>
                <w:b w:val="0"/>
                <w:color w:val="003D7C" w:themeColor="text2"/>
              </w:rPr>
              <w:t>Stadium 2 (måttlig)</w:t>
            </w:r>
          </w:p>
        </w:tc>
        <w:tc>
          <w:tcPr>
            <w:tcW w:w="4382" w:type="dxa"/>
          </w:tcPr>
          <w:p w14:paraId="1B61DF34" w14:textId="77777777" w:rsidR="00EC79BD" w:rsidRPr="00D1411A" w:rsidRDefault="00EC79BD" w:rsidP="00632FCC">
            <w:pPr>
              <w:cnfStyle w:val="000000100000" w:firstRow="0" w:lastRow="0" w:firstColumn="0" w:lastColumn="0" w:oddVBand="0" w:evenVBand="0" w:oddHBand="1" w:evenHBand="0" w:firstRowFirstColumn="0" w:firstRowLastColumn="0" w:lastRowFirstColumn="0" w:lastRowLastColumn="0"/>
              <w:rPr>
                <w:rStyle w:val="Stark"/>
                <w:color w:val="003D7C" w:themeColor="text2"/>
              </w:rPr>
            </w:pPr>
            <w:r w:rsidRPr="00D1411A">
              <w:rPr>
                <w:rStyle w:val="Stark"/>
                <w:color w:val="003D7C" w:themeColor="text2"/>
              </w:rPr>
              <w:t>50 % ≤ FEV1 &lt; 80 %</w:t>
            </w:r>
          </w:p>
        </w:tc>
      </w:tr>
      <w:tr w:rsidR="00EC79BD" w:rsidRPr="000C17EB" w14:paraId="7904305A" w14:textId="77777777" w:rsidTr="00632FCC">
        <w:trPr>
          <w:trHeight w:val="315"/>
        </w:trPr>
        <w:tc>
          <w:tcPr>
            <w:cnfStyle w:val="001000000000" w:firstRow="0" w:lastRow="0" w:firstColumn="1" w:lastColumn="0" w:oddVBand="0" w:evenVBand="0" w:oddHBand="0" w:evenHBand="0" w:firstRowFirstColumn="0" w:firstRowLastColumn="0" w:lastRowFirstColumn="0" w:lastRowLastColumn="0"/>
            <w:tcW w:w="3544" w:type="dxa"/>
            <w:vMerge w:val="restart"/>
          </w:tcPr>
          <w:p w14:paraId="1F20604C" w14:textId="77777777" w:rsidR="00EC79BD" w:rsidRPr="00D1411A" w:rsidRDefault="00EC79BD" w:rsidP="00632FCC">
            <w:pPr>
              <w:rPr>
                <w:rStyle w:val="Stark"/>
                <w:b w:val="0"/>
                <w:bCs/>
                <w:color w:val="003D7C" w:themeColor="text2"/>
              </w:rPr>
            </w:pPr>
            <w:r w:rsidRPr="00D1411A">
              <w:rPr>
                <w:rStyle w:val="Stark"/>
                <w:b w:val="0"/>
                <w:color w:val="003D7C" w:themeColor="text2"/>
              </w:rPr>
              <w:t>Stadium 3 (svår)</w:t>
            </w:r>
          </w:p>
          <w:p w14:paraId="381AFFDA" w14:textId="77777777" w:rsidR="00EC79BD" w:rsidRPr="00D1411A" w:rsidRDefault="00EC79BD" w:rsidP="00632FCC">
            <w:pPr>
              <w:rPr>
                <w:rStyle w:val="Stark"/>
                <w:b w:val="0"/>
                <w:bCs/>
                <w:color w:val="003D7C" w:themeColor="text2"/>
              </w:rPr>
            </w:pPr>
            <w:r w:rsidRPr="00D1411A">
              <w:rPr>
                <w:rStyle w:val="Stark"/>
                <w:b w:val="0"/>
                <w:color w:val="003D7C" w:themeColor="text2"/>
              </w:rPr>
              <w:t>Stadium 4 (mycket svår)</w:t>
            </w:r>
          </w:p>
        </w:tc>
        <w:tc>
          <w:tcPr>
            <w:tcW w:w="4382" w:type="dxa"/>
          </w:tcPr>
          <w:p w14:paraId="7ED62988" w14:textId="77777777" w:rsidR="00EC79BD" w:rsidRPr="00D1411A" w:rsidRDefault="00EC79BD" w:rsidP="00632FCC">
            <w:pPr>
              <w:cnfStyle w:val="000000000000" w:firstRow="0" w:lastRow="0" w:firstColumn="0" w:lastColumn="0" w:oddVBand="0" w:evenVBand="0" w:oddHBand="0" w:evenHBand="0" w:firstRowFirstColumn="0" w:firstRowLastColumn="0" w:lastRowFirstColumn="0" w:lastRowLastColumn="0"/>
              <w:rPr>
                <w:rStyle w:val="Stark"/>
                <w:color w:val="003D7C" w:themeColor="text2"/>
              </w:rPr>
            </w:pPr>
            <w:r w:rsidRPr="00D1411A">
              <w:rPr>
                <w:rStyle w:val="Stark"/>
                <w:color w:val="003D7C" w:themeColor="text2"/>
              </w:rPr>
              <w:t>30 % ≤ FEV1 &lt; 50 %</w:t>
            </w:r>
          </w:p>
        </w:tc>
      </w:tr>
      <w:tr w:rsidR="00EC79BD" w:rsidRPr="000C17EB" w14:paraId="16072415" w14:textId="77777777" w:rsidTr="00632FC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44" w:type="dxa"/>
            <w:vMerge/>
          </w:tcPr>
          <w:p w14:paraId="30BFE6E8" w14:textId="77777777" w:rsidR="00EC79BD" w:rsidRPr="00D1411A" w:rsidRDefault="00EC79BD" w:rsidP="00632FCC">
            <w:pPr>
              <w:rPr>
                <w:rFonts w:asciiTheme="minorHAnsi" w:hAnsiTheme="minorHAnsi" w:cs="Calibri"/>
                <w:color w:val="003D7C" w:themeColor="text2"/>
                <w:szCs w:val="24"/>
              </w:rPr>
            </w:pPr>
          </w:p>
        </w:tc>
        <w:tc>
          <w:tcPr>
            <w:tcW w:w="4382" w:type="dxa"/>
          </w:tcPr>
          <w:p w14:paraId="4D0A0FA6" w14:textId="77777777" w:rsidR="00EC79BD" w:rsidRPr="00D1411A" w:rsidRDefault="00EC79BD" w:rsidP="00632FCC">
            <w:pPr>
              <w:cnfStyle w:val="000000100000" w:firstRow="0" w:lastRow="0" w:firstColumn="0" w:lastColumn="0" w:oddVBand="0" w:evenVBand="0" w:oddHBand="1" w:evenHBand="0" w:firstRowFirstColumn="0" w:firstRowLastColumn="0" w:lastRowFirstColumn="0" w:lastRowLastColumn="0"/>
              <w:rPr>
                <w:rStyle w:val="Stark"/>
                <w:color w:val="003D7C" w:themeColor="text2"/>
              </w:rPr>
            </w:pPr>
            <w:r w:rsidRPr="00D1411A">
              <w:rPr>
                <w:rStyle w:val="Stark"/>
                <w:color w:val="003D7C" w:themeColor="text2"/>
              </w:rPr>
              <w:t>FEV1 &gt; 30 %</w:t>
            </w:r>
          </w:p>
        </w:tc>
      </w:tr>
      <w:tr w:rsidR="00EC79BD" w:rsidRPr="000C17EB" w14:paraId="42031CCA" w14:textId="77777777" w:rsidTr="00632FCC">
        <w:tc>
          <w:tcPr>
            <w:cnfStyle w:val="001000000000" w:firstRow="0" w:lastRow="0" w:firstColumn="1" w:lastColumn="0" w:oddVBand="0" w:evenVBand="0" w:oddHBand="0" w:evenHBand="0" w:firstRowFirstColumn="0" w:firstRowLastColumn="0" w:lastRowFirstColumn="0" w:lastRowLastColumn="0"/>
            <w:tcW w:w="7926" w:type="dxa"/>
            <w:gridSpan w:val="2"/>
            <w:shd w:val="clear" w:color="auto" w:fill="FFFFFF" w:themeFill="background2"/>
          </w:tcPr>
          <w:p w14:paraId="2AFFE5C3" w14:textId="77777777" w:rsidR="00EC79BD" w:rsidRPr="00D1411A" w:rsidRDefault="00EC79BD" w:rsidP="00632FCC">
            <w:pPr>
              <w:pStyle w:val="Normal4"/>
              <w:spacing w:before="0" w:beforeAutospacing="0" w:after="0" w:afterAutospacing="0"/>
              <w:rPr>
                <w:rFonts w:asciiTheme="minorHAnsi" w:hAnsiTheme="minorHAnsi" w:cs="Calibri"/>
                <w:color w:val="003D7C" w:themeColor="text2"/>
              </w:rPr>
            </w:pPr>
            <w:r w:rsidRPr="00D1411A">
              <w:rPr>
                <w:rFonts w:asciiTheme="minorHAnsi" w:hAnsiTheme="minorHAnsi" w:cs="Calibri"/>
                <w:color w:val="003D7C" w:themeColor="text2"/>
              </w:rPr>
              <w:t xml:space="preserve">Alla värden ska vara uppmätta efter bronkodilation </w:t>
            </w:r>
          </w:p>
          <w:p w14:paraId="361E4328" w14:textId="77777777" w:rsidR="00EC79BD" w:rsidRPr="00D1411A" w:rsidRDefault="00EC79BD" w:rsidP="00632FCC">
            <w:pPr>
              <w:rPr>
                <w:rStyle w:val="Stark"/>
                <w:rFonts w:asciiTheme="minorHAnsi" w:hAnsiTheme="minorHAnsi"/>
                <w:color w:val="003D7C" w:themeColor="text2"/>
              </w:rPr>
            </w:pPr>
            <w:r w:rsidRPr="00D1411A">
              <w:rPr>
                <w:rStyle w:val="Stark"/>
                <w:rFonts w:asciiTheme="minorHAnsi" w:hAnsiTheme="minorHAnsi"/>
                <w:color w:val="003D7C" w:themeColor="text2"/>
              </w:rPr>
              <w:t xml:space="preserve">Kvoten FEV1/FVC ska alltid vara &lt;0,7 </w:t>
            </w:r>
          </w:p>
        </w:tc>
      </w:tr>
    </w:tbl>
    <w:p w14:paraId="0C744143" w14:textId="77777777" w:rsidR="00EC79BD" w:rsidRDefault="00EC79BD" w:rsidP="00EC79BD">
      <w:pPr>
        <w:pStyle w:val="Rubrik3"/>
        <w:rPr>
          <w:rFonts w:cs="Calibri"/>
          <w:szCs w:val="24"/>
        </w:rPr>
      </w:pPr>
      <w:bookmarkStart w:id="61" w:name="_Toc150457999"/>
    </w:p>
    <w:p w14:paraId="62F84C94" w14:textId="77777777" w:rsidR="00EC79BD" w:rsidRPr="001F551E" w:rsidRDefault="00EC79BD" w:rsidP="00EC79BD">
      <w:pPr>
        <w:pStyle w:val="Rubrik3"/>
        <w:rPr>
          <w:rFonts w:cs="Calibri"/>
          <w:szCs w:val="24"/>
        </w:rPr>
      </w:pPr>
      <w:r w:rsidRPr="001F551E">
        <w:rPr>
          <w:rFonts w:cs="Calibri"/>
          <w:szCs w:val="24"/>
        </w:rPr>
        <w:t>GOLD-gruppering</w:t>
      </w:r>
      <w:bookmarkEnd w:id="61"/>
      <w:r w:rsidRPr="001F551E">
        <w:rPr>
          <w:rFonts w:cs="Calibri"/>
          <w:szCs w:val="24"/>
        </w:rPr>
        <w:br/>
      </w:r>
    </w:p>
    <w:p w14:paraId="6A9EAE2B" w14:textId="77777777" w:rsidR="00EC79BD" w:rsidRPr="000C17EB" w:rsidRDefault="00EC79BD" w:rsidP="00EC79BD">
      <w:pPr>
        <w:pStyle w:val="Normal4"/>
        <w:spacing w:before="0" w:beforeAutospacing="0" w:after="0" w:afterAutospacing="0"/>
        <w:rPr>
          <w:rFonts w:asciiTheme="minorHAnsi" w:hAnsiTheme="minorHAnsi" w:cs="Calibri"/>
          <w:color w:val="404040"/>
        </w:rPr>
      </w:pPr>
      <w:r w:rsidRPr="000C17EB">
        <w:rPr>
          <w:rFonts w:asciiTheme="minorHAnsi" w:hAnsiTheme="minorHAnsi" w:cs="Calibri"/>
          <w:noProof/>
          <w:color w:val="404040"/>
        </w:rPr>
        <w:drawing>
          <wp:inline distT="0" distB="0" distL="0" distR="0" wp14:anchorId="1744222B" wp14:editId="2BDF87B7">
            <wp:extent cx="4730750" cy="3301272"/>
            <wp:effectExtent l="0" t="0" r="0" b="0"/>
            <wp:docPr id="1200761874" name="Bildobjekt 1200761874" descr="En bild som visar text, skärmbild, Teckensnitt&#10;&#10;Automatiskt genererad beskrivni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text, skärmbild, Teckensnitt&#10;&#10;Automatiskt genererad beskrivning">
                      <a:hlinkClick r:id="rId31"/>
                    </pic:cNvPr>
                    <pic:cNvPicPr/>
                  </pic:nvPicPr>
                  <pic:blipFill>
                    <a:blip r:embed="rId32"/>
                    <a:stretch>
                      <a:fillRect/>
                    </a:stretch>
                  </pic:blipFill>
                  <pic:spPr>
                    <a:xfrm>
                      <a:off x="0" y="0"/>
                      <a:ext cx="4758830" cy="3320867"/>
                    </a:xfrm>
                    <a:prstGeom prst="rect">
                      <a:avLst/>
                    </a:prstGeom>
                  </pic:spPr>
                </pic:pic>
              </a:graphicData>
            </a:graphic>
          </wp:inline>
        </w:drawing>
      </w:r>
    </w:p>
    <w:p w14:paraId="7F99C327" w14:textId="1926A9A1" w:rsidR="00EC79BD" w:rsidRPr="002978E8" w:rsidRDefault="00EC79BD" w:rsidP="002978E8">
      <w:pPr>
        <w:tabs>
          <w:tab w:val="clear" w:pos="284"/>
        </w:tabs>
        <w:spacing w:after="120" w:line="260" w:lineRule="atLeast"/>
        <w:rPr>
          <w:rFonts w:asciiTheme="minorHAnsi" w:eastAsia="Times New Roman" w:hAnsiTheme="minorHAnsi" w:cs="Calibri"/>
          <w:color w:val="404040"/>
          <w:sz w:val="24"/>
          <w:szCs w:val="24"/>
          <w:lang w:eastAsia="sv-SE"/>
        </w:rPr>
      </w:pPr>
      <w:r>
        <w:rPr>
          <w:rStyle w:val="Stark"/>
        </w:rPr>
        <w:t>Behandling</w:t>
      </w:r>
      <w:bookmarkStart w:id="62" w:name="_Toc150458001"/>
      <w:r>
        <w:rPr>
          <w:rStyle w:val="Stark"/>
        </w:rPr>
        <w:br/>
      </w:r>
      <w:r w:rsidRPr="006F12A8">
        <w:rPr>
          <w:rFonts w:asciiTheme="minorHAnsi" w:hAnsiTheme="minorHAnsi" w:cs="Calibri"/>
          <w:szCs w:val="24"/>
        </w:rPr>
        <w:t>Icke-farmakologisk behandling</w:t>
      </w:r>
      <w:bookmarkEnd w:id="62"/>
      <w:r w:rsidRPr="006F12A8">
        <w:rPr>
          <w:rFonts w:asciiTheme="minorHAnsi" w:hAnsiTheme="minorHAnsi" w:cs="Calibri"/>
          <w:szCs w:val="24"/>
        </w:rPr>
        <w:t xml:space="preserve"> </w:t>
      </w:r>
    </w:p>
    <w:p w14:paraId="48E0B238" w14:textId="77777777" w:rsidR="00EC79BD" w:rsidRPr="000C17EB" w:rsidRDefault="00EC79BD" w:rsidP="00EC79BD">
      <w:pPr>
        <w:pStyle w:val="Normal4"/>
        <w:numPr>
          <w:ilvl w:val="0"/>
          <w:numId w:val="93"/>
        </w:numPr>
        <w:spacing w:before="0" w:beforeAutospacing="0" w:after="240" w:afterAutospacing="0"/>
        <w:rPr>
          <w:rFonts w:asciiTheme="minorHAnsi" w:hAnsiTheme="minorHAnsi" w:cs="Calibri"/>
          <w:color w:val="404040"/>
        </w:rPr>
      </w:pPr>
      <w:r w:rsidRPr="000C17EB">
        <w:rPr>
          <w:rFonts w:asciiTheme="minorHAnsi" w:hAnsiTheme="minorHAnsi" w:cs="Calibri"/>
          <w:color w:val="404040"/>
        </w:rPr>
        <w:t xml:space="preserve">Rökstopp </w:t>
      </w:r>
      <w:r>
        <w:rPr>
          <w:rFonts w:asciiTheme="minorHAnsi" w:hAnsiTheme="minorHAnsi" w:cs="Calibri"/>
          <w:color w:val="404040"/>
        </w:rPr>
        <w:t xml:space="preserve">– enda åtgärden som har evidens för att påverka lungfunktionsförlusten! </w:t>
      </w:r>
    </w:p>
    <w:p w14:paraId="6F21DC57" w14:textId="77777777" w:rsidR="00EC79BD" w:rsidRPr="000C17EB" w:rsidRDefault="00EC79BD" w:rsidP="00EC79BD">
      <w:pPr>
        <w:pStyle w:val="Normal4"/>
        <w:numPr>
          <w:ilvl w:val="0"/>
          <w:numId w:val="93"/>
        </w:numPr>
        <w:spacing w:before="0" w:beforeAutospacing="0" w:after="240" w:afterAutospacing="0"/>
        <w:rPr>
          <w:rFonts w:asciiTheme="minorHAnsi" w:hAnsiTheme="minorHAnsi" w:cs="Calibri"/>
          <w:color w:val="404040"/>
        </w:rPr>
      </w:pPr>
      <w:r w:rsidRPr="000C17EB">
        <w:rPr>
          <w:rFonts w:asciiTheme="minorHAnsi" w:hAnsiTheme="minorHAnsi" w:cs="Calibri"/>
          <w:color w:val="404040"/>
        </w:rPr>
        <w:t>Covid-vaccinering enligt gällande plan</w:t>
      </w:r>
      <w:r w:rsidRPr="000C17EB">
        <w:rPr>
          <w:rFonts w:asciiTheme="minorHAnsi" w:hAnsiTheme="minorHAnsi" w:cs="Calibri"/>
          <w:color w:val="404040"/>
        </w:rPr>
        <w:br/>
        <w:t>I</w:t>
      </w:r>
      <w:r w:rsidRPr="000C17EB">
        <w:rPr>
          <w:rStyle w:val="Stark"/>
          <w:rFonts w:asciiTheme="minorHAnsi" w:eastAsiaTheme="minorEastAsia" w:hAnsiTheme="minorHAnsi" w:cs="Calibri"/>
          <w:color w:val="404040"/>
        </w:rPr>
        <w:t xml:space="preserve">nfluensa-vaccination </w:t>
      </w:r>
      <w:r w:rsidRPr="000C17EB">
        <w:rPr>
          <w:rFonts w:asciiTheme="minorHAnsi" w:hAnsiTheme="minorHAnsi" w:cs="Calibri"/>
          <w:color w:val="404040"/>
        </w:rPr>
        <w:t>årligen samt</w:t>
      </w:r>
      <w:r w:rsidRPr="000C17EB">
        <w:rPr>
          <w:rStyle w:val="Stark"/>
          <w:rFonts w:asciiTheme="minorHAnsi" w:eastAsiaTheme="minorEastAsia" w:hAnsiTheme="minorHAnsi" w:cs="Calibri"/>
          <w:color w:val="404040"/>
        </w:rPr>
        <w:t xml:space="preserve"> pneumokockvaccination </w:t>
      </w:r>
      <w:r w:rsidRPr="000C17EB">
        <w:rPr>
          <w:rFonts w:asciiTheme="minorHAnsi" w:hAnsiTheme="minorHAnsi" w:cs="Calibri"/>
          <w:color w:val="404040"/>
        </w:rPr>
        <w:t>enligt Socialstyrelsens nationella riktlinjer för äldre och riskgrupper rekommenderas</w:t>
      </w:r>
    </w:p>
    <w:p w14:paraId="010EF92F" w14:textId="77777777" w:rsidR="00EC79BD" w:rsidRPr="000C17EB" w:rsidRDefault="00EC79BD" w:rsidP="00EC79BD">
      <w:pPr>
        <w:pStyle w:val="Normal4"/>
        <w:numPr>
          <w:ilvl w:val="0"/>
          <w:numId w:val="93"/>
        </w:numPr>
        <w:spacing w:before="0" w:beforeAutospacing="0" w:after="240" w:afterAutospacing="0"/>
        <w:rPr>
          <w:rFonts w:asciiTheme="minorHAnsi" w:hAnsiTheme="minorHAnsi" w:cs="Calibri"/>
          <w:color w:val="404040"/>
        </w:rPr>
      </w:pPr>
      <w:r w:rsidRPr="000C17EB">
        <w:rPr>
          <w:rFonts w:asciiTheme="minorHAnsi" w:hAnsiTheme="minorHAnsi" w:cs="Calibri"/>
          <w:color w:val="404040"/>
        </w:rPr>
        <w:t xml:space="preserve">Energibesparande arbetstekniker och andningsteknik i aktivitet (arbetsterapeut) </w:t>
      </w:r>
    </w:p>
    <w:p w14:paraId="367A320D" w14:textId="77777777" w:rsidR="00EC79BD" w:rsidRPr="000C17EB" w:rsidRDefault="00EC79BD" w:rsidP="00EC79BD">
      <w:pPr>
        <w:pStyle w:val="Normal4"/>
        <w:numPr>
          <w:ilvl w:val="0"/>
          <w:numId w:val="93"/>
        </w:numPr>
        <w:spacing w:before="0" w:beforeAutospacing="0" w:after="240" w:afterAutospacing="0"/>
        <w:rPr>
          <w:rFonts w:asciiTheme="minorHAnsi" w:hAnsiTheme="minorHAnsi" w:cs="Calibri"/>
          <w:color w:val="404040"/>
        </w:rPr>
      </w:pPr>
      <w:r w:rsidRPr="000C17EB">
        <w:rPr>
          <w:rFonts w:asciiTheme="minorHAnsi" w:hAnsiTheme="minorHAnsi" w:cs="Calibri"/>
          <w:color w:val="404040"/>
        </w:rPr>
        <w:t xml:space="preserve">Fysisk aktivitet och träning vid stabil KOL och efter exacerbation enligt </w:t>
      </w:r>
      <w:hyperlink w:anchor="_ORDLISTA" w:history="1">
        <w:r w:rsidRPr="000C17EB">
          <w:rPr>
            <w:rStyle w:val="Hyperlnk"/>
            <w:rFonts w:asciiTheme="minorHAnsi" w:hAnsiTheme="minorHAnsi" w:cs="Calibri"/>
            <w:color w:val="B46400" w:themeColor="accent6" w:themeShade="BF"/>
          </w:rPr>
          <w:t>FYSS</w:t>
        </w:r>
      </w:hyperlink>
      <w:r w:rsidRPr="000C17EB">
        <w:rPr>
          <w:rFonts w:asciiTheme="minorHAnsi" w:hAnsiTheme="minorHAnsi" w:cs="Calibri"/>
          <w:color w:val="404040"/>
        </w:rPr>
        <w:t xml:space="preserve"> (kontakt med fysioterapeut vid behov)</w:t>
      </w:r>
    </w:p>
    <w:p w14:paraId="08DEFC7C" w14:textId="77777777" w:rsidR="00EC79BD" w:rsidRPr="000C17EB" w:rsidRDefault="00EC79BD" w:rsidP="00EC79BD">
      <w:pPr>
        <w:pStyle w:val="Normal4"/>
        <w:numPr>
          <w:ilvl w:val="0"/>
          <w:numId w:val="93"/>
        </w:numPr>
        <w:spacing w:before="0" w:beforeAutospacing="0" w:after="240" w:afterAutospacing="0"/>
        <w:rPr>
          <w:rFonts w:asciiTheme="minorHAnsi" w:hAnsiTheme="minorHAnsi" w:cs="Calibri"/>
          <w:color w:val="404040"/>
        </w:rPr>
      </w:pPr>
      <w:r w:rsidRPr="000C17EB">
        <w:rPr>
          <w:rFonts w:asciiTheme="minorHAnsi" w:hAnsiTheme="minorHAnsi" w:cs="Calibri"/>
          <w:color w:val="404040"/>
        </w:rPr>
        <w:t xml:space="preserve">Nutritionsinsatser </w:t>
      </w:r>
    </w:p>
    <w:p w14:paraId="6D88E53B" w14:textId="77777777" w:rsidR="00EC79BD" w:rsidRPr="000C17EB" w:rsidRDefault="00EC79BD" w:rsidP="00EC79BD">
      <w:pPr>
        <w:pStyle w:val="Normal4"/>
        <w:numPr>
          <w:ilvl w:val="1"/>
          <w:numId w:val="93"/>
        </w:numPr>
        <w:spacing w:before="0" w:beforeAutospacing="0" w:after="240" w:afterAutospacing="0"/>
        <w:rPr>
          <w:rFonts w:asciiTheme="minorHAnsi" w:hAnsiTheme="minorHAnsi" w:cs="Calibri"/>
          <w:color w:val="404040"/>
        </w:rPr>
      </w:pPr>
      <w:r w:rsidRPr="000C17EB">
        <w:rPr>
          <w:rFonts w:asciiTheme="minorHAnsi" w:hAnsiTheme="minorHAnsi" w:cs="Calibri"/>
          <w:color w:val="404040"/>
        </w:rPr>
        <w:t xml:space="preserve">Använd </w:t>
      </w:r>
      <w:r w:rsidRPr="00EB0270">
        <w:rPr>
          <w:rFonts w:asciiTheme="minorHAnsi" w:hAnsiTheme="minorHAnsi" w:cs="Calibri"/>
        </w:rPr>
        <w:t>screeningformulär</w:t>
      </w:r>
      <w:r w:rsidRPr="000C17EB">
        <w:rPr>
          <w:rFonts w:asciiTheme="minorHAnsi" w:hAnsiTheme="minorHAnsi" w:cs="Calibri"/>
          <w:color w:val="404040"/>
        </w:rPr>
        <w:t xml:space="preserve"> rekommenderat av läkemedelsverket</w:t>
      </w:r>
    </w:p>
    <w:p w14:paraId="37CEED83" w14:textId="77777777" w:rsidR="00EC79BD" w:rsidRPr="000C17EB" w:rsidRDefault="00EC79BD" w:rsidP="00EC79BD">
      <w:pPr>
        <w:pStyle w:val="Normal4"/>
        <w:numPr>
          <w:ilvl w:val="1"/>
          <w:numId w:val="93"/>
        </w:numPr>
        <w:spacing w:before="0" w:beforeAutospacing="0" w:after="240" w:afterAutospacing="0"/>
        <w:rPr>
          <w:rFonts w:asciiTheme="minorHAnsi" w:hAnsiTheme="minorHAnsi" w:cs="Calibri"/>
          <w:color w:val="404040"/>
        </w:rPr>
      </w:pPr>
      <w:r w:rsidRPr="000C17EB">
        <w:rPr>
          <w:rFonts w:asciiTheme="minorHAnsi" w:hAnsiTheme="minorHAnsi" w:cs="Calibri"/>
          <w:color w:val="404040"/>
        </w:rPr>
        <w:t xml:space="preserve">Näringsdryck till patienter med </w:t>
      </w:r>
      <w:hyperlink w:anchor="_ORDLISTA" w:history="1">
        <w:r w:rsidRPr="000C17EB">
          <w:rPr>
            <w:rStyle w:val="Hyperlnk"/>
            <w:rFonts w:asciiTheme="minorHAnsi" w:hAnsiTheme="minorHAnsi" w:cs="Calibri"/>
            <w:color w:val="B46400" w:themeColor="accent6" w:themeShade="BF"/>
          </w:rPr>
          <w:t>BMI</w:t>
        </w:r>
      </w:hyperlink>
      <w:r w:rsidRPr="000C17EB">
        <w:rPr>
          <w:rFonts w:asciiTheme="minorHAnsi" w:hAnsiTheme="minorHAnsi" w:cs="Calibri"/>
          <w:color w:val="404040"/>
        </w:rPr>
        <w:t xml:space="preserve"> under 22 kg/m</w:t>
      </w:r>
      <w:r w:rsidRPr="000C17EB">
        <w:rPr>
          <w:rFonts w:asciiTheme="minorHAnsi" w:hAnsiTheme="minorHAnsi" w:cs="Calibri"/>
          <w:color w:val="404040"/>
          <w:vertAlign w:val="superscript"/>
        </w:rPr>
        <w:t>2</w:t>
      </w:r>
      <w:r w:rsidRPr="000C17EB">
        <w:rPr>
          <w:rFonts w:asciiTheme="minorHAnsi" w:hAnsiTheme="minorHAnsi" w:cs="Calibri"/>
          <w:color w:val="404040"/>
        </w:rPr>
        <w:t xml:space="preserve"> rekommenderas</w:t>
      </w:r>
    </w:p>
    <w:p w14:paraId="187A95C8" w14:textId="77777777" w:rsidR="00EC79BD" w:rsidRPr="000C17EB" w:rsidRDefault="00EC79BD" w:rsidP="00EC79BD">
      <w:pPr>
        <w:pStyle w:val="Normal4"/>
        <w:numPr>
          <w:ilvl w:val="1"/>
          <w:numId w:val="93"/>
        </w:numPr>
        <w:spacing w:before="0" w:beforeAutospacing="0" w:after="240" w:afterAutospacing="0"/>
        <w:rPr>
          <w:rFonts w:asciiTheme="minorHAnsi" w:hAnsiTheme="minorHAnsi" w:cs="Calibri"/>
          <w:color w:val="404040"/>
        </w:rPr>
      </w:pPr>
      <w:r w:rsidRPr="000C17EB">
        <w:rPr>
          <w:rFonts w:asciiTheme="minorHAnsi" w:hAnsiTheme="minorHAnsi" w:cs="Calibri"/>
          <w:color w:val="404040"/>
        </w:rPr>
        <w:t>Överväg dietistremiss vid BMI &lt;22 kg/m</w:t>
      </w:r>
      <w:r w:rsidRPr="000C17EB">
        <w:rPr>
          <w:rFonts w:asciiTheme="minorHAnsi" w:hAnsiTheme="minorHAnsi" w:cs="Calibri"/>
          <w:color w:val="404040"/>
          <w:vertAlign w:val="superscript"/>
        </w:rPr>
        <w:t>2</w:t>
      </w:r>
      <w:r w:rsidRPr="000C17EB">
        <w:rPr>
          <w:rFonts w:asciiTheme="minorHAnsi" w:hAnsiTheme="minorHAnsi" w:cs="Calibri"/>
          <w:color w:val="404040"/>
        </w:rPr>
        <w:t>, särskilt i kombination med viktnedgång senaste månaderna och nedsatt aptit</w:t>
      </w:r>
    </w:p>
    <w:p w14:paraId="31D0CF4E" w14:textId="77777777" w:rsidR="00EC79BD" w:rsidRPr="000C17EB" w:rsidRDefault="00EC79BD" w:rsidP="00EC79BD">
      <w:pPr>
        <w:pStyle w:val="Normal4"/>
        <w:numPr>
          <w:ilvl w:val="1"/>
          <w:numId w:val="93"/>
        </w:numPr>
        <w:spacing w:before="0" w:beforeAutospacing="0" w:after="240" w:afterAutospacing="0"/>
        <w:rPr>
          <w:rFonts w:asciiTheme="minorHAnsi" w:hAnsiTheme="minorHAnsi" w:cs="Calibri"/>
          <w:color w:val="404040"/>
        </w:rPr>
      </w:pPr>
      <w:r w:rsidRPr="000C17EB">
        <w:rPr>
          <w:rFonts w:asciiTheme="minorHAnsi" w:hAnsiTheme="minorHAnsi" w:cs="Calibri"/>
          <w:color w:val="404040"/>
        </w:rPr>
        <w:t>Försiktighet med rekommenderad viktnedgång vid obesitas, malnutrition och övervikt kan samexistera</w:t>
      </w:r>
    </w:p>
    <w:p w14:paraId="32ADBF46" w14:textId="77777777" w:rsidR="00EC79BD" w:rsidRPr="000C17EB" w:rsidRDefault="00EC79BD" w:rsidP="00EC79BD">
      <w:pPr>
        <w:pStyle w:val="Normal4"/>
        <w:numPr>
          <w:ilvl w:val="0"/>
          <w:numId w:val="93"/>
        </w:numPr>
        <w:spacing w:before="0" w:beforeAutospacing="0" w:after="240" w:afterAutospacing="0"/>
        <w:rPr>
          <w:rFonts w:asciiTheme="minorHAnsi" w:hAnsiTheme="minorHAnsi" w:cs="Calibri"/>
          <w:color w:val="404040"/>
        </w:rPr>
      </w:pPr>
      <w:r w:rsidRPr="000C17EB">
        <w:rPr>
          <w:rFonts w:asciiTheme="minorHAnsi" w:hAnsiTheme="minorHAnsi" w:cs="Calibri"/>
          <w:color w:val="404040"/>
        </w:rPr>
        <w:t>Patientutbildning</w:t>
      </w:r>
    </w:p>
    <w:p w14:paraId="4E8FB566" w14:textId="77777777" w:rsidR="00EC79BD" w:rsidRPr="000C17EB" w:rsidRDefault="00EC79BD" w:rsidP="00EC79BD">
      <w:pPr>
        <w:pStyle w:val="Normal4"/>
        <w:numPr>
          <w:ilvl w:val="0"/>
          <w:numId w:val="93"/>
        </w:numPr>
        <w:spacing w:before="0" w:beforeAutospacing="0" w:after="240" w:afterAutospacing="0"/>
        <w:rPr>
          <w:rFonts w:asciiTheme="minorHAnsi" w:hAnsiTheme="minorHAnsi" w:cs="Calibri"/>
          <w:color w:val="404040"/>
        </w:rPr>
      </w:pPr>
      <w:r w:rsidRPr="000C17EB">
        <w:rPr>
          <w:rFonts w:asciiTheme="minorHAnsi" w:hAnsiTheme="minorHAnsi" w:cs="Calibri"/>
          <w:color w:val="404040"/>
        </w:rPr>
        <w:lastRenderedPageBreak/>
        <w:t>Sekretmobilisering/motståndsandning (</w:t>
      </w:r>
      <w:hyperlink w:anchor="_ORDLISTA" w:history="1">
        <w:r w:rsidRPr="000C17EB">
          <w:rPr>
            <w:rStyle w:val="Hyperlnk"/>
            <w:rFonts w:asciiTheme="minorHAnsi" w:hAnsiTheme="minorHAnsi" w:cs="Calibri"/>
            <w:color w:val="B46400" w:themeColor="accent6" w:themeShade="BF"/>
          </w:rPr>
          <w:t>PEP</w:t>
        </w:r>
      </w:hyperlink>
      <w:r w:rsidRPr="000C17EB">
        <w:rPr>
          <w:rFonts w:asciiTheme="minorHAnsi" w:hAnsiTheme="minorHAnsi" w:cs="Calibri"/>
          <w:color w:val="404040"/>
        </w:rPr>
        <w:t>)</w:t>
      </w:r>
    </w:p>
    <w:p w14:paraId="7A2EE324" w14:textId="77777777" w:rsidR="00EC79BD" w:rsidRPr="000C17EB" w:rsidRDefault="00EC79BD" w:rsidP="00EC79BD">
      <w:pPr>
        <w:pStyle w:val="Normal4"/>
        <w:numPr>
          <w:ilvl w:val="0"/>
          <w:numId w:val="93"/>
        </w:numPr>
        <w:spacing w:before="0" w:beforeAutospacing="0" w:after="240" w:afterAutospacing="0"/>
        <w:rPr>
          <w:rFonts w:asciiTheme="minorHAnsi" w:hAnsiTheme="minorHAnsi" w:cs="Calibri"/>
          <w:color w:val="404040"/>
        </w:rPr>
      </w:pPr>
      <w:r w:rsidRPr="000C17EB">
        <w:rPr>
          <w:rFonts w:asciiTheme="minorHAnsi" w:hAnsiTheme="minorHAnsi" w:cs="Calibri"/>
          <w:color w:val="404040"/>
        </w:rPr>
        <w:t>Luftflöde mot näsa, mun och övre luftvägar genom handhållen fläkt kan lindra andfåddhet</w:t>
      </w:r>
    </w:p>
    <w:p w14:paraId="73CCDB27" w14:textId="77777777" w:rsidR="00EC79BD" w:rsidRPr="000C17EB" w:rsidRDefault="00EC79BD" w:rsidP="00EC79BD">
      <w:pPr>
        <w:pStyle w:val="Normal4"/>
        <w:numPr>
          <w:ilvl w:val="0"/>
          <w:numId w:val="93"/>
        </w:numPr>
        <w:spacing w:before="0" w:beforeAutospacing="0" w:after="240" w:afterAutospacing="0"/>
        <w:rPr>
          <w:rStyle w:val="Hyperlnk"/>
          <w:rFonts w:asciiTheme="minorHAnsi" w:hAnsiTheme="minorHAnsi" w:cs="Calibri"/>
        </w:rPr>
      </w:pPr>
      <w:r w:rsidRPr="00EB0270">
        <w:rPr>
          <w:rFonts w:asciiTheme="minorHAnsi" w:hAnsiTheme="minorHAnsi" w:cs="Calibri"/>
        </w:rPr>
        <w:t>Skriftlig behandlingsplan</w:t>
      </w:r>
      <w:r>
        <w:rPr>
          <w:rFonts w:asciiTheme="minorHAnsi" w:hAnsiTheme="minorHAnsi" w:cs="Calibri"/>
        </w:rPr>
        <w:t xml:space="preserve"> – exempel finns från </w:t>
      </w:r>
      <w:hyperlink w:anchor="_ORDLISTA" w:history="1">
        <w:r w:rsidRPr="00635706">
          <w:rPr>
            <w:rStyle w:val="Hyperlnk"/>
            <w:rFonts w:asciiTheme="minorHAnsi" w:hAnsiTheme="minorHAnsi" w:cs="Calibri"/>
            <w:color w:val="B46400" w:themeColor="accent6" w:themeShade="BF"/>
          </w:rPr>
          <w:t>SKR</w:t>
        </w:r>
      </w:hyperlink>
      <w:r>
        <w:rPr>
          <w:rFonts w:asciiTheme="minorHAnsi" w:hAnsiTheme="minorHAnsi" w:cs="Calibri"/>
        </w:rPr>
        <w:t xml:space="preserve"> och Läkemedelsverket bland annat</w:t>
      </w:r>
    </w:p>
    <w:p w14:paraId="150069C5" w14:textId="77777777" w:rsidR="00EC79BD" w:rsidRPr="001F551E" w:rsidRDefault="00EC79BD" w:rsidP="00EC79BD">
      <w:pPr>
        <w:pStyle w:val="Rubrik3"/>
        <w:rPr>
          <w:rFonts w:cs="Calibri"/>
          <w:szCs w:val="24"/>
        </w:rPr>
      </w:pPr>
      <w:bookmarkStart w:id="63" w:name="_Toc150458002"/>
      <w:r w:rsidRPr="001F551E">
        <w:rPr>
          <w:rFonts w:cs="Calibri"/>
          <w:szCs w:val="24"/>
        </w:rPr>
        <w:t>Farmakologisk behandling:</w:t>
      </w:r>
      <w:bookmarkEnd w:id="63"/>
      <w:r w:rsidRPr="001F551E">
        <w:rPr>
          <w:rFonts w:cs="Calibri"/>
          <w:szCs w:val="24"/>
        </w:rPr>
        <w:t xml:space="preserve"> </w:t>
      </w:r>
    </w:p>
    <w:p w14:paraId="4BE6751F" w14:textId="77777777" w:rsidR="00EC79BD" w:rsidRPr="00041C9B" w:rsidRDefault="00EC79BD" w:rsidP="00EC79BD">
      <w:pPr>
        <w:pStyle w:val="Rubrik3"/>
        <w:rPr>
          <w:rStyle w:val="Stark"/>
          <w:rFonts w:asciiTheme="minorHAnsi" w:hAnsiTheme="minorHAnsi" w:cs="Calibri"/>
          <w:b/>
          <w:iCs/>
          <w:szCs w:val="24"/>
        </w:rPr>
      </w:pPr>
      <w:bookmarkStart w:id="64" w:name="_Toc150458003"/>
      <w:r w:rsidRPr="00041C9B">
        <w:rPr>
          <w:rStyle w:val="Stark"/>
          <w:rFonts w:asciiTheme="minorHAnsi" w:hAnsiTheme="minorHAnsi" w:cs="Calibri"/>
          <w:b/>
          <w:szCs w:val="24"/>
        </w:rPr>
        <w:t>Behandlingsflöde</w:t>
      </w:r>
      <w:bookmarkEnd w:id="64"/>
    </w:p>
    <w:p w14:paraId="6327F5D5" w14:textId="77777777" w:rsidR="00EC79BD" w:rsidRPr="000C17EB" w:rsidRDefault="00EC79BD" w:rsidP="00EC79BD">
      <w:pPr>
        <w:pStyle w:val="Normal4"/>
        <w:spacing w:before="0" w:beforeAutospacing="0" w:after="0" w:afterAutospacing="0"/>
        <w:rPr>
          <w:rStyle w:val="Stark"/>
          <w:rFonts w:asciiTheme="minorHAnsi" w:eastAsiaTheme="minorEastAsia" w:hAnsiTheme="minorHAnsi" w:cs="Calibri"/>
          <w:color w:val="404040"/>
        </w:rPr>
      </w:pPr>
      <w:r w:rsidRPr="000C17EB">
        <w:rPr>
          <w:rFonts w:asciiTheme="minorHAnsi" w:hAnsiTheme="minorHAnsi" w:cs="Calibri"/>
          <w:bCs/>
          <w:iCs/>
          <w:noProof/>
          <w:color w:val="404040"/>
        </w:rPr>
        <w:drawing>
          <wp:inline distT="0" distB="0" distL="0" distR="0" wp14:anchorId="396644E2" wp14:editId="236D5DEE">
            <wp:extent cx="5563590" cy="3194017"/>
            <wp:effectExtent l="0" t="0" r="0" b="6985"/>
            <wp:docPr id="1200761877" name="Bildobjekt 1200761877" descr="En bild som visar text, skärmbild, Teckensnitt,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ildobjekt 53" descr="En bild som visar text, skärmbild, Teckensnitt, diagram&#10;&#10;Automatiskt genererad beskrivning"/>
                    <pic:cNvPicPr/>
                  </pic:nvPicPr>
                  <pic:blipFill>
                    <a:blip r:embed="rId33"/>
                    <a:stretch>
                      <a:fillRect/>
                    </a:stretch>
                  </pic:blipFill>
                  <pic:spPr>
                    <a:xfrm>
                      <a:off x="0" y="0"/>
                      <a:ext cx="5569794" cy="3197579"/>
                    </a:xfrm>
                    <a:prstGeom prst="rect">
                      <a:avLst/>
                    </a:prstGeom>
                  </pic:spPr>
                </pic:pic>
              </a:graphicData>
            </a:graphic>
          </wp:inline>
        </w:drawing>
      </w:r>
    </w:p>
    <w:p w14:paraId="0F0EE8D7" w14:textId="77777777" w:rsidR="00EC79BD" w:rsidRPr="000C17EB" w:rsidRDefault="00EC79BD" w:rsidP="00EC79BD">
      <w:pPr>
        <w:pStyle w:val="Normal4"/>
        <w:spacing w:before="0" w:beforeAutospacing="0" w:after="0" w:afterAutospacing="0"/>
        <w:rPr>
          <w:rStyle w:val="Stark"/>
          <w:rFonts w:asciiTheme="minorHAnsi" w:eastAsiaTheme="minorEastAsia" w:hAnsiTheme="minorHAnsi" w:cs="Calibri"/>
          <w:color w:val="404040"/>
        </w:rPr>
      </w:pPr>
      <w:r w:rsidRPr="000C17EB">
        <w:rPr>
          <w:rFonts w:asciiTheme="minorHAnsi" w:hAnsiTheme="minorHAnsi" w:cs="Calibri"/>
          <w:bCs/>
          <w:iCs/>
          <w:noProof/>
          <w:color w:val="404040"/>
        </w:rPr>
        <w:drawing>
          <wp:inline distT="0" distB="0" distL="0" distR="0" wp14:anchorId="35B94668" wp14:editId="1FCEE08B">
            <wp:extent cx="5039360" cy="418465"/>
            <wp:effectExtent l="0" t="0" r="8890" b="635"/>
            <wp:docPr id="1200761878" name="Bildobjekt 1200761878" descr="En bild som visar text, Teckensnitt, vi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descr="En bild som visar text, Teckensnitt, vit, skärmbild&#10;&#10;Automatiskt genererad beskrivning"/>
                    <pic:cNvPicPr/>
                  </pic:nvPicPr>
                  <pic:blipFill>
                    <a:blip r:embed="rId34"/>
                    <a:stretch>
                      <a:fillRect/>
                    </a:stretch>
                  </pic:blipFill>
                  <pic:spPr>
                    <a:xfrm>
                      <a:off x="0" y="0"/>
                      <a:ext cx="5039360" cy="418465"/>
                    </a:xfrm>
                    <a:prstGeom prst="rect">
                      <a:avLst/>
                    </a:prstGeom>
                  </pic:spPr>
                </pic:pic>
              </a:graphicData>
            </a:graphic>
          </wp:inline>
        </w:drawing>
      </w:r>
    </w:p>
    <w:p w14:paraId="4A072844" w14:textId="77777777" w:rsidR="00EC79BD" w:rsidRPr="000C17EB" w:rsidRDefault="00EC79BD" w:rsidP="00EC79BD">
      <w:pPr>
        <w:pStyle w:val="Normal4"/>
        <w:spacing w:before="0" w:beforeAutospacing="0" w:after="0" w:afterAutospacing="0"/>
        <w:rPr>
          <w:rStyle w:val="Stark"/>
          <w:rFonts w:asciiTheme="minorHAnsi" w:eastAsiaTheme="minorEastAsia" w:hAnsiTheme="minorHAnsi" w:cs="Calibri"/>
          <w:color w:val="404040"/>
        </w:rPr>
      </w:pPr>
    </w:p>
    <w:p w14:paraId="0FA0A055" w14:textId="7C120A78" w:rsidR="00EC79BD" w:rsidRPr="000C17EB" w:rsidRDefault="00EC79BD" w:rsidP="00EC79BD">
      <w:pPr>
        <w:pStyle w:val="Normal4"/>
        <w:spacing w:before="0" w:beforeAutospacing="0" w:after="0" w:afterAutospacing="0"/>
        <w:rPr>
          <w:rFonts w:asciiTheme="minorHAnsi" w:hAnsiTheme="minorHAnsi" w:cs="Calibri"/>
          <w:noProof/>
          <w:color w:val="404040"/>
        </w:rPr>
      </w:pPr>
      <w:r w:rsidRPr="000C17EB">
        <w:rPr>
          <w:rFonts w:asciiTheme="minorHAnsi" w:hAnsiTheme="minorHAnsi" w:cs="Calibri"/>
          <w:noProof/>
          <w:color w:val="404040"/>
        </w:rPr>
        <w:drawing>
          <wp:inline distT="0" distB="0" distL="0" distR="0" wp14:anchorId="5E890963" wp14:editId="4A3A1373">
            <wp:extent cx="6252210" cy="1211283"/>
            <wp:effectExtent l="0" t="0" r="0" b="0"/>
            <wp:docPr id="1200761879" name="Bildobjekt 1200761879" descr="En bild som visar text, Teckensnit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objekt 27" descr="En bild som visar text, Teckensnitt, skärmbild&#10;&#10;Automatiskt genererad beskrivning"/>
                    <pic:cNvPicPr/>
                  </pic:nvPicPr>
                  <pic:blipFill>
                    <a:blip r:embed="rId35"/>
                    <a:stretch>
                      <a:fillRect/>
                    </a:stretch>
                  </pic:blipFill>
                  <pic:spPr>
                    <a:xfrm>
                      <a:off x="0" y="0"/>
                      <a:ext cx="6291914" cy="1218975"/>
                    </a:xfrm>
                    <a:prstGeom prst="rect">
                      <a:avLst/>
                    </a:prstGeom>
                  </pic:spPr>
                </pic:pic>
              </a:graphicData>
            </a:graphic>
          </wp:inline>
        </w:drawing>
      </w:r>
    </w:p>
    <w:p w14:paraId="7329FABD" w14:textId="2C8509D1" w:rsidR="002978E8" w:rsidRPr="002978E8" w:rsidRDefault="00EC79BD" w:rsidP="002978E8">
      <w:pPr>
        <w:pStyle w:val="Rubrik3"/>
        <w:rPr>
          <w:rFonts w:cs="Calibri"/>
          <w:bCs w:val="0"/>
        </w:rPr>
      </w:pPr>
      <w:bookmarkStart w:id="65" w:name="_Toc150458004"/>
      <w:r w:rsidRPr="00041C9B">
        <w:rPr>
          <w:rStyle w:val="Stark"/>
          <w:rFonts w:cs="Calibri"/>
          <w:b/>
          <w:bCs w:val="0"/>
        </w:rPr>
        <w:lastRenderedPageBreak/>
        <w:t>I</w:t>
      </w:r>
      <w:r w:rsidR="002978E8">
        <w:rPr>
          <w:rStyle w:val="Stark"/>
          <w:rFonts w:cs="Calibri"/>
          <w:b/>
          <w:bCs w:val="0"/>
        </w:rPr>
        <w:t>n</w:t>
      </w:r>
      <w:r w:rsidRPr="00041C9B">
        <w:rPr>
          <w:rStyle w:val="Stark"/>
          <w:rFonts w:cs="Calibri"/>
          <w:b/>
          <w:bCs w:val="0"/>
        </w:rPr>
        <w:t>halationsbehandling</w:t>
      </w:r>
      <w:bookmarkEnd w:id="65"/>
    </w:p>
    <w:tbl>
      <w:tblPr>
        <w:tblStyle w:val="Rutntstabell3dekorfrg2"/>
        <w:tblpPr w:leftFromText="141" w:rightFromText="141" w:vertAnchor="page" w:horzAnchor="margin" w:tblpY="493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3299"/>
        <w:gridCol w:w="4676"/>
      </w:tblGrid>
      <w:tr w:rsidR="00EC79BD" w:rsidRPr="000C17EB" w14:paraId="2B1961A9" w14:textId="77777777" w:rsidTr="00632FCC">
        <w:trPr>
          <w:cnfStyle w:val="100000000000" w:firstRow="1" w:lastRow="0" w:firstColumn="0" w:lastColumn="0" w:oddVBand="0" w:evenVBand="0" w:oddHBand="0" w:evenHBand="0" w:firstRowFirstColumn="0" w:firstRowLastColumn="0" w:lastRowFirstColumn="0" w:lastRowLastColumn="0"/>
          <w:trHeight w:val="560"/>
        </w:trPr>
        <w:tc>
          <w:tcPr>
            <w:cnfStyle w:val="001000000100" w:firstRow="0" w:lastRow="0" w:firstColumn="1" w:lastColumn="0" w:oddVBand="0" w:evenVBand="0" w:oddHBand="0" w:evenHBand="0" w:firstRowFirstColumn="1" w:firstRowLastColumn="0" w:lastRowFirstColumn="0" w:lastRowLastColumn="0"/>
            <w:tcW w:w="1943" w:type="dxa"/>
            <w:tcBorders>
              <w:top w:val="none" w:sz="0" w:space="0" w:color="auto"/>
              <w:left w:val="none" w:sz="0" w:space="0" w:color="auto"/>
              <w:bottom w:val="none" w:sz="0" w:space="0" w:color="auto"/>
              <w:right w:val="none" w:sz="0" w:space="0" w:color="auto"/>
            </w:tcBorders>
          </w:tcPr>
          <w:p w14:paraId="766956E4" w14:textId="77777777" w:rsidR="00EC79BD" w:rsidRPr="00DF0BD7" w:rsidRDefault="00EC79BD" w:rsidP="00632FCC">
            <w:pPr>
              <w:pStyle w:val="Normal4"/>
              <w:spacing w:before="0" w:beforeAutospacing="0" w:after="0" w:afterAutospacing="0"/>
              <w:rPr>
                <w:rStyle w:val="Stark"/>
                <w:rFonts w:asciiTheme="minorHAnsi" w:eastAsiaTheme="minorEastAsia" w:hAnsiTheme="minorHAnsi" w:cs="Calibri"/>
                <w:b/>
                <w:bCs w:val="0"/>
                <w:i w:val="0"/>
                <w:iCs w:val="0"/>
                <w:color w:val="003D7C" w:themeColor="text2"/>
              </w:rPr>
            </w:pPr>
            <w:r w:rsidRPr="00DF0BD7">
              <w:rPr>
                <w:rStyle w:val="Stark"/>
                <w:rFonts w:asciiTheme="minorHAnsi" w:eastAsiaTheme="minorEastAsia" w:hAnsiTheme="minorHAnsi" w:cs="Calibri"/>
                <w:i w:val="0"/>
                <w:color w:val="003D7C" w:themeColor="text2"/>
              </w:rPr>
              <w:t>Läkemedelsgrupp</w:t>
            </w:r>
          </w:p>
        </w:tc>
        <w:tc>
          <w:tcPr>
            <w:tcW w:w="3299" w:type="dxa"/>
            <w:tcBorders>
              <w:top w:val="none" w:sz="0" w:space="0" w:color="auto"/>
              <w:left w:val="none" w:sz="0" w:space="0" w:color="auto"/>
              <w:right w:val="none" w:sz="0" w:space="0" w:color="auto"/>
            </w:tcBorders>
          </w:tcPr>
          <w:p w14:paraId="423755A0"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0C17EB">
              <w:rPr>
                <w:rStyle w:val="Stark"/>
                <w:rFonts w:asciiTheme="minorHAnsi" w:eastAsiaTheme="minorEastAsia" w:hAnsiTheme="minorHAnsi" w:cs="Calibri"/>
                <w:color w:val="003D7C" w:themeColor="text2"/>
              </w:rPr>
              <w:t>Pulverinhalator</w:t>
            </w:r>
            <w:r>
              <w:rPr>
                <w:rStyle w:val="Stark"/>
                <w:rFonts w:asciiTheme="minorHAnsi" w:eastAsiaTheme="minorEastAsia" w:hAnsiTheme="minorHAnsi" w:cs="Calibri"/>
                <w:color w:val="003D7C" w:themeColor="text2"/>
              </w:rPr>
              <w:t xml:space="preserve"> </w:t>
            </w:r>
            <w:r w:rsidRPr="00FA516E">
              <w:rPr>
                <w:rStyle w:val="Stark"/>
                <w:rFonts w:asciiTheme="minorHAnsi" w:eastAsiaTheme="minorEastAsia" w:hAnsiTheme="minorHAnsi" w:cs="Calibri"/>
                <w:color w:val="2D934F" w:themeColor="accent4"/>
              </w:rPr>
              <w:t>M</w:t>
            </w:r>
          </w:p>
        </w:tc>
        <w:tc>
          <w:tcPr>
            <w:tcW w:w="4676" w:type="dxa"/>
            <w:tcBorders>
              <w:top w:val="none" w:sz="0" w:space="0" w:color="auto"/>
              <w:left w:val="none" w:sz="0" w:space="0" w:color="auto"/>
              <w:right w:val="none" w:sz="0" w:space="0" w:color="auto"/>
            </w:tcBorders>
          </w:tcPr>
          <w:p w14:paraId="5FDCAB12" w14:textId="77777777" w:rsidR="00EC79BD"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0C17EB">
              <w:rPr>
                <w:rStyle w:val="Stark"/>
                <w:rFonts w:asciiTheme="minorHAnsi" w:eastAsiaTheme="minorEastAsia" w:hAnsiTheme="minorHAnsi" w:cs="Calibri"/>
                <w:color w:val="003D7C" w:themeColor="text2"/>
              </w:rPr>
              <w:t>Sprayinhalator</w:t>
            </w:r>
          </w:p>
          <w:p w14:paraId="2F9BCA7A"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color w:val="003D7C" w:themeColor="text2"/>
              </w:rPr>
            </w:pPr>
            <w:r>
              <w:rPr>
                <w:rStyle w:val="Stark"/>
                <w:rFonts w:asciiTheme="minorHAnsi" w:eastAsiaTheme="minorEastAsia" w:hAnsiTheme="minorHAnsi" w:cs="Calibri"/>
                <w:color w:val="003D7C" w:themeColor="text2"/>
              </w:rPr>
              <w:t>S</w:t>
            </w:r>
            <w:r w:rsidRPr="000C17EB">
              <w:rPr>
                <w:rStyle w:val="Stark"/>
                <w:rFonts w:asciiTheme="minorHAnsi" w:eastAsiaTheme="minorEastAsia" w:hAnsiTheme="minorHAnsi" w:cs="Calibri"/>
                <w:color w:val="003D7C" w:themeColor="text2"/>
              </w:rPr>
              <w:t>oftmist</w:t>
            </w:r>
            <w:r>
              <w:rPr>
                <w:rStyle w:val="Stark"/>
                <w:rFonts w:asciiTheme="minorHAnsi" w:eastAsiaTheme="minorEastAsia" w:hAnsiTheme="minorHAnsi" w:cs="Calibri"/>
                <w:color w:val="003D7C" w:themeColor="text2"/>
              </w:rPr>
              <w:t xml:space="preserve"> </w:t>
            </w:r>
            <w:r w:rsidRPr="00FA516E">
              <w:rPr>
                <w:rStyle w:val="Stark"/>
                <w:rFonts w:asciiTheme="minorHAnsi" w:eastAsiaTheme="minorEastAsia" w:hAnsiTheme="minorHAnsi" w:cs="Calibri"/>
                <w:color w:val="2D934F" w:themeColor="accent4"/>
              </w:rPr>
              <w:t>M</w:t>
            </w:r>
          </w:p>
          <w:p w14:paraId="06B3643E"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0C17EB">
              <w:rPr>
                <w:rStyle w:val="Stark"/>
                <w:rFonts w:asciiTheme="minorHAnsi" w:eastAsiaTheme="minorEastAsia" w:hAnsiTheme="minorHAnsi" w:cs="Calibri"/>
                <w:color w:val="003D7C" w:themeColor="text2"/>
              </w:rPr>
              <w:t>Lämplig för andningsbehållare</w:t>
            </w:r>
          </w:p>
        </w:tc>
      </w:tr>
      <w:tr w:rsidR="00EC79BD" w:rsidRPr="00CF2B7D" w14:paraId="43C7971F" w14:textId="77777777" w:rsidTr="00632FC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943" w:type="dxa"/>
            <w:tcBorders>
              <w:top w:val="none" w:sz="0" w:space="0" w:color="auto"/>
              <w:left w:val="none" w:sz="0" w:space="0" w:color="auto"/>
              <w:bottom w:val="none" w:sz="0" w:space="0" w:color="auto"/>
            </w:tcBorders>
          </w:tcPr>
          <w:p w14:paraId="07C460A6"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hyperlink w:anchor="_ORDLISTA" w:history="1">
              <w:r w:rsidRPr="000C17EB">
                <w:rPr>
                  <w:rStyle w:val="Hyperlnk"/>
                  <w:rFonts w:asciiTheme="minorHAnsi" w:hAnsiTheme="minorHAnsi" w:cs="Calibri"/>
                  <w:b/>
                  <w:color w:val="B46400" w:themeColor="accent6" w:themeShade="BF"/>
                </w:rPr>
                <w:t>FABA</w:t>
              </w:r>
            </w:hyperlink>
            <w:r w:rsidRPr="000C17EB">
              <w:rPr>
                <w:rStyle w:val="Stark"/>
                <w:rFonts w:asciiTheme="minorHAnsi" w:eastAsiaTheme="minorEastAsia" w:hAnsiTheme="minorHAnsi" w:cs="Calibri"/>
                <w:b w:val="0"/>
                <w:color w:val="003D7C" w:themeColor="text2"/>
              </w:rPr>
              <w:t xml:space="preserve"> - </w:t>
            </w:r>
            <w:hyperlink w:anchor="_ORDLISTA" w:history="1">
              <w:r w:rsidRPr="000C17EB">
                <w:rPr>
                  <w:rStyle w:val="Hyperlnk"/>
                  <w:rFonts w:asciiTheme="minorHAnsi" w:hAnsiTheme="minorHAnsi" w:cs="Calibri"/>
                  <w:b/>
                  <w:color w:val="B46400" w:themeColor="accent6" w:themeShade="BF"/>
                </w:rPr>
                <w:t>SABA</w:t>
              </w:r>
            </w:hyperlink>
          </w:p>
        </w:tc>
        <w:tc>
          <w:tcPr>
            <w:tcW w:w="3299" w:type="dxa"/>
          </w:tcPr>
          <w:p w14:paraId="13BC6207"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lang w:val="en-US"/>
              </w:rPr>
            </w:pPr>
            <w:r w:rsidRPr="00BA13AD">
              <w:rPr>
                <w:rFonts w:asciiTheme="minorHAnsi" w:hAnsiTheme="minorHAnsi" w:cs="Calibri"/>
                <w:b/>
                <w:bCs/>
                <w:color w:val="003D7C" w:themeColor="text2"/>
                <w:lang w:val="en-US"/>
              </w:rPr>
              <w:t>salbutamol</w:t>
            </w:r>
          </w:p>
          <w:p w14:paraId="3D094FFB"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text2"/>
                <w:lang w:val="en-US"/>
              </w:rPr>
            </w:pPr>
            <w:r w:rsidRPr="00BA13AD">
              <w:rPr>
                <w:rFonts w:asciiTheme="minorHAnsi" w:hAnsiTheme="minorHAnsi" w:cs="Calibri"/>
                <w:color w:val="003D7C" w:themeColor="text2"/>
                <w:lang w:val="en-US"/>
              </w:rPr>
              <w:t>Buventol Easyhaler</w:t>
            </w:r>
          </w:p>
          <w:p w14:paraId="294E14D2"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lang w:val="en-US"/>
              </w:rPr>
            </w:pPr>
            <w:r w:rsidRPr="00BA13AD">
              <w:rPr>
                <w:rStyle w:val="Stark"/>
                <w:rFonts w:asciiTheme="minorHAnsi" w:eastAsiaTheme="minorEastAsia" w:hAnsiTheme="minorHAnsi" w:cs="Calibri"/>
                <w:color w:val="003D7C" w:themeColor="text2"/>
                <w:lang w:val="en-US"/>
              </w:rPr>
              <w:t>0,2 mg, 1 vb</w:t>
            </w:r>
          </w:p>
          <w:p w14:paraId="33817E74"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lang w:val="en-US"/>
              </w:rPr>
            </w:pPr>
            <w:r w:rsidRPr="00BA13AD">
              <w:rPr>
                <w:rStyle w:val="Stark"/>
                <w:rFonts w:asciiTheme="minorHAnsi" w:eastAsiaTheme="minorEastAsia" w:hAnsiTheme="minorHAnsi" w:cs="Calibri"/>
                <w:color w:val="003D7C" w:themeColor="text2"/>
                <w:lang w:val="en-US"/>
              </w:rPr>
              <w:t>Ventilastin Novolizer</w:t>
            </w:r>
          </w:p>
          <w:p w14:paraId="09DCEA88"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color w:val="003D7C" w:themeColor="text2"/>
              </w:rPr>
            </w:pPr>
            <w:r w:rsidRPr="000C17EB">
              <w:rPr>
                <w:rStyle w:val="Stark"/>
                <w:rFonts w:asciiTheme="minorHAnsi" w:eastAsiaTheme="minorEastAsia" w:hAnsiTheme="minorHAnsi" w:cs="Calibri"/>
                <w:color w:val="003D7C" w:themeColor="text2"/>
              </w:rPr>
              <w:t>100 µg, 1-2 vb</w:t>
            </w:r>
          </w:p>
        </w:tc>
        <w:tc>
          <w:tcPr>
            <w:tcW w:w="4676" w:type="dxa"/>
          </w:tcPr>
          <w:p w14:paraId="7B1E1455"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lang w:val="en-US"/>
              </w:rPr>
            </w:pPr>
            <w:r w:rsidRPr="00BA13AD">
              <w:rPr>
                <w:rFonts w:asciiTheme="minorHAnsi" w:hAnsiTheme="minorHAnsi" w:cs="Calibri"/>
                <w:b/>
                <w:bCs/>
                <w:color w:val="003D7C" w:themeColor="text2"/>
                <w:lang w:val="en-US"/>
              </w:rPr>
              <w:t>salbutamol</w:t>
            </w:r>
          </w:p>
          <w:p w14:paraId="4BFEF22C"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3D7C" w:themeColor="text2"/>
                <w:lang w:val="en-US"/>
              </w:rPr>
            </w:pPr>
            <w:r w:rsidRPr="00BA13AD">
              <w:rPr>
                <w:rFonts w:asciiTheme="minorHAnsi" w:hAnsiTheme="minorHAnsi" w:cs="Calibri"/>
                <w:color w:val="003D7C" w:themeColor="text2"/>
                <w:lang w:val="en-US"/>
              </w:rPr>
              <w:t>Ventoline Evohaler</w:t>
            </w:r>
          </w:p>
          <w:p w14:paraId="0E9D4E0A" w14:textId="77777777" w:rsidR="00EC79BD" w:rsidRPr="00BA13A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lang w:val="en-US"/>
              </w:rPr>
            </w:pPr>
            <w:r w:rsidRPr="00BA13AD">
              <w:rPr>
                <w:rFonts w:asciiTheme="minorHAnsi" w:hAnsiTheme="minorHAnsi" w:cs="Calibri"/>
                <w:color w:val="003D7C" w:themeColor="text2"/>
                <w:lang w:val="en-US"/>
              </w:rPr>
              <w:t xml:space="preserve">0,1 mg, 2 vb </w:t>
            </w:r>
          </w:p>
        </w:tc>
      </w:tr>
      <w:tr w:rsidR="00EC79BD" w:rsidRPr="000C17EB" w14:paraId="5D6A88DD" w14:textId="77777777" w:rsidTr="00632FCC">
        <w:trPr>
          <w:trHeight w:val="847"/>
        </w:trPr>
        <w:tc>
          <w:tcPr>
            <w:cnfStyle w:val="001000000000" w:firstRow="0" w:lastRow="0" w:firstColumn="1" w:lastColumn="0" w:oddVBand="0" w:evenVBand="0" w:oddHBand="0" w:evenHBand="0" w:firstRowFirstColumn="0" w:firstRowLastColumn="0" w:lastRowFirstColumn="0" w:lastRowLastColumn="0"/>
            <w:tcW w:w="1943" w:type="dxa"/>
            <w:tcBorders>
              <w:top w:val="none" w:sz="0" w:space="0" w:color="auto"/>
              <w:left w:val="none" w:sz="0" w:space="0" w:color="auto"/>
              <w:bottom w:val="none" w:sz="0" w:space="0" w:color="auto"/>
            </w:tcBorders>
          </w:tcPr>
          <w:p w14:paraId="5AFD50A9"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 xml:space="preserve">FABA – </w:t>
            </w:r>
            <w:hyperlink w:anchor="_ORDLISTA" w:history="1">
              <w:r w:rsidRPr="000C17EB">
                <w:rPr>
                  <w:rStyle w:val="Hyperlnk"/>
                  <w:rFonts w:asciiTheme="minorHAnsi" w:hAnsiTheme="minorHAnsi" w:cs="Calibri"/>
                  <w:b/>
                  <w:iCs w:val="0"/>
                  <w:color w:val="B46400" w:themeColor="accent6" w:themeShade="BF"/>
                </w:rPr>
                <w:t>LABA</w:t>
              </w:r>
            </w:hyperlink>
          </w:p>
        </w:tc>
        <w:tc>
          <w:tcPr>
            <w:tcW w:w="3299" w:type="dxa"/>
          </w:tcPr>
          <w:p w14:paraId="430C396A"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b/>
                <w:bCs/>
                <w:color w:val="003D7C" w:themeColor="text2"/>
              </w:rPr>
              <w:t xml:space="preserve">formoterol </w:t>
            </w:r>
            <w:r w:rsidRPr="000C17EB">
              <w:rPr>
                <w:rFonts w:asciiTheme="minorHAnsi" w:hAnsiTheme="minorHAnsi" w:cs="Calibri"/>
                <w:b/>
                <w:bCs/>
                <w:color w:val="003D7C" w:themeColor="text2"/>
              </w:rPr>
              <w:br/>
            </w:r>
            <w:r w:rsidRPr="000C17EB">
              <w:rPr>
                <w:rFonts w:asciiTheme="minorHAnsi" w:hAnsiTheme="minorHAnsi" w:cs="Calibri"/>
                <w:color w:val="003D7C" w:themeColor="text2"/>
              </w:rPr>
              <w:t>Formatris Novolizer</w:t>
            </w:r>
            <w:r>
              <w:rPr>
                <w:rFonts w:asciiTheme="minorHAnsi" w:hAnsiTheme="minorHAnsi" w:cs="Calibri"/>
                <w:color w:val="003D7C" w:themeColor="text2"/>
              </w:rPr>
              <w:t xml:space="preserve"> </w:t>
            </w:r>
            <w:r w:rsidRPr="00FA516E">
              <w:rPr>
                <w:b/>
                <w:bCs/>
                <w:color w:val="2D934F" w:themeColor="accent4"/>
              </w:rPr>
              <w:t>R</w:t>
            </w:r>
          </w:p>
          <w:p w14:paraId="47035F10" w14:textId="77777777" w:rsidR="00EC79BD" w:rsidRPr="000C17EB" w:rsidRDefault="00EC79BD" w:rsidP="00632FCC">
            <w:pPr>
              <w:pStyle w:val="Normal4"/>
              <w:shd w:val="clear" w:color="auto" w:fill="FFFFFF" w:themeFill="background1"/>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shd w:val="clear" w:color="auto" w:fill="F2F2F2" w:themeFill="background1" w:themeFillShade="F2"/>
              </w:rPr>
            </w:pPr>
            <w:r w:rsidRPr="000C17EB">
              <w:rPr>
                <w:rStyle w:val="Stark"/>
                <w:rFonts w:asciiTheme="minorHAnsi" w:eastAsiaTheme="minorEastAsia" w:hAnsiTheme="minorHAnsi" w:cs="Calibri"/>
                <w:color w:val="003D7C" w:themeColor="text2"/>
              </w:rPr>
              <w:t>6-1</w:t>
            </w:r>
            <w:r w:rsidRPr="000C17EB">
              <w:rPr>
                <w:rStyle w:val="Stark"/>
                <w:rFonts w:asciiTheme="minorHAnsi" w:eastAsiaTheme="minorEastAsia" w:hAnsiTheme="minorHAnsi" w:cs="Calibri"/>
                <w:color w:val="003D7C" w:themeColor="text2"/>
                <w:shd w:val="clear" w:color="auto" w:fill="FFFFFF" w:themeFill="background1"/>
              </w:rPr>
              <w:t xml:space="preserve">2 </w:t>
            </w:r>
            <w:r w:rsidRPr="000C17EB">
              <w:rPr>
                <w:rFonts w:asciiTheme="minorHAnsi" w:hAnsiTheme="minorHAnsi" w:cs="Calibri"/>
                <w:color w:val="003D7C" w:themeColor="text2"/>
                <w:shd w:val="clear" w:color="auto" w:fill="FFFFFF" w:themeFill="background1"/>
              </w:rPr>
              <w:t>µg, 2 g/dygn</w:t>
            </w:r>
          </w:p>
          <w:p w14:paraId="6762D48F" w14:textId="77777777" w:rsidR="00EC79BD" w:rsidRPr="000C17EB" w:rsidRDefault="00EC79BD" w:rsidP="00632FCC">
            <w:pPr>
              <w:pStyle w:val="Normal4"/>
              <w:shd w:val="clear" w:color="auto" w:fill="FFFFFF" w:themeFill="background1"/>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color w:val="003D7C" w:themeColor="text2"/>
              </w:rPr>
            </w:pPr>
            <w:r w:rsidRPr="000C17EB">
              <w:rPr>
                <w:rStyle w:val="Stark"/>
                <w:rFonts w:asciiTheme="minorHAnsi" w:eastAsiaTheme="minorEastAsia" w:hAnsiTheme="minorHAnsi" w:cs="Calibri"/>
                <w:color w:val="003D7C" w:themeColor="text2"/>
              </w:rPr>
              <w:t>6-12</w:t>
            </w:r>
            <w:r w:rsidRPr="000C17EB">
              <w:rPr>
                <w:rStyle w:val="Stark"/>
                <w:rFonts w:asciiTheme="minorHAnsi" w:eastAsiaTheme="minorEastAsia" w:hAnsiTheme="minorHAnsi" w:cs="Calibri"/>
                <w:color w:val="003D7C" w:themeColor="text2"/>
                <w:shd w:val="clear" w:color="auto" w:fill="FFFFFF" w:themeFill="background1"/>
              </w:rPr>
              <w:t xml:space="preserve"> </w:t>
            </w:r>
            <w:r w:rsidRPr="000C17EB">
              <w:rPr>
                <w:rFonts w:asciiTheme="minorHAnsi" w:hAnsiTheme="minorHAnsi" w:cs="Calibri"/>
                <w:color w:val="003D7C" w:themeColor="text2"/>
                <w:shd w:val="clear" w:color="auto" w:fill="FFFFFF" w:themeFill="background1"/>
              </w:rPr>
              <w:t>µg, 2 vb</w:t>
            </w:r>
          </w:p>
        </w:tc>
        <w:tc>
          <w:tcPr>
            <w:tcW w:w="4676" w:type="dxa"/>
            <w:shd w:val="clear" w:color="auto" w:fill="FFFFFF" w:themeFill="background1"/>
          </w:tcPr>
          <w:p w14:paraId="5581536E"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color w:val="003D7C" w:themeColor="text2"/>
              </w:rPr>
            </w:pPr>
            <w:r w:rsidRPr="000C17EB">
              <w:rPr>
                <w:rFonts w:asciiTheme="minorHAnsi" w:hAnsiTheme="minorHAnsi" w:cs="Calibri"/>
                <w:shd w:val="clear" w:color="auto" w:fill="FFFFFF" w:themeFill="background1"/>
              </w:rPr>
              <w:t>-</w:t>
            </w:r>
            <w:r w:rsidRPr="000C17EB">
              <w:rPr>
                <w:rFonts w:asciiTheme="minorHAnsi" w:hAnsiTheme="minorHAnsi" w:cs="Calibri"/>
                <w:shd w:val="clear" w:color="auto" w:fill="F2F2F2" w:themeFill="background1" w:themeFillShade="F2"/>
              </w:rPr>
              <w:t xml:space="preserve"> </w:t>
            </w:r>
          </w:p>
        </w:tc>
      </w:tr>
      <w:tr w:rsidR="00EC79BD" w:rsidRPr="000C17EB" w14:paraId="508B6DFE" w14:textId="77777777" w:rsidTr="00632FCC">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943" w:type="dxa"/>
            <w:tcBorders>
              <w:top w:val="none" w:sz="0" w:space="0" w:color="auto"/>
              <w:left w:val="none" w:sz="0" w:space="0" w:color="auto"/>
              <w:bottom w:val="none" w:sz="0" w:space="0" w:color="auto"/>
            </w:tcBorders>
          </w:tcPr>
          <w:p w14:paraId="5B116152"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hyperlink w:anchor="_ORDLISTA" w:history="1">
              <w:r w:rsidRPr="000C17EB">
                <w:rPr>
                  <w:rStyle w:val="Hyperlnk"/>
                  <w:rFonts w:asciiTheme="minorHAnsi" w:hAnsiTheme="minorHAnsi" w:cs="Calibri"/>
                  <w:b/>
                  <w:color w:val="B46400" w:themeColor="accent6" w:themeShade="BF"/>
                </w:rPr>
                <w:t>LAMA</w:t>
              </w:r>
            </w:hyperlink>
          </w:p>
        </w:tc>
        <w:tc>
          <w:tcPr>
            <w:tcW w:w="3299" w:type="dxa"/>
          </w:tcPr>
          <w:p w14:paraId="44CF7B3A"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 xml:space="preserve">aklidinium </w:t>
            </w:r>
            <w:r w:rsidRPr="000C17EB">
              <w:rPr>
                <w:rFonts w:asciiTheme="minorHAnsi" w:hAnsiTheme="minorHAnsi" w:cs="Calibri"/>
                <w:b/>
                <w:bCs/>
                <w:color w:val="003D7C" w:themeColor="text2"/>
              </w:rPr>
              <w:br/>
            </w:r>
            <w:r w:rsidRPr="000C17EB">
              <w:rPr>
                <w:rFonts w:asciiTheme="minorHAnsi" w:hAnsiTheme="minorHAnsi" w:cs="Calibri"/>
                <w:color w:val="003D7C" w:themeColor="text2"/>
              </w:rPr>
              <w:t>Eklira Genuair</w:t>
            </w:r>
          </w:p>
          <w:p w14:paraId="66B7443F"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shd w:val="clear" w:color="auto" w:fill="B1D7FF" w:themeFill="accent2" w:themeFillTint="33"/>
              </w:rPr>
              <w:t xml:space="preserve">322 </w:t>
            </w:r>
            <w:r w:rsidRPr="000C17EB">
              <w:rPr>
                <w:rFonts w:asciiTheme="minorHAnsi" w:hAnsiTheme="minorHAnsi" w:cs="Calibri"/>
                <w:color w:val="003D7C" w:themeColor="text2"/>
                <w:shd w:val="clear" w:color="auto" w:fill="B1D7FF" w:themeFill="accent2" w:themeFillTint="33"/>
              </w:rPr>
              <w:t>µg, 2 g/dygn</w:t>
            </w:r>
          </w:p>
        </w:tc>
        <w:tc>
          <w:tcPr>
            <w:tcW w:w="4676" w:type="dxa"/>
          </w:tcPr>
          <w:p w14:paraId="1FC21F79" w14:textId="77777777" w:rsidR="00EC79BD"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b/>
                <w:bCs/>
                <w:color w:val="003D7C" w:themeColor="text2"/>
              </w:rPr>
              <w:t xml:space="preserve">tiotropium </w:t>
            </w:r>
          </w:p>
          <w:p w14:paraId="753E1EB9"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3D7C" w:themeColor="text2"/>
              </w:rPr>
            </w:pPr>
            <w:r w:rsidRPr="000C17EB">
              <w:rPr>
                <w:rFonts w:asciiTheme="minorHAnsi" w:hAnsiTheme="minorHAnsi" w:cs="Calibri"/>
                <w:color w:val="003D7C" w:themeColor="text2"/>
              </w:rPr>
              <w:t>Spiriva Respim</w:t>
            </w:r>
            <w:r w:rsidRPr="00055DAD">
              <w:rPr>
                <w:rFonts w:asciiTheme="minorHAnsi" w:hAnsiTheme="minorHAnsi" w:cs="Calibri"/>
                <w:color w:val="003D7C" w:themeColor="text2"/>
              </w:rPr>
              <w:t xml:space="preserve">at </w:t>
            </w:r>
            <w:r w:rsidRPr="00055DAD">
              <w:rPr>
                <w:rStyle w:val="Stark"/>
                <w:rFonts w:asciiTheme="minorHAnsi" w:eastAsiaTheme="minorEastAsia" w:hAnsiTheme="minorHAnsi"/>
                <w:b w:val="0"/>
                <w:color w:val="2D934F" w:themeColor="accent4"/>
              </w:rPr>
              <w:t>R</w:t>
            </w:r>
          </w:p>
          <w:p w14:paraId="6B2DA12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shd w:val="clear" w:color="auto" w:fill="B1D7FF" w:themeFill="accent2" w:themeFillTint="33"/>
              </w:rPr>
              <w:t xml:space="preserve">2x2,5 </w:t>
            </w:r>
            <w:r w:rsidRPr="000C17EB">
              <w:rPr>
                <w:rFonts w:asciiTheme="minorHAnsi" w:hAnsiTheme="minorHAnsi" w:cs="Calibri"/>
                <w:color w:val="003D7C" w:themeColor="text2"/>
                <w:shd w:val="clear" w:color="auto" w:fill="B1D7FF" w:themeFill="accent2" w:themeFillTint="33"/>
              </w:rPr>
              <w:t>µg, 1 g/dygn</w:t>
            </w:r>
          </w:p>
        </w:tc>
      </w:tr>
      <w:tr w:rsidR="00EC79BD" w:rsidRPr="000C17EB" w14:paraId="3B580B78" w14:textId="77777777" w:rsidTr="00632FCC">
        <w:trPr>
          <w:trHeight w:val="847"/>
        </w:trPr>
        <w:tc>
          <w:tcPr>
            <w:cnfStyle w:val="001000000000" w:firstRow="0" w:lastRow="0" w:firstColumn="1" w:lastColumn="0" w:oddVBand="0" w:evenVBand="0" w:oddHBand="0" w:evenHBand="0" w:firstRowFirstColumn="0" w:firstRowLastColumn="0" w:lastRowFirstColumn="0" w:lastRowLastColumn="0"/>
            <w:tcW w:w="1943" w:type="dxa"/>
            <w:tcBorders>
              <w:top w:val="none" w:sz="0" w:space="0" w:color="auto"/>
              <w:left w:val="none" w:sz="0" w:space="0" w:color="auto"/>
              <w:bottom w:val="none" w:sz="0" w:space="0" w:color="auto"/>
            </w:tcBorders>
          </w:tcPr>
          <w:p w14:paraId="10077E9F"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LAMA+LABA</w:t>
            </w:r>
          </w:p>
        </w:tc>
        <w:tc>
          <w:tcPr>
            <w:tcW w:w="3299" w:type="dxa"/>
          </w:tcPr>
          <w:p w14:paraId="0A9148F8"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3D7C" w:themeColor="text2"/>
              </w:rPr>
            </w:pPr>
            <w:r w:rsidRPr="000C17EB">
              <w:rPr>
                <w:rFonts w:asciiTheme="minorHAnsi" w:hAnsiTheme="minorHAnsi" w:cs="Calibri"/>
                <w:b/>
                <w:bCs/>
                <w:color w:val="003D7C" w:themeColor="text2"/>
              </w:rPr>
              <w:t xml:space="preserve">aklidinium+formoterol </w:t>
            </w:r>
            <w:r w:rsidRPr="000C17EB">
              <w:rPr>
                <w:rFonts w:asciiTheme="minorHAnsi" w:hAnsiTheme="minorHAnsi" w:cs="Calibri"/>
                <w:b/>
                <w:bCs/>
                <w:color w:val="003D7C" w:themeColor="text2"/>
              </w:rPr>
              <w:br/>
            </w:r>
            <w:r w:rsidRPr="000C17EB">
              <w:rPr>
                <w:rFonts w:asciiTheme="minorHAnsi" w:hAnsiTheme="minorHAnsi" w:cs="Calibri"/>
                <w:color w:val="003D7C" w:themeColor="text2"/>
              </w:rPr>
              <w:t>Duaklir Genuair</w:t>
            </w:r>
          </w:p>
          <w:p w14:paraId="02A91635"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color w:val="003D7C" w:themeColor="text2"/>
                <w:highlight w:val="yellow"/>
              </w:rPr>
            </w:pPr>
            <w:r w:rsidRPr="000C17EB">
              <w:rPr>
                <w:rStyle w:val="Stark"/>
                <w:rFonts w:asciiTheme="minorHAnsi" w:eastAsiaTheme="minorEastAsia" w:hAnsiTheme="minorHAnsi" w:cs="Calibri"/>
                <w:color w:val="003D7C" w:themeColor="text2"/>
              </w:rPr>
              <w:t>1x2</w:t>
            </w:r>
          </w:p>
        </w:tc>
        <w:tc>
          <w:tcPr>
            <w:tcW w:w="4676" w:type="dxa"/>
          </w:tcPr>
          <w:p w14:paraId="2BC5A701"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color w:val="003D7C" w:themeColor="text2"/>
              </w:rPr>
            </w:pPr>
            <w:r w:rsidRPr="000C17EB">
              <w:rPr>
                <w:rFonts w:asciiTheme="minorHAnsi" w:hAnsiTheme="minorHAnsi" w:cs="Calibri"/>
                <w:b/>
                <w:bCs/>
                <w:color w:val="003D7C" w:themeColor="text2"/>
              </w:rPr>
              <w:t xml:space="preserve">tiotropium+olodaterol </w:t>
            </w:r>
            <w:r w:rsidRPr="000C17EB">
              <w:rPr>
                <w:rFonts w:asciiTheme="minorHAnsi" w:hAnsiTheme="minorHAnsi" w:cs="Calibri"/>
                <w:b/>
                <w:bCs/>
                <w:color w:val="003D7C" w:themeColor="text2"/>
              </w:rPr>
              <w:br/>
            </w:r>
            <w:r w:rsidRPr="000C17EB">
              <w:rPr>
                <w:rFonts w:asciiTheme="minorHAnsi" w:hAnsiTheme="minorHAnsi" w:cs="Calibri"/>
                <w:color w:val="003D7C" w:themeColor="text2"/>
              </w:rPr>
              <w:t>Spiolto Resp</w:t>
            </w:r>
            <w:r w:rsidRPr="00055DAD">
              <w:rPr>
                <w:rFonts w:ascii="Garamond" w:hAnsi="Garamond" w:cs="Calibri"/>
                <w:color w:val="003D7C" w:themeColor="text2"/>
              </w:rPr>
              <w:t xml:space="preserve">imat </w:t>
            </w:r>
            <w:r w:rsidRPr="00055DAD">
              <w:rPr>
                <w:rStyle w:val="Stark"/>
                <w:rFonts w:eastAsiaTheme="minorEastAsia"/>
                <w:b w:val="0"/>
                <w:color w:val="2D934F" w:themeColor="accent4"/>
              </w:rPr>
              <w:t>R</w:t>
            </w:r>
          </w:p>
          <w:p w14:paraId="58A48A3C"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1x2</w:t>
            </w:r>
          </w:p>
        </w:tc>
      </w:tr>
      <w:tr w:rsidR="00EC79BD" w:rsidRPr="000C17EB" w14:paraId="2808EFF9" w14:textId="77777777" w:rsidTr="00632FCC">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943" w:type="dxa"/>
            <w:tcBorders>
              <w:top w:val="none" w:sz="0" w:space="0" w:color="auto"/>
              <w:left w:val="none" w:sz="0" w:space="0" w:color="auto"/>
              <w:bottom w:val="none" w:sz="0" w:space="0" w:color="auto"/>
            </w:tcBorders>
          </w:tcPr>
          <w:p w14:paraId="3BBCD51C"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hyperlink w:anchor="_ORDLISTA" w:history="1">
              <w:r w:rsidRPr="000C17EB">
                <w:rPr>
                  <w:rStyle w:val="Hyperlnk"/>
                  <w:rFonts w:asciiTheme="minorHAnsi" w:hAnsiTheme="minorHAnsi" w:cs="Calibri"/>
                  <w:b/>
                  <w:color w:val="B46400" w:themeColor="accent6" w:themeShade="BF"/>
                </w:rPr>
                <w:t>ICS</w:t>
              </w:r>
            </w:hyperlink>
            <w:r w:rsidRPr="000C17EB">
              <w:rPr>
                <w:rStyle w:val="Stark"/>
                <w:rFonts w:asciiTheme="minorHAnsi" w:eastAsiaTheme="minorEastAsia" w:hAnsiTheme="minorHAnsi" w:cs="Calibri"/>
                <w:b w:val="0"/>
                <w:color w:val="003D7C" w:themeColor="text2"/>
              </w:rPr>
              <w:t>+LABA</w:t>
            </w:r>
          </w:p>
        </w:tc>
        <w:tc>
          <w:tcPr>
            <w:tcW w:w="3299" w:type="dxa"/>
          </w:tcPr>
          <w:p w14:paraId="564856D5"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budesonid+formoterol</w:t>
            </w:r>
          </w:p>
          <w:p w14:paraId="3038040B"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Bufomix Easyhaler</w:t>
            </w:r>
          </w:p>
          <w:p w14:paraId="6FFFEB97"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shd w:val="clear" w:color="auto" w:fill="B1D7FF" w:themeFill="accent2" w:themeFillTint="33"/>
              </w:rPr>
              <w:t xml:space="preserve">320/9 </w:t>
            </w:r>
            <w:r w:rsidRPr="000C17EB">
              <w:rPr>
                <w:rFonts w:asciiTheme="minorHAnsi" w:hAnsiTheme="minorHAnsi" w:cs="Calibri"/>
                <w:color w:val="003D7C" w:themeColor="text2"/>
                <w:shd w:val="clear" w:color="auto" w:fill="B1D7FF" w:themeFill="accent2" w:themeFillTint="33"/>
              </w:rPr>
              <w:t>µg, 2 g/dygn</w:t>
            </w:r>
          </w:p>
        </w:tc>
        <w:tc>
          <w:tcPr>
            <w:tcW w:w="4676" w:type="dxa"/>
          </w:tcPr>
          <w:p w14:paraId="47FDF8A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 xml:space="preserve">beklometason+formoterol </w:t>
            </w:r>
          </w:p>
          <w:p w14:paraId="75387DEC"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 xml:space="preserve">Innovair spray </w:t>
            </w:r>
          </w:p>
          <w:p w14:paraId="1343B87B"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shd w:val="clear" w:color="auto" w:fill="B1D7FF" w:themeFill="accent2" w:themeFillTint="33"/>
              </w:rPr>
              <w:t xml:space="preserve">2x100/6 </w:t>
            </w:r>
            <w:r w:rsidRPr="000C17EB">
              <w:rPr>
                <w:rFonts w:asciiTheme="minorHAnsi" w:hAnsiTheme="minorHAnsi" w:cs="Calibri"/>
                <w:color w:val="003D7C" w:themeColor="text2"/>
                <w:shd w:val="clear" w:color="auto" w:fill="B1D7FF" w:themeFill="accent2" w:themeFillTint="33"/>
              </w:rPr>
              <w:t>µg, 2 g/dygn</w:t>
            </w:r>
          </w:p>
        </w:tc>
      </w:tr>
      <w:tr w:rsidR="00EC79BD" w:rsidRPr="000C17EB" w14:paraId="5968C5F9" w14:textId="77777777" w:rsidTr="00632FCC">
        <w:trPr>
          <w:trHeight w:val="1211"/>
        </w:trPr>
        <w:tc>
          <w:tcPr>
            <w:cnfStyle w:val="001000000000" w:firstRow="0" w:lastRow="0" w:firstColumn="1" w:lastColumn="0" w:oddVBand="0" w:evenVBand="0" w:oddHBand="0" w:evenHBand="0" w:firstRowFirstColumn="0" w:firstRowLastColumn="0" w:lastRowFirstColumn="0" w:lastRowLastColumn="0"/>
            <w:tcW w:w="1943" w:type="dxa"/>
            <w:tcBorders>
              <w:top w:val="none" w:sz="0" w:space="0" w:color="auto"/>
              <w:left w:val="none" w:sz="0" w:space="0" w:color="auto"/>
              <w:bottom w:val="none" w:sz="0" w:space="0" w:color="auto"/>
            </w:tcBorders>
          </w:tcPr>
          <w:p w14:paraId="79EADA27"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Cs/>
                <w:color w:val="003D7C" w:themeColor="text2"/>
              </w:rPr>
            </w:pPr>
            <w:r w:rsidRPr="000C17EB">
              <w:rPr>
                <w:rStyle w:val="Stark"/>
                <w:rFonts w:asciiTheme="minorHAnsi" w:eastAsiaTheme="minorEastAsia" w:hAnsiTheme="minorHAnsi" w:cs="Calibri"/>
                <w:b w:val="0"/>
                <w:color w:val="003D7C" w:themeColor="text2"/>
              </w:rPr>
              <w:t>ICS+LAMA+</w:t>
            </w:r>
          </w:p>
          <w:p w14:paraId="41BFFAEF"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LABA</w:t>
            </w:r>
          </w:p>
        </w:tc>
        <w:tc>
          <w:tcPr>
            <w:tcW w:w="3299" w:type="dxa"/>
          </w:tcPr>
          <w:p w14:paraId="7D0A8AE5"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 xml:space="preserve">flutikasonfuroat+umeklidinium+ vilanterol </w:t>
            </w:r>
          </w:p>
          <w:p w14:paraId="187F7EDC"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Trelegy Elipta</w:t>
            </w:r>
          </w:p>
          <w:p w14:paraId="6E328793"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1x1</w:t>
            </w:r>
          </w:p>
        </w:tc>
        <w:tc>
          <w:tcPr>
            <w:tcW w:w="4676" w:type="dxa"/>
          </w:tcPr>
          <w:p w14:paraId="23880173" w14:textId="77777777" w:rsidR="00EC79BD"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beklometason+formoterol+</w:t>
            </w:r>
          </w:p>
          <w:p w14:paraId="33AC53BF"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b w:val="0"/>
                <w:color w:val="003D7C" w:themeColor="text2"/>
              </w:rPr>
              <w:t>glykopyrronium</w:t>
            </w:r>
            <w:r w:rsidRPr="000C17EB">
              <w:rPr>
                <w:rStyle w:val="Stark"/>
                <w:rFonts w:asciiTheme="minorHAnsi" w:eastAsiaTheme="minorEastAsia" w:hAnsiTheme="minorHAnsi" w:cs="Calibri"/>
                <w:color w:val="003D7C" w:themeColor="text2"/>
              </w:rPr>
              <w:t xml:space="preserve"> </w:t>
            </w:r>
            <w:r w:rsidRPr="000C17EB">
              <w:rPr>
                <w:rStyle w:val="Stark"/>
                <w:rFonts w:asciiTheme="minorHAnsi" w:eastAsiaTheme="minorEastAsia" w:hAnsiTheme="minorHAnsi" w:cs="Calibri"/>
                <w:color w:val="003D7C" w:themeColor="text2"/>
              </w:rPr>
              <w:br/>
              <w:t>Trimbow</w:t>
            </w:r>
          </w:p>
          <w:p w14:paraId="75159E5A"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2x2</w:t>
            </w:r>
          </w:p>
        </w:tc>
      </w:tr>
    </w:tbl>
    <w:bookmarkStart w:id="66" w:name="_Toc150455986"/>
    <w:bookmarkStart w:id="67" w:name="_Toc150458005"/>
    <w:p w14:paraId="237FD539" w14:textId="77777777" w:rsidR="00EC79BD" w:rsidRPr="000C17EB" w:rsidRDefault="00EC79BD" w:rsidP="00EC79BD">
      <w:pPr>
        <w:pStyle w:val="Normal4"/>
        <w:spacing w:before="0" w:beforeAutospacing="0" w:after="0" w:afterAutospacing="0"/>
        <w:rPr>
          <w:rStyle w:val="Stark"/>
          <w:rFonts w:asciiTheme="minorHAnsi" w:eastAsiaTheme="minorEastAsia" w:hAnsiTheme="minorHAnsi" w:cs="Calibri"/>
          <w:i/>
          <w:color w:val="404040"/>
        </w:rPr>
      </w:pPr>
      <w:r w:rsidRPr="000C17EB">
        <w:rPr>
          <w:rFonts w:asciiTheme="minorHAnsi" w:hAnsiTheme="minorHAnsi" w:cs="Calibri"/>
          <w:noProof/>
        </w:rPr>
        <mc:AlternateContent>
          <mc:Choice Requires="wps">
            <w:drawing>
              <wp:anchor distT="0" distB="0" distL="114300" distR="114300" simplePos="0" relativeHeight="251776000" behindDoc="1" locked="0" layoutInCell="1" allowOverlap="1" wp14:anchorId="3108FF9D" wp14:editId="414305E6">
                <wp:simplePos x="0" y="0"/>
                <wp:positionH relativeFrom="margin">
                  <wp:align>left</wp:align>
                </wp:positionH>
                <wp:positionV relativeFrom="paragraph">
                  <wp:posOffset>10886</wp:posOffset>
                </wp:positionV>
                <wp:extent cx="5871845" cy="1003465"/>
                <wp:effectExtent l="0" t="0" r="14605" b="25400"/>
                <wp:wrapNone/>
                <wp:docPr id="1200761876" name="Rektangel: rundade hörn 1200761876"/>
                <wp:cNvGraphicFramePr/>
                <a:graphic xmlns:a="http://schemas.openxmlformats.org/drawingml/2006/main">
                  <a:graphicData uri="http://schemas.microsoft.com/office/word/2010/wordprocessingShape">
                    <wps:wsp>
                      <wps:cNvSpPr/>
                      <wps:spPr>
                        <a:xfrm>
                          <a:off x="0" y="0"/>
                          <a:ext cx="5871845" cy="1003465"/>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FD91E0" id="Rektangel: rundade hörn 1200761876" o:spid="_x0000_s1026" style="position:absolute;margin-left:0;margin-top:.85pt;width:462.35pt;height:79pt;z-index:-251540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" fillcolor="#86cdff" strokecolor="#0079a6" strokeweight="2pt">
                <v:fill color2="#dceeff" rotate="t" angle="45" colors="0 #86cdff;.5 #b7deff;1 #dceeff" focus="100%" type="gradient"/>
                <w10:wrap anchorx="margin"/>
              </v:roundrect>
            </w:pict>
          </mc:Fallback>
        </mc:AlternateContent>
      </w:r>
      <w:r w:rsidRPr="001F551E">
        <w:rPr>
          <w:rFonts w:cs="Calibri"/>
          <w:noProof/>
        </w:rPr>
        <mc:AlternateContent>
          <mc:Choice Requires="wps">
            <w:drawing>
              <wp:anchor distT="45720" distB="45720" distL="114300" distR="114300" simplePos="0" relativeHeight="251777024" behindDoc="1" locked="0" layoutInCell="1" allowOverlap="1" wp14:anchorId="4346168E" wp14:editId="72DC22CB">
                <wp:simplePos x="0" y="0"/>
                <wp:positionH relativeFrom="margin">
                  <wp:posOffset>70089</wp:posOffset>
                </wp:positionH>
                <wp:positionV relativeFrom="paragraph">
                  <wp:posOffset>52639</wp:posOffset>
                </wp:positionV>
                <wp:extent cx="5634347" cy="890649"/>
                <wp:effectExtent l="0" t="0" r="0" b="5080"/>
                <wp:wrapNone/>
                <wp:docPr id="120076187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47" cy="890649"/>
                        </a:xfrm>
                        <a:prstGeom prst="rect">
                          <a:avLst/>
                        </a:prstGeom>
                        <a:noFill/>
                        <a:ln w="9525">
                          <a:noFill/>
                          <a:miter lim="800000"/>
                          <a:headEnd/>
                          <a:tailEnd/>
                        </a:ln>
                      </wps:spPr>
                      <wps:txbx>
                        <w:txbxContent>
                          <w:p w14:paraId="7AC53E52" w14:textId="7BF4B71D" w:rsidR="002978E8" w:rsidRPr="005E126F" w:rsidRDefault="00EC79BD" w:rsidP="00EC79BD">
                            <w:pPr>
                              <w:rPr>
                                <w:rFonts w:asciiTheme="minorHAnsi" w:hAnsiTheme="minorHAnsi" w:cs="Calibri"/>
                                <w:b/>
                                <w:bCs/>
                                <w:color w:val="002D5C" w:themeColor="accent2" w:themeShade="BF"/>
                                <w:szCs w:val="24"/>
                              </w:rPr>
                            </w:pPr>
                            <w:r w:rsidRPr="005E126F">
                              <w:rPr>
                                <w:rFonts w:asciiTheme="minorHAnsi" w:hAnsiTheme="minorHAnsi" w:cs="Calibri"/>
                                <w:b/>
                                <w:bCs/>
                                <w:color w:val="002D5C" w:themeColor="accent2" w:themeShade="BF"/>
                                <w:szCs w:val="24"/>
                              </w:rPr>
                              <w:t>Nuvarande rekommendationer kan komplicera valet av inhalator, särskilt vid kombinationsbehandling. Inhalatorer från olika märken kan behöva förskrivas till samma patient. En någorlunda enkel regel är att i så fall hålla det till antingen pulver, spray eller softmistinhalatorer</w:t>
                            </w:r>
                          </w:p>
                          <w:p w14:paraId="2F409740" w14:textId="77777777" w:rsidR="00EC79BD" w:rsidRDefault="00EC79BD" w:rsidP="00EC79BD">
                            <w:pPr>
                              <w:rPr>
                                <w:rFonts w:ascii="Calibri" w:hAnsi="Calibri" w:cs="Calibri"/>
                                <w:b/>
                                <w:bCs/>
                                <w:color w:val="002D5C" w:themeColor="accent2" w:themeShade="BF"/>
                                <w:szCs w:val="24"/>
                              </w:rPr>
                            </w:pPr>
                          </w:p>
                          <w:p w14:paraId="5BF74592" w14:textId="77777777" w:rsidR="00EC79BD" w:rsidRDefault="00EC79BD" w:rsidP="00EC79BD">
                            <w:pPr>
                              <w:rPr>
                                <w:rFonts w:ascii="Calibri" w:hAnsi="Calibri" w:cs="Calibri"/>
                                <w:b/>
                                <w:bCs/>
                                <w:color w:val="002D5C" w:themeColor="accent2" w:themeShade="BF"/>
                                <w:szCs w:val="24"/>
                              </w:rPr>
                            </w:pPr>
                          </w:p>
                          <w:p w14:paraId="3834CB48" w14:textId="77777777" w:rsidR="00EC79BD" w:rsidRDefault="00EC79BD" w:rsidP="00EC79BD">
                            <w:pPr>
                              <w:rPr>
                                <w:rFonts w:ascii="Calibri" w:hAnsi="Calibri" w:cs="Calibri"/>
                                <w:b/>
                                <w:bCs/>
                                <w:color w:val="002D5C" w:themeColor="accent2" w:themeShade="BF"/>
                                <w:szCs w:val="24"/>
                              </w:rPr>
                            </w:pPr>
                          </w:p>
                          <w:p w14:paraId="5C674971" w14:textId="77777777" w:rsidR="00EC79BD" w:rsidRPr="00E7795C" w:rsidRDefault="00EC79BD" w:rsidP="00EC79BD">
                            <w:pPr>
                              <w:rPr>
                                <w:rFonts w:ascii="Calibri" w:hAnsi="Calibri" w:cs="Calibri"/>
                                <w:b/>
                                <w:bCs/>
                                <w:color w:val="002D5C" w:themeColor="accent2" w:themeShade="BF"/>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6168E" id="_x0000_s1053" type="#_x0000_t202" style="position:absolute;margin-left:5.5pt;margin-top:4.15pt;width:443.65pt;height:70.15pt;z-index:-25153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" filled="f" stroked="f">
                <v:textbox>
                  <w:txbxContent>
                    <w:p w14:paraId="7AC53E52" w14:textId="7BF4B71D" w:rsidR="002978E8" w:rsidRPr="005E126F" w:rsidRDefault="00EC79BD" w:rsidP="00EC79BD">
                      <w:pPr>
                        <w:rPr>
                          <w:rFonts w:asciiTheme="minorHAnsi" w:hAnsiTheme="minorHAnsi" w:cs="Calibri"/>
                          <w:b/>
                          <w:bCs/>
                          <w:color w:val="002D5C" w:themeColor="accent2" w:themeShade="BF"/>
                          <w:szCs w:val="24"/>
                        </w:rPr>
                      </w:pPr>
                      <w:r w:rsidRPr="005E126F">
                        <w:rPr>
                          <w:rFonts w:asciiTheme="minorHAnsi" w:hAnsiTheme="minorHAnsi" w:cs="Calibri"/>
                          <w:b/>
                          <w:bCs/>
                          <w:color w:val="002D5C" w:themeColor="accent2" w:themeShade="BF"/>
                          <w:szCs w:val="24"/>
                        </w:rPr>
                        <w:t>Nuvarande rekommendationer kan komplicera valet av inhalator, särskilt vid kombinationsbehandling. Inhalatorer från olika märken kan behöva förskrivas till samma patient. En någorlunda enkel regel är att i så fall hålla det till antingen pulver, spray eller softmistinhalatorer</w:t>
                      </w:r>
                    </w:p>
                    <w:p w14:paraId="2F409740" w14:textId="77777777" w:rsidR="00EC79BD" w:rsidRDefault="00EC79BD" w:rsidP="00EC79BD">
                      <w:pPr>
                        <w:rPr>
                          <w:rFonts w:ascii="Calibri" w:hAnsi="Calibri" w:cs="Calibri"/>
                          <w:b/>
                          <w:bCs/>
                          <w:color w:val="002D5C" w:themeColor="accent2" w:themeShade="BF"/>
                          <w:szCs w:val="24"/>
                        </w:rPr>
                      </w:pPr>
                    </w:p>
                    <w:p w14:paraId="5BF74592" w14:textId="77777777" w:rsidR="00EC79BD" w:rsidRDefault="00EC79BD" w:rsidP="00EC79BD">
                      <w:pPr>
                        <w:rPr>
                          <w:rFonts w:ascii="Calibri" w:hAnsi="Calibri" w:cs="Calibri"/>
                          <w:b/>
                          <w:bCs/>
                          <w:color w:val="002D5C" w:themeColor="accent2" w:themeShade="BF"/>
                          <w:szCs w:val="24"/>
                        </w:rPr>
                      </w:pPr>
                    </w:p>
                    <w:p w14:paraId="3834CB48" w14:textId="77777777" w:rsidR="00EC79BD" w:rsidRDefault="00EC79BD" w:rsidP="00EC79BD">
                      <w:pPr>
                        <w:rPr>
                          <w:rFonts w:ascii="Calibri" w:hAnsi="Calibri" w:cs="Calibri"/>
                          <w:b/>
                          <w:bCs/>
                          <w:color w:val="002D5C" w:themeColor="accent2" w:themeShade="BF"/>
                          <w:szCs w:val="24"/>
                        </w:rPr>
                      </w:pPr>
                    </w:p>
                    <w:p w14:paraId="5C674971" w14:textId="77777777" w:rsidR="00EC79BD" w:rsidRPr="00E7795C" w:rsidRDefault="00EC79BD" w:rsidP="00EC79BD">
                      <w:pPr>
                        <w:rPr>
                          <w:rFonts w:ascii="Calibri" w:hAnsi="Calibri" w:cs="Calibri"/>
                          <w:b/>
                          <w:bCs/>
                          <w:color w:val="002D5C" w:themeColor="accent2" w:themeShade="BF"/>
                          <w:szCs w:val="24"/>
                        </w:rPr>
                      </w:pPr>
                    </w:p>
                  </w:txbxContent>
                </v:textbox>
                <w10:wrap anchorx="margin"/>
              </v:shape>
            </w:pict>
          </mc:Fallback>
        </mc:AlternateContent>
      </w:r>
      <w:bookmarkEnd w:id="66"/>
      <w:bookmarkEnd w:id="67"/>
    </w:p>
    <w:p w14:paraId="7A23B788" w14:textId="77777777" w:rsidR="00EC79BD" w:rsidRDefault="00EC79BD" w:rsidP="00EC79BD">
      <w:pPr>
        <w:rPr>
          <w:rFonts w:asciiTheme="minorHAnsi" w:hAnsiTheme="minorHAnsi"/>
          <w:b/>
          <w:bCs/>
          <w:color w:val="2D934F" w:themeColor="accent4"/>
        </w:rPr>
      </w:pPr>
    </w:p>
    <w:p w14:paraId="59A71E29" w14:textId="77777777" w:rsidR="002978E8" w:rsidRDefault="002978E8" w:rsidP="00EC79BD">
      <w:pPr>
        <w:rPr>
          <w:rFonts w:asciiTheme="minorHAnsi" w:hAnsiTheme="minorHAnsi"/>
          <w:b/>
          <w:bCs/>
          <w:color w:val="2D934F" w:themeColor="accent4"/>
        </w:rPr>
      </w:pPr>
    </w:p>
    <w:p w14:paraId="69D51554" w14:textId="77777777" w:rsidR="002978E8" w:rsidRDefault="002978E8" w:rsidP="00EC79BD">
      <w:pPr>
        <w:rPr>
          <w:rFonts w:asciiTheme="minorHAnsi" w:hAnsiTheme="minorHAnsi"/>
          <w:b/>
          <w:bCs/>
          <w:color w:val="2D934F" w:themeColor="accent4"/>
        </w:rPr>
      </w:pPr>
    </w:p>
    <w:p w14:paraId="52446E00" w14:textId="77777777" w:rsidR="002978E8" w:rsidRDefault="002978E8" w:rsidP="00EC79BD">
      <w:pPr>
        <w:rPr>
          <w:rFonts w:asciiTheme="minorHAnsi" w:hAnsiTheme="minorHAnsi"/>
          <w:b/>
          <w:bCs/>
          <w:color w:val="2D934F" w:themeColor="accent4"/>
        </w:rPr>
      </w:pPr>
    </w:p>
    <w:p w14:paraId="07CDED8D" w14:textId="0A2D5447" w:rsidR="002978E8" w:rsidRPr="002978E8" w:rsidRDefault="002978E8" w:rsidP="00EC79BD">
      <w:pPr>
        <w:rPr>
          <w:rFonts w:asciiTheme="minorHAnsi" w:hAnsiTheme="minorHAnsi"/>
        </w:rPr>
      </w:pPr>
    </w:p>
    <w:p w14:paraId="7A9F9A85" w14:textId="77777777" w:rsidR="002978E8" w:rsidRDefault="002978E8" w:rsidP="00EC79BD">
      <w:pPr>
        <w:rPr>
          <w:rFonts w:asciiTheme="minorHAnsi" w:hAnsiTheme="minorHAnsi"/>
          <w:b/>
          <w:bCs/>
        </w:rPr>
      </w:pPr>
    </w:p>
    <w:p w14:paraId="73DE6727" w14:textId="77777777" w:rsidR="002978E8" w:rsidRDefault="002978E8" w:rsidP="00EC79BD">
      <w:pPr>
        <w:rPr>
          <w:rFonts w:asciiTheme="minorHAnsi" w:hAnsiTheme="minorHAnsi"/>
          <w:b/>
          <w:bCs/>
        </w:rPr>
      </w:pPr>
    </w:p>
    <w:p w14:paraId="43E2BFA3" w14:textId="1806AC42" w:rsidR="002978E8" w:rsidRDefault="002978E8" w:rsidP="00EC79BD">
      <w:pPr>
        <w:rPr>
          <w:rFonts w:asciiTheme="minorHAnsi" w:hAnsiTheme="minorHAnsi"/>
          <w:b/>
          <w:bCs/>
        </w:rPr>
      </w:pPr>
      <w:r>
        <w:rPr>
          <w:rFonts w:asciiTheme="minorHAnsi" w:hAnsiTheme="minorHAnsi"/>
          <w:b/>
          <w:bCs/>
        </w:rPr>
        <w:t xml:space="preserve">OBS! </w:t>
      </w:r>
      <w:r w:rsidR="00EC79BD" w:rsidRPr="00055DAD">
        <w:rPr>
          <w:rFonts w:asciiTheme="minorHAnsi" w:hAnsiTheme="minorHAnsi"/>
          <w:b/>
          <w:bCs/>
        </w:rPr>
        <w:t>I</w:t>
      </w:r>
      <w:r w:rsidR="00D50E7C">
        <w:rPr>
          <w:rFonts w:asciiTheme="minorHAnsi" w:hAnsiTheme="minorHAnsi"/>
          <w:b/>
          <w:bCs/>
        </w:rPr>
        <w:t xml:space="preserve"> </w:t>
      </w:r>
      <w:r w:rsidR="00EC79BD" w:rsidRPr="00055DAD">
        <w:rPr>
          <w:rFonts w:asciiTheme="minorHAnsi" w:hAnsiTheme="minorHAnsi"/>
          <w:b/>
          <w:bCs/>
        </w:rPr>
        <w:t>första hand prioriteras patientens inhalationsförmåga och preferens</w:t>
      </w:r>
    </w:p>
    <w:p w14:paraId="32B7991F" w14:textId="584AAD2F" w:rsidR="002978E8" w:rsidRDefault="002978E8" w:rsidP="00EC79BD">
      <w:pPr>
        <w:rPr>
          <w:rFonts w:asciiTheme="minorHAnsi" w:hAnsiTheme="minorHAnsi"/>
          <w:b/>
          <w:bCs/>
        </w:rPr>
      </w:pPr>
      <w:r w:rsidRPr="002978E8">
        <w:rPr>
          <w:rFonts w:asciiTheme="minorHAnsi" w:hAnsiTheme="minorHAnsi"/>
          <w:b/>
          <w:bCs/>
          <w:color w:val="2D934F" w:themeColor="accent4"/>
        </w:rPr>
        <w:t xml:space="preserve"> </w:t>
      </w:r>
      <w:r w:rsidRPr="00480A7D">
        <w:rPr>
          <w:rFonts w:asciiTheme="minorHAnsi" w:hAnsiTheme="minorHAnsi"/>
          <w:b/>
          <w:bCs/>
          <w:color w:val="2D934F" w:themeColor="accent4"/>
        </w:rPr>
        <w:t>M</w:t>
      </w:r>
      <w:r>
        <w:rPr>
          <w:rFonts w:asciiTheme="minorHAnsi" w:hAnsiTheme="minorHAnsi"/>
          <w:b/>
          <w:bCs/>
          <w:color w:val="2D934F" w:themeColor="accent4"/>
        </w:rPr>
        <w:t xml:space="preserve"> </w:t>
      </w:r>
      <w:r>
        <w:rPr>
          <w:rFonts w:asciiTheme="minorHAnsi" w:hAnsiTheme="minorHAnsi"/>
        </w:rPr>
        <w:t>–</w:t>
      </w:r>
      <w:r>
        <w:rPr>
          <w:rFonts w:asciiTheme="minorHAnsi" w:hAnsiTheme="minorHAnsi"/>
          <w:b/>
          <w:bCs/>
          <w:color w:val="2D934F" w:themeColor="accent4"/>
        </w:rPr>
        <w:t xml:space="preserve"> </w:t>
      </w:r>
      <w:r w:rsidRPr="00480A7D">
        <w:rPr>
          <w:rFonts w:asciiTheme="minorHAnsi" w:hAnsiTheme="minorHAnsi"/>
        </w:rPr>
        <w:t>Inneh</w:t>
      </w:r>
      <w:r>
        <w:rPr>
          <w:rFonts w:asciiTheme="minorHAnsi" w:hAnsiTheme="minorHAnsi"/>
        </w:rPr>
        <w:t xml:space="preserve">åller inte </w:t>
      </w:r>
      <w:hyperlink w:anchor="_ORDLISTA" w:history="1">
        <w:r w:rsidRPr="00B949BB">
          <w:rPr>
            <w:rStyle w:val="Hyperlnk"/>
            <w:rFonts w:asciiTheme="minorHAnsi" w:hAnsiTheme="minorHAnsi"/>
            <w:color w:val="B46400" w:themeColor="accent6" w:themeShade="BF"/>
          </w:rPr>
          <w:t>HFC</w:t>
        </w:r>
      </w:hyperlink>
      <w:r>
        <w:rPr>
          <w:rFonts w:asciiTheme="minorHAnsi" w:hAnsiTheme="minorHAnsi"/>
        </w:rPr>
        <w:t xml:space="preserve">, miljömässigt bättre alternativ </w:t>
      </w:r>
      <w:r w:rsidRPr="00D5747D">
        <w:rPr>
          <w:rFonts w:asciiTheme="minorHAnsi" w:hAnsiTheme="minorHAnsi"/>
          <w:b/>
          <w:bCs/>
          <w:color w:val="2D934F" w:themeColor="accent4"/>
        </w:rPr>
        <w:t>R</w:t>
      </w:r>
      <w:r w:rsidRPr="00454967">
        <w:rPr>
          <w:rFonts w:asciiTheme="minorHAnsi" w:hAnsiTheme="minorHAnsi"/>
          <w:b/>
          <w:bCs/>
          <w:color w:val="003D7C" w:themeColor="text2"/>
        </w:rPr>
        <w:t xml:space="preserve"> </w:t>
      </w:r>
      <w:r>
        <w:rPr>
          <w:rFonts w:asciiTheme="minorHAnsi" w:hAnsiTheme="minorHAnsi"/>
          <w:color w:val="000000" w:themeColor="text1"/>
        </w:rPr>
        <w:t>–</w:t>
      </w:r>
      <w:r w:rsidRPr="00454967">
        <w:rPr>
          <w:rFonts w:asciiTheme="minorHAnsi" w:hAnsiTheme="minorHAnsi"/>
          <w:color w:val="000000" w:themeColor="text1"/>
        </w:rPr>
        <w:t xml:space="preserve"> </w:t>
      </w:r>
      <w:r>
        <w:rPr>
          <w:rFonts w:asciiTheme="minorHAnsi" w:hAnsiTheme="minorHAnsi"/>
          <w:color w:val="000000" w:themeColor="text1"/>
        </w:rPr>
        <w:t>Refillalternativ finns</w:t>
      </w:r>
      <w:r>
        <w:rPr>
          <w:rFonts w:asciiTheme="minorHAnsi" w:hAnsiTheme="minorHAnsi"/>
          <w:b/>
          <w:bCs/>
          <w:color w:val="003D7C" w:themeColor="text2"/>
        </w:rPr>
        <w:t xml:space="preserve"> </w:t>
      </w:r>
      <w:r w:rsidRPr="00055DAD">
        <w:rPr>
          <w:rFonts w:asciiTheme="minorHAnsi" w:hAnsiTheme="minorHAnsi"/>
          <w:b/>
          <w:bCs/>
        </w:rPr>
        <w:t xml:space="preserve"> </w:t>
      </w:r>
    </w:p>
    <w:p w14:paraId="36C7AA51" w14:textId="61EBEB88" w:rsidR="00EC79BD" w:rsidRDefault="00EC79BD" w:rsidP="00EC79BD">
      <w:pPr>
        <w:rPr>
          <w:rStyle w:val="Stark"/>
          <w:rFonts w:cs="Calibri"/>
          <w:b w:val="0"/>
          <w:iCs/>
          <w:szCs w:val="24"/>
          <w:u w:val="single"/>
        </w:rPr>
      </w:pPr>
      <w:r>
        <w:rPr>
          <w:rStyle w:val="Stark"/>
          <w:rFonts w:cs="Calibri"/>
          <w:b w:val="0"/>
          <w:szCs w:val="24"/>
          <w:u w:val="single"/>
        </w:rPr>
        <w:br w:type="page"/>
      </w:r>
    </w:p>
    <w:p w14:paraId="24DDC14A" w14:textId="77777777" w:rsidR="00EC79BD" w:rsidRPr="00041C9B" w:rsidRDefault="00EC79BD" w:rsidP="00EC79BD">
      <w:pPr>
        <w:pStyle w:val="Rubrik3"/>
        <w:rPr>
          <w:rStyle w:val="Stark"/>
          <w:rFonts w:cs="Calibri"/>
          <w:b/>
          <w:iCs/>
          <w:szCs w:val="24"/>
        </w:rPr>
      </w:pPr>
      <w:r w:rsidRPr="00041C9B">
        <w:rPr>
          <w:rStyle w:val="Stark"/>
          <w:rFonts w:cs="Calibri"/>
          <w:b/>
          <w:szCs w:val="24"/>
        </w:rPr>
        <w:lastRenderedPageBreak/>
        <w:t>Andra läkemedel</w:t>
      </w:r>
      <w:r>
        <w:rPr>
          <w:rStyle w:val="Stark"/>
          <w:rFonts w:cs="Calibri"/>
          <w:b/>
          <w:szCs w:val="24"/>
        </w:rPr>
        <w:br/>
      </w:r>
    </w:p>
    <w:p w14:paraId="6A4D01E2" w14:textId="77777777" w:rsidR="00EC79BD" w:rsidRPr="002A27EE" w:rsidRDefault="00EC79BD" w:rsidP="00EC79BD">
      <w:pPr>
        <w:pStyle w:val="Normal4"/>
        <w:spacing w:before="0" w:beforeAutospacing="0" w:after="240" w:afterAutospacing="0"/>
        <w:rPr>
          <w:rFonts w:asciiTheme="minorHAnsi" w:hAnsiTheme="minorHAnsi" w:cs="Calibri"/>
          <w:color w:val="404040"/>
        </w:rPr>
      </w:pPr>
      <w:hyperlink w:anchor="_ORDLISTA" w:history="1">
        <w:r w:rsidRPr="002A27EE">
          <w:rPr>
            <w:rStyle w:val="Hyperlnk"/>
            <w:rFonts w:asciiTheme="minorHAnsi" w:hAnsiTheme="minorHAnsi" w:cs="Calibri"/>
            <w:i/>
            <w:color w:val="B46400" w:themeColor="accent6" w:themeShade="BF"/>
          </w:rPr>
          <w:t>PDE4</w:t>
        </w:r>
      </w:hyperlink>
      <w:r w:rsidRPr="002A27EE">
        <w:rPr>
          <w:rStyle w:val="Stark"/>
          <w:rFonts w:asciiTheme="minorHAnsi" w:eastAsiaTheme="minorEastAsia" w:hAnsiTheme="minorHAnsi" w:cs="Calibri"/>
          <w:i/>
          <w:color w:val="404040"/>
        </w:rPr>
        <w:t>-hämmare</w:t>
      </w:r>
      <w:r w:rsidRPr="002A27EE">
        <w:rPr>
          <w:rFonts w:asciiTheme="minorHAnsi" w:hAnsiTheme="minorHAnsi" w:cs="Calibri"/>
          <w:b/>
          <w:bCs/>
          <w:i/>
          <w:iCs/>
          <w:color w:val="404040"/>
        </w:rPr>
        <w:br/>
      </w:r>
      <w:r w:rsidRPr="002A27EE">
        <w:rPr>
          <w:rFonts w:asciiTheme="minorHAnsi" w:hAnsiTheme="minorHAnsi" w:cs="Calibri"/>
          <w:color w:val="404040"/>
        </w:rPr>
        <w:t xml:space="preserve">Om </w:t>
      </w:r>
      <w:hyperlink w:anchor="_ORDLISTA" w:history="1">
        <w:r w:rsidRPr="002A27EE">
          <w:rPr>
            <w:rStyle w:val="Hyperlnk"/>
            <w:rFonts w:asciiTheme="minorHAnsi" w:hAnsiTheme="minorHAnsi" w:cs="Calibri"/>
            <w:color w:val="B46400" w:themeColor="accent6" w:themeShade="BF"/>
          </w:rPr>
          <w:t>GOLD</w:t>
        </w:r>
      </w:hyperlink>
      <w:r w:rsidRPr="002A27EE">
        <w:rPr>
          <w:rFonts w:asciiTheme="minorHAnsi" w:hAnsiTheme="minorHAnsi" w:cs="Calibri"/>
          <w:color w:val="404040"/>
        </w:rPr>
        <w:t xml:space="preserve"> D med kronisk bronkit och </w:t>
      </w:r>
      <w:hyperlink w:anchor="_ORDLISTA" w:history="1">
        <w:r w:rsidRPr="002A27EE">
          <w:rPr>
            <w:rStyle w:val="Hyperlnk"/>
            <w:rFonts w:asciiTheme="minorHAnsi" w:hAnsiTheme="minorHAnsi" w:cs="Calibri"/>
            <w:color w:val="B46400" w:themeColor="accent6" w:themeShade="BF"/>
          </w:rPr>
          <w:t>FEV1</w:t>
        </w:r>
      </w:hyperlink>
      <w:r w:rsidRPr="002A27EE">
        <w:rPr>
          <w:rFonts w:asciiTheme="minorHAnsi" w:hAnsiTheme="minorHAnsi" w:cs="Calibri"/>
          <w:color w:val="404040"/>
        </w:rPr>
        <w:t xml:space="preserve"> &lt;50% kan roflumilast (</w:t>
      </w:r>
      <w:r w:rsidRPr="002A27EE">
        <w:rPr>
          <w:rStyle w:val="Stark"/>
          <w:rFonts w:asciiTheme="minorHAnsi" w:eastAsiaTheme="minorEastAsia" w:hAnsiTheme="minorHAnsi" w:cs="Calibri"/>
          <w:color w:val="404040"/>
        </w:rPr>
        <w:t>Daxas</w:t>
      </w:r>
      <w:r w:rsidRPr="002A27EE">
        <w:rPr>
          <w:rFonts w:asciiTheme="minorHAnsi" w:hAnsiTheme="minorHAnsi" w:cs="Calibri"/>
          <w:color w:val="404040"/>
        </w:rPr>
        <w:t xml:space="preserve">) övervägas. </w:t>
      </w:r>
      <w:r w:rsidRPr="002A27EE">
        <w:rPr>
          <w:rFonts w:asciiTheme="minorHAnsi" w:hAnsiTheme="minorHAnsi" w:cs="Calibri"/>
          <w:color w:val="404040"/>
        </w:rPr>
        <w:br/>
        <w:t>Detta preparat förskrivs i första hand av lungläkare. Vaksamhet med viktnedgång och psykiska biverkningar rekommenderas.</w:t>
      </w:r>
      <w:r w:rsidRPr="002A27EE">
        <w:rPr>
          <w:rFonts w:asciiTheme="minorHAnsi" w:hAnsiTheme="minorHAnsi" w:cs="Calibri"/>
          <w:color w:val="404040"/>
        </w:rPr>
        <w:br/>
      </w:r>
      <w:r w:rsidRPr="002A27EE">
        <w:rPr>
          <w:rFonts w:asciiTheme="minorHAnsi" w:hAnsiTheme="minorHAnsi"/>
          <w:color w:val="404040"/>
        </w:rPr>
        <w:br/>
        <w:t>För de mest sjuka patienterna ökar PDE4-hämmare lungfunktionen samt minskar antalet exacerbationer.</w:t>
      </w:r>
      <w:r w:rsidRPr="002A27EE">
        <w:rPr>
          <w:rFonts w:asciiTheme="minorHAnsi" w:hAnsiTheme="minorHAnsi" w:cs="Calibri"/>
          <w:color w:val="404040"/>
        </w:rPr>
        <w:br/>
      </w:r>
      <w:r w:rsidRPr="002A27EE">
        <w:rPr>
          <w:rStyle w:val="Stark"/>
          <w:rFonts w:asciiTheme="minorHAnsi" w:eastAsiaTheme="minorEastAsia" w:hAnsiTheme="minorHAnsi" w:cs="Calibri"/>
          <w:i/>
          <w:color w:val="404040"/>
        </w:rPr>
        <w:br/>
        <w:t>Hemsyrebehandling</w:t>
      </w:r>
      <w:r w:rsidRPr="002A27EE">
        <w:rPr>
          <w:rFonts w:asciiTheme="minorHAnsi" w:hAnsiTheme="minorHAnsi" w:cs="Calibri"/>
          <w:color w:val="404040"/>
        </w:rPr>
        <w:t>:</w:t>
      </w:r>
      <w:r w:rsidRPr="002A27EE">
        <w:rPr>
          <w:rFonts w:asciiTheme="minorHAnsi" w:hAnsiTheme="minorHAnsi" w:cs="Calibri"/>
          <w:color w:val="404040"/>
        </w:rPr>
        <w:br/>
        <w:t xml:space="preserve">På rätt patient förbättras överlevnaden men behandlingen har ingen effekt på symptom om saturationen ligger &gt;90 % i vila. </w:t>
      </w:r>
      <w:r w:rsidRPr="002A27EE">
        <w:rPr>
          <w:rFonts w:asciiTheme="minorHAnsi" w:hAnsiTheme="minorHAnsi" w:cs="Calibri"/>
          <w:color w:val="404040"/>
        </w:rPr>
        <w:br/>
        <w:t>Enligt rekommendationer skall blodgas finnas/tas om saturationen i rumsluft är &lt;92%. Remiss till Lungmottagning för bedömning.</w:t>
      </w:r>
    </w:p>
    <w:p w14:paraId="274E1850" w14:textId="77777777" w:rsidR="00EC79BD" w:rsidRPr="000C17EB" w:rsidRDefault="00EC79BD" w:rsidP="00EC79BD">
      <w:pPr>
        <w:pStyle w:val="Normal4"/>
        <w:spacing w:before="0" w:beforeAutospacing="0" w:after="0" w:afterAutospacing="0"/>
        <w:rPr>
          <w:rStyle w:val="Stark"/>
          <w:rFonts w:asciiTheme="minorHAnsi" w:eastAsiaTheme="minorEastAsia" w:hAnsiTheme="minorHAnsi" w:cs="Calibri"/>
          <w:iCs/>
          <w:u w:val="single"/>
        </w:rPr>
      </w:pPr>
      <w:r w:rsidRPr="00041C9B">
        <w:rPr>
          <w:rStyle w:val="Stark"/>
          <w:rFonts w:asciiTheme="minorHAnsi" w:eastAsiaTheme="majorEastAsia" w:hAnsiTheme="minorHAnsi" w:cs="Calibri"/>
        </w:rPr>
        <w:t>Läkemedel som inte rekommenderas som underhållsbehandling vid KOL</w:t>
      </w:r>
      <w:r>
        <w:rPr>
          <w:rStyle w:val="Stark"/>
          <w:rFonts w:asciiTheme="minorHAnsi" w:eastAsiaTheme="majorEastAsia" w:hAnsiTheme="minorHAnsi" w:cs="Calibri"/>
        </w:rPr>
        <w:br/>
      </w:r>
      <w:r w:rsidRPr="00041C9B">
        <w:rPr>
          <w:rStyle w:val="Rubrik3Char"/>
          <w:rFonts w:asciiTheme="minorHAnsi" w:hAnsiTheme="minorHAnsi" w:cs="Calibri"/>
        </w:rPr>
        <w:br/>
      </w:r>
      <w:r w:rsidRPr="000C17EB">
        <w:rPr>
          <w:rStyle w:val="Stark"/>
          <w:rFonts w:asciiTheme="minorHAnsi" w:eastAsiaTheme="minorEastAsia" w:hAnsiTheme="minorHAnsi" w:cs="Calibri"/>
          <w:i/>
          <w:color w:val="404040"/>
        </w:rPr>
        <w:t>Teofylliner</w:t>
      </w:r>
      <w:r w:rsidRPr="000C17EB">
        <w:rPr>
          <w:rFonts w:asciiTheme="minorHAnsi" w:hAnsiTheme="minorHAnsi" w:cs="Calibri"/>
          <w:i/>
          <w:iCs/>
          <w:color w:val="404040"/>
        </w:rPr>
        <w:t>:</w:t>
      </w:r>
      <w:r w:rsidRPr="000C17EB">
        <w:rPr>
          <w:rFonts w:asciiTheme="minorHAnsi" w:hAnsiTheme="minorHAnsi" w:cs="Calibri"/>
          <w:color w:val="404040"/>
        </w:rPr>
        <w:t xml:space="preserve"> </w:t>
      </w:r>
      <w:r w:rsidRPr="000C17EB">
        <w:rPr>
          <w:rFonts w:asciiTheme="minorHAnsi" w:hAnsiTheme="minorHAnsi" w:cs="Calibri"/>
          <w:color w:val="404040"/>
        </w:rPr>
        <w:br/>
        <w:t>Saknas modern dokumentation och är interaktionsbenäget och biverkningsbelastat.</w:t>
      </w:r>
      <w:r w:rsidRPr="000C17EB">
        <w:rPr>
          <w:rFonts w:asciiTheme="minorHAnsi" w:hAnsiTheme="minorHAnsi" w:cs="Calibri"/>
          <w:color w:val="404040"/>
        </w:rPr>
        <w:br/>
      </w:r>
      <w:r>
        <w:rPr>
          <w:rStyle w:val="Stark"/>
          <w:rFonts w:asciiTheme="minorHAnsi" w:eastAsiaTheme="minorEastAsia" w:hAnsiTheme="minorHAnsi" w:cs="Calibri"/>
          <w:i/>
          <w:color w:val="404040"/>
        </w:rPr>
        <w:br/>
      </w:r>
      <w:r w:rsidRPr="000C17EB">
        <w:rPr>
          <w:rStyle w:val="Stark"/>
          <w:rFonts w:asciiTheme="minorHAnsi" w:eastAsiaTheme="minorEastAsia" w:hAnsiTheme="minorHAnsi" w:cs="Calibri"/>
          <w:i/>
          <w:color w:val="404040"/>
        </w:rPr>
        <w:t>Orala steroider:</w:t>
      </w:r>
      <w:r w:rsidRPr="000C17EB">
        <w:rPr>
          <w:rStyle w:val="Stark"/>
          <w:rFonts w:asciiTheme="minorHAnsi" w:eastAsiaTheme="minorEastAsia" w:hAnsiTheme="minorHAnsi" w:cs="Calibri"/>
          <w:color w:val="404040"/>
        </w:rPr>
        <w:br/>
      </w:r>
      <w:r w:rsidRPr="000C17EB">
        <w:rPr>
          <w:rFonts w:asciiTheme="minorHAnsi" w:eastAsiaTheme="minorHAnsi" w:hAnsiTheme="minorHAnsi" w:cs="Calibri"/>
          <w:lang w:eastAsia="en-US"/>
        </w:rPr>
        <w:t xml:space="preserve">Långtidsbehandling med orala glukokortikoider saknas evidens för att det har några fördelar, men biverkningarna är många. </w:t>
      </w:r>
      <w:r w:rsidRPr="000C17EB">
        <w:rPr>
          <w:rFonts w:asciiTheme="minorHAnsi" w:hAnsiTheme="minorHAnsi" w:cs="Calibri"/>
          <w:color w:val="404040"/>
        </w:rPr>
        <w:t xml:space="preserve">Underhållsbehandling av perorala steroider är aktuellt för ytterst få patienter och skall endast förskrivas av lungspecialist. </w:t>
      </w:r>
      <w:r>
        <w:rPr>
          <w:rFonts w:asciiTheme="minorHAnsi" w:hAnsiTheme="minorHAnsi" w:cs="Calibri"/>
          <w:color w:val="404040"/>
        </w:rPr>
        <w:br/>
      </w:r>
      <w:r w:rsidRPr="000C17EB">
        <w:rPr>
          <w:rFonts w:asciiTheme="minorHAnsi" w:hAnsiTheme="minorHAnsi" w:cs="Calibri"/>
          <w:color w:val="404040"/>
        </w:rPr>
        <w:br/>
      </w:r>
      <w:r w:rsidRPr="000C17EB">
        <w:rPr>
          <w:rStyle w:val="Stark"/>
          <w:rFonts w:asciiTheme="minorHAnsi" w:eastAsiaTheme="minorEastAsia" w:hAnsiTheme="minorHAnsi" w:cs="Calibri"/>
          <w:i/>
          <w:color w:val="404040"/>
        </w:rPr>
        <w:t>Acetylcystein</w:t>
      </w:r>
      <w:r w:rsidRPr="000C17EB">
        <w:rPr>
          <w:rFonts w:asciiTheme="minorHAnsi" w:hAnsiTheme="minorHAnsi" w:cs="Calibri"/>
          <w:i/>
          <w:iCs/>
          <w:color w:val="404040"/>
        </w:rPr>
        <w:t>:</w:t>
      </w:r>
      <w:r w:rsidRPr="000C17EB">
        <w:rPr>
          <w:rFonts w:asciiTheme="minorHAnsi" w:hAnsiTheme="minorHAnsi" w:cs="Calibri"/>
          <w:color w:val="404040"/>
        </w:rPr>
        <w:br/>
        <w:t xml:space="preserve">Någon slemlösande effekt finns ej bevisad vid oral behandling. </w:t>
      </w:r>
      <w:r w:rsidRPr="000C17EB">
        <w:rPr>
          <w:rFonts w:asciiTheme="minorHAnsi" w:hAnsiTheme="minorHAnsi" w:cs="Calibri"/>
          <w:color w:val="404040"/>
        </w:rPr>
        <w:br/>
      </w:r>
    </w:p>
    <w:p w14:paraId="7A078D66" w14:textId="77777777" w:rsidR="00EC79BD" w:rsidRPr="00041C9B" w:rsidRDefault="00EC79BD" w:rsidP="00EC79BD">
      <w:pPr>
        <w:pStyle w:val="Normal4"/>
        <w:spacing w:before="0" w:beforeAutospacing="0" w:after="0" w:afterAutospacing="0"/>
        <w:rPr>
          <w:rStyle w:val="Stark"/>
          <w:rFonts w:asciiTheme="minorHAnsi" w:eastAsiaTheme="minorEastAsia" w:hAnsiTheme="minorHAnsi" w:cs="Calibri"/>
          <w:b w:val="0"/>
          <w:iCs/>
        </w:rPr>
      </w:pPr>
      <w:r w:rsidRPr="00041C9B">
        <w:rPr>
          <w:rStyle w:val="Stark"/>
          <w:rFonts w:asciiTheme="minorHAnsi" w:eastAsiaTheme="minorEastAsia" w:hAnsiTheme="minorHAnsi" w:cs="Calibri"/>
        </w:rPr>
        <w:t xml:space="preserve">Utsättning av </w:t>
      </w:r>
      <w:hyperlink w:anchor="_ORDLISTA" w:history="1">
        <w:r w:rsidRPr="00041C9B">
          <w:rPr>
            <w:rStyle w:val="Hyperlnk"/>
            <w:rFonts w:asciiTheme="minorHAnsi" w:hAnsiTheme="minorHAnsi" w:cs="Calibri"/>
            <w:color w:val="B46400" w:themeColor="accent6" w:themeShade="BF"/>
            <w:u w:val="none"/>
          </w:rPr>
          <w:t>ICS</w:t>
        </w:r>
      </w:hyperlink>
      <w:r w:rsidRPr="00041C9B">
        <w:rPr>
          <w:rStyle w:val="Stark"/>
          <w:rFonts w:asciiTheme="minorHAnsi" w:eastAsiaTheme="minorEastAsia" w:hAnsiTheme="minorHAnsi" w:cs="Calibri"/>
        </w:rPr>
        <w:t xml:space="preserve"> </w:t>
      </w:r>
    </w:p>
    <w:p w14:paraId="0EC8882E" w14:textId="77777777" w:rsidR="00EC79BD" w:rsidRPr="000C17EB" w:rsidRDefault="00EC79BD" w:rsidP="00EC79BD">
      <w:pPr>
        <w:pStyle w:val="Normal4"/>
        <w:spacing w:before="0" w:beforeAutospacing="0" w:after="240" w:afterAutospacing="0"/>
        <w:rPr>
          <w:rFonts w:asciiTheme="minorHAnsi" w:hAnsiTheme="minorHAnsi" w:cs="Calibri"/>
        </w:rPr>
      </w:pPr>
      <w:r w:rsidRPr="0002546D">
        <w:rPr>
          <w:rFonts w:asciiTheme="minorHAnsi" w:hAnsiTheme="minorHAnsi" w:cs="Calibri"/>
        </w:rPr>
        <w:t xml:space="preserve">I två </w:t>
      </w:r>
      <w:hyperlink w:anchor="_KÄLLOR" w:history="1">
        <w:r w:rsidRPr="004A7BCE">
          <w:rPr>
            <w:rStyle w:val="Hyperlnk"/>
            <w:rFonts w:asciiTheme="minorHAnsi" w:hAnsiTheme="minorHAnsi" w:cs="Calibri"/>
            <w:color w:val="00A6E2" w:themeColor="accent1"/>
          </w:rPr>
          <w:t>uppmärksammade studier</w:t>
        </w:r>
      </w:hyperlink>
      <w:r w:rsidRPr="0002546D">
        <w:rPr>
          <w:rFonts w:asciiTheme="minorHAnsi" w:hAnsiTheme="minorHAnsi" w:cs="Calibri"/>
        </w:rPr>
        <w:t xml:space="preserve"> </w:t>
      </w:r>
      <w:r w:rsidRPr="000C17EB">
        <w:rPr>
          <w:rFonts w:asciiTheme="minorHAnsi" w:hAnsiTheme="minorHAnsi" w:cs="Calibri"/>
        </w:rPr>
        <w:t>med patienter med frekventa och/eller svåra exacerbationer notera</w:t>
      </w:r>
      <w:r>
        <w:rPr>
          <w:rFonts w:asciiTheme="minorHAnsi" w:hAnsiTheme="minorHAnsi" w:cs="Calibri"/>
        </w:rPr>
        <w:t>s</w:t>
      </w:r>
      <w:r w:rsidRPr="000C17EB">
        <w:rPr>
          <w:rFonts w:asciiTheme="minorHAnsi" w:hAnsiTheme="minorHAnsi" w:cs="Calibri"/>
        </w:rPr>
        <w:t xml:space="preserve"> en drastisk och snabb ökning av mortalitet under de tre första månaderna efter utsättning av ICS. Utsättningen har skett då patienter som tidigare stått på ICS randomiserats till behandling utan ICS.</w:t>
      </w:r>
      <w:r w:rsidRPr="000C17EB">
        <w:rPr>
          <w:rFonts w:asciiTheme="minorHAnsi" w:hAnsiTheme="minorHAnsi" w:cs="Calibri"/>
        </w:rPr>
        <w:br/>
        <w:t xml:space="preserve">Orsaken till den ökade mortaliteteten är inte helt etablerad men kan vara relaterad till att även om ICS ökar risken för pneumoni så minskar den också risken för exacerbationer. Man har sett en koppling till högre mortalitet hos patienter med höga nivåer av blodeosinofiler. </w:t>
      </w:r>
      <w:r w:rsidRPr="000C17EB">
        <w:rPr>
          <w:rFonts w:asciiTheme="minorHAnsi" w:hAnsiTheme="minorHAnsi" w:cs="Calibri"/>
        </w:rPr>
        <w:br/>
        <w:t xml:space="preserve">Patienter med astmainslag har inte exkluderats i studien. </w:t>
      </w:r>
    </w:p>
    <w:p w14:paraId="3E1D0595" w14:textId="77777777" w:rsidR="00EC79BD" w:rsidRPr="000C17EB" w:rsidRDefault="00EC79BD" w:rsidP="00EC79BD">
      <w:pPr>
        <w:pStyle w:val="Normal4"/>
        <w:spacing w:before="0" w:beforeAutospacing="0" w:after="0" w:afterAutospacing="0"/>
        <w:rPr>
          <w:rFonts w:asciiTheme="minorHAnsi" w:hAnsiTheme="minorHAnsi" w:cs="Calibri"/>
        </w:rPr>
      </w:pPr>
      <w:r w:rsidRPr="000C17EB">
        <w:rPr>
          <w:rFonts w:asciiTheme="minorHAnsi" w:hAnsiTheme="minorHAnsi" w:cs="Calibri"/>
        </w:rPr>
        <w:t>Enligt läkemedelsverkets gällande rekommendationer kan utsättning testas om:</w:t>
      </w:r>
    </w:p>
    <w:p w14:paraId="7A6BF9CB" w14:textId="77777777" w:rsidR="00EC79BD" w:rsidRDefault="00EC79BD" w:rsidP="00EC79BD">
      <w:pPr>
        <w:pStyle w:val="Normal4"/>
        <w:spacing w:before="0" w:beforeAutospacing="0" w:after="0" w:afterAutospacing="0"/>
        <w:rPr>
          <w:rFonts w:asciiTheme="minorHAnsi" w:hAnsiTheme="minorHAnsi" w:cs="Calibri"/>
        </w:rPr>
      </w:pPr>
    </w:p>
    <w:p w14:paraId="1B5AEAB1" w14:textId="77777777" w:rsidR="00EC79BD" w:rsidRPr="000C17EB" w:rsidRDefault="00EC79BD" w:rsidP="00EC79BD">
      <w:pPr>
        <w:pStyle w:val="Normal4"/>
        <w:numPr>
          <w:ilvl w:val="0"/>
          <w:numId w:val="94"/>
        </w:numPr>
        <w:spacing w:before="0" w:beforeAutospacing="0" w:after="0" w:afterAutospacing="0"/>
        <w:rPr>
          <w:rFonts w:asciiTheme="minorHAnsi" w:hAnsiTheme="minorHAnsi" w:cs="Calibri"/>
        </w:rPr>
      </w:pPr>
      <w:r w:rsidRPr="000C17EB">
        <w:rPr>
          <w:rFonts w:asciiTheme="minorHAnsi" w:hAnsiTheme="minorHAnsi" w:cs="Calibri"/>
        </w:rPr>
        <w:t>Patienten inte har haft exacerbationer</w:t>
      </w:r>
    </w:p>
    <w:p w14:paraId="09EA4B37" w14:textId="77777777" w:rsidR="00EC79BD" w:rsidRDefault="00EC79BD" w:rsidP="00EC79BD">
      <w:pPr>
        <w:pStyle w:val="Normal4"/>
        <w:spacing w:before="0" w:beforeAutospacing="0" w:after="0" w:afterAutospacing="0"/>
        <w:ind w:left="360"/>
        <w:rPr>
          <w:rFonts w:asciiTheme="minorHAnsi" w:hAnsiTheme="minorHAnsi" w:cs="Calibri"/>
        </w:rPr>
      </w:pPr>
    </w:p>
    <w:p w14:paraId="7C543852" w14:textId="77777777" w:rsidR="00EC79BD" w:rsidRPr="000C17EB" w:rsidRDefault="00EC79BD" w:rsidP="00EC79BD">
      <w:pPr>
        <w:pStyle w:val="Normal4"/>
        <w:numPr>
          <w:ilvl w:val="0"/>
          <w:numId w:val="94"/>
        </w:numPr>
        <w:spacing w:before="0" w:beforeAutospacing="0" w:after="0" w:afterAutospacing="0"/>
        <w:rPr>
          <w:rFonts w:asciiTheme="minorHAnsi" w:hAnsiTheme="minorHAnsi" w:cs="Calibri"/>
        </w:rPr>
      </w:pPr>
      <w:r w:rsidRPr="000C17EB">
        <w:rPr>
          <w:rFonts w:asciiTheme="minorHAnsi" w:hAnsiTheme="minorHAnsi" w:cs="Calibri"/>
        </w:rPr>
        <w:t>Har låga nivåer av blodeosinofiler</w:t>
      </w:r>
    </w:p>
    <w:p w14:paraId="46019C99" w14:textId="77777777" w:rsidR="00EC79BD" w:rsidRDefault="00EC79BD" w:rsidP="00EC79BD">
      <w:pPr>
        <w:pStyle w:val="Normal4"/>
        <w:spacing w:before="0" w:beforeAutospacing="0" w:after="0" w:afterAutospacing="0"/>
        <w:ind w:left="360"/>
        <w:rPr>
          <w:rFonts w:asciiTheme="minorHAnsi" w:hAnsiTheme="minorHAnsi" w:cs="Calibri"/>
        </w:rPr>
      </w:pPr>
    </w:p>
    <w:p w14:paraId="46E16855" w14:textId="77777777" w:rsidR="00EC79BD" w:rsidRPr="000C17EB" w:rsidRDefault="00EC79BD" w:rsidP="00EC79BD">
      <w:pPr>
        <w:pStyle w:val="Normal4"/>
        <w:numPr>
          <w:ilvl w:val="0"/>
          <w:numId w:val="94"/>
        </w:numPr>
        <w:spacing w:before="0" w:beforeAutospacing="0" w:after="0" w:afterAutospacing="0"/>
        <w:rPr>
          <w:rFonts w:asciiTheme="minorHAnsi" w:hAnsiTheme="minorHAnsi" w:cs="Calibri"/>
        </w:rPr>
      </w:pPr>
      <w:r w:rsidRPr="000C17EB">
        <w:rPr>
          <w:rFonts w:asciiTheme="minorHAnsi" w:hAnsiTheme="minorHAnsi" w:cs="Calibri"/>
        </w:rPr>
        <w:t xml:space="preserve">Inte haft astma tidigare (till exempel i ungdomen) </w:t>
      </w:r>
    </w:p>
    <w:p w14:paraId="506C5B0C" w14:textId="77777777" w:rsidR="00EC79BD" w:rsidRDefault="00EC79BD" w:rsidP="00EC79BD">
      <w:pPr>
        <w:pStyle w:val="Normal4"/>
        <w:spacing w:before="0" w:beforeAutospacing="0" w:after="240" w:afterAutospacing="0"/>
        <w:ind w:left="360"/>
        <w:jc w:val="center"/>
        <w:rPr>
          <w:rFonts w:asciiTheme="minorHAnsi" w:hAnsiTheme="minorHAnsi" w:cs="Calibri"/>
          <w:b/>
          <w:bCs/>
        </w:rPr>
      </w:pPr>
    </w:p>
    <w:p w14:paraId="67EDB0DA" w14:textId="77777777" w:rsidR="00EC79BD" w:rsidRDefault="00EC79BD" w:rsidP="00EC79BD">
      <w:pPr>
        <w:pStyle w:val="Normal4"/>
        <w:spacing w:before="0" w:beforeAutospacing="0" w:after="240" w:afterAutospacing="0"/>
        <w:ind w:left="360"/>
        <w:rPr>
          <w:rFonts w:asciiTheme="minorHAnsi" w:hAnsiTheme="minorHAnsi" w:cs="Calibri"/>
          <w:b/>
          <w:bCs/>
        </w:rPr>
      </w:pPr>
      <w:r w:rsidRPr="000C17EB">
        <w:rPr>
          <w:rFonts w:asciiTheme="minorHAnsi" w:hAnsiTheme="minorHAnsi" w:cs="Calibri"/>
          <w:b/>
          <w:bCs/>
        </w:rPr>
        <w:t>Patienterna bör informeras om att vid försämring direkt återuppta behandlingen med ICS och kontakta sin vårdcentral!</w:t>
      </w:r>
      <w:bookmarkStart w:id="68" w:name="_Toc150458007"/>
    </w:p>
    <w:p w14:paraId="24A67EB4" w14:textId="77777777" w:rsidR="00EC79BD" w:rsidRDefault="00EC79BD" w:rsidP="00EC79BD">
      <w:pPr>
        <w:pStyle w:val="Normal4"/>
        <w:spacing w:before="0" w:beforeAutospacing="0" w:after="240" w:afterAutospacing="0"/>
        <w:ind w:left="360"/>
        <w:rPr>
          <w:rFonts w:asciiTheme="minorHAnsi" w:hAnsiTheme="minorHAnsi" w:cs="Calibri"/>
        </w:rPr>
      </w:pPr>
      <w:r w:rsidRPr="00041C9B">
        <w:rPr>
          <w:rFonts w:asciiTheme="minorHAnsi" w:hAnsiTheme="minorHAnsi" w:cs="Calibri"/>
          <w:b/>
          <w:bCs/>
        </w:rPr>
        <w:lastRenderedPageBreak/>
        <w:t>Akut behandling</w:t>
      </w:r>
      <w:bookmarkEnd w:id="68"/>
      <w:r w:rsidRPr="00041C9B">
        <w:rPr>
          <w:rFonts w:asciiTheme="minorHAnsi" w:hAnsiTheme="minorHAnsi" w:cs="Calibri"/>
          <w:b/>
          <w:bCs/>
        </w:rPr>
        <w:t xml:space="preserve"> </w:t>
      </w:r>
      <w:r w:rsidRPr="00041C9B">
        <w:rPr>
          <w:rFonts w:asciiTheme="minorHAnsi" w:hAnsiTheme="minorHAnsi" w:cs="Calibri"/>
          <w:b/>
          <w:bCs/>
        </w:rPr>
        <w:br/>
      </w:r>
      <w:r w:rsidRPr="0022393C">
        <w:rPr>
          <w:rFonts w:asciiTheme="minorHAnsi" w:hAnsiTheme="minorHAnsi" w:cs="Calibri"/>
        </w:rPr>
        <w:t>Akut-PM nära vård Blekinge</w:t>
      </w:r>
      <w:bookmarkStart w:id="69" w:name="_Rökavvänjning"/>
      <w:bookmarkEnd w:id="69"/>
    </w:p>
    <w:p w14:paraId="22577B43" w14:textId="77777777" w:rsidR="00EC79BD" w:rsidRPr="00041C9B" w:rsidRDefault="00EC79BD" w:rsidP="00EC79BD">
      <w:pPr>
        <w:pStyle w:val="Normal4"/>
        <w:spacing w:before="0" w:beforeAutospacing="0" w:after="240" w:afterAutospacing="0"/>
        <w:rPr>
          <w:rStyle w:val="Stark"/>
          <w:rFonts w:asciiTheme="minorHAnsi" w:eastAsiaTheme="minorEastAsia" w:hAnsiTheme="minorHAnsi"/>
        </w:rPr>
      </w:pPr>
      <w:r>
        <w:rPr>
          <w:rFonts w:eastAsiaTheme="minorEastAsia"/>
          <w:bCs/>
          <w:noProof/>
        </w:rPr>
        <mc:AlternateContent>
          <mc:Choice Requires="wpg">
            <w:drawing>
              <wp:anchor distT="0" distB="0" distL="114300" distR="114300" simplePos="0" relativeHeight="251778048" behindDoc="0" locked="0" layoutInCell="1" allowOverlap="1" wp14:anchorId="022FC474" wp14:editId="7D904F9B">
                <wp:simplePos x="0" y="0"/>
                <wp:positionH relativeFrom="margin">
                  <wp:posOffset>463359</wp:posOffset>
                </wp:positionH>
                <wp:positionV relativeFrom="paragraph">
                  <wp:posOffset>586362</wp:posOffset>
                </wp:positionV>
                <wp:extent cx="5402253" cy="2047583"/>
                <wp:effectExtent l="0" t="0" r="27305" b="10160"/>
                <wp:wrapThrough wrapText="bothSides">
                  <wp:wrapPolygon edited="0">
                    <wp:start x="838" y="0"/>
                    <wp:lineTo x="0" y="1005"/>
                    <wp:lineTo x="0" y="19697"/>
                    <wp:lineTo x="609" y="21506"/>
                    <wp:lineTo x="762" y="21506"/>
                    <wp:lineTo x="20871" y="21506"/>
                    <wp:lineTo x="21100" y="21506"/>
                    <wp:lineTo x="21633" y="19898"/>
                    <wp:lineTo x="21633" y="1005"/>
                    <wp:lineTo x="20795" y="0"/>
                    <wp:lineTo x="838" y="0"/>
                  </wp:wrapPolygon>
                </wp:wrapThrough>
                <wp:docPr id="49" name="Grupp 49"/>
                <wp:cNvGraphicFramePr/>
                <a:graphic xmlns:a="http://schemas.openxmlformats.org/drawingml/2006/main">
                  <a:graphicData uri="http://schemas.microsoft.com/office/word/2010/wordprocessingGroup">
                    <wpg:wgp>
                      <wpg:cNvGrpSpPr/>
                      <wpg:grpSpPr>
                        <a:xfrm>
                          <a:off x="0" y="0"/>
                          <a:ext cx="5402253" cy="2047583"/>
                          <a:chOff x="117806" y="-11220"/>
                          <a:chExt cx="5402253" cy="2047583"/>
                        </a:xfrm>
                      </wpg:grpSpPr>
                      <wps:wsp>
                        <wps:cNvPr id="57" name="Rektangel: rundade hörn 57"/>
                        <wps:cNvSpPr/>
                        <wps:spPr>
                          <a:xfrm>
                            <a:off x="117806" y="-11220"/>
                            <a:ext cx="5402253" cy="2047583"/>
                          </a:xfrm>
                          <a:prstGeom prst="roundRect">
                            <a:avLst/>
                          </a:prstGeom>
                          <a:solidFill>
                            <a:srgbClr val="98C21D">
                              <a:lumMod val="40000"/>
                              <a:lumOff val="60000"/>
                            </a:srgbClr>
                          </a:solidFill>
                          <a:ln w="25400" cap="flat" cmpd="sng" algn="ctr">
                            <a:solidFill>
                              <a:srgbClr val="98C21D">
                                <a:shade val="50000"/>
                              </a:srgbClr>
                            </a:solidFill>
                            <a:prstDash val="solid"/>
                          </a:ln>
                          <a:effectLst/>
                        </wps:spPr>
                        <wps:txbx>
                          <w:txbxContent>
                            <w:p w14:paraId="01796E6A" w14:textId="77777777" w:rsidR="00EC79BD" w:rsidRPr="00986AEE" w:rsidRDefault="00EC79BD" w:rsidP="00EC79BD">
                              <w:pPr>
                                <w:pStyle w:val="Rubrik3"/>
                                <w:spacing w:before="0"/>
                                <w:jc w:val="center"/>
                                <w:rPr>
                                  <w:color w:val="164927" w:themeColor="accent4" w:themeShade="80"/>
                                </w:rPr>
                              </w:pPr>
                              <w:r w:rsidRPr="00986AEE">
                                <w:rPr>
                                  <w:color w:val="2D934F" w:themeColor="accent4"/>
                                </w:rPr>
                                <w:t>MILJÖTIPS</w:t>
                              </w:r>
                              <w:r w:rsidRPr="00986AEE">
                                <w:rPr>
                                  <w:color w:val="164927" w:themeColor="accent4" w:themeShade="80"/>
                                </w:rPr>
                                <w:br/>
                              </w:r>
                            </w:p>
                            <w:p w14:paraId="2A8D7D60" w14:textId="77777777" w:rsidR="00EC79BD" w:rsidRPr="00986AEE" w:rsidRDefault="00EC79BD" w:rsidP="00EC79BD">
                              <w:pPr>
                                <w:pStyle w:val="Normal4"/>
                                <w:spacing w:before="0" w:beforeAutospacing="0" w:after="0" w:afterAutospacing="0"/>
                                <w:rPr>
                                  <w:rFonts w:ascii="Garamond" w:hAnsi="Garamond" w:cs="Calibri"/>
                                  <w:b/>
                                  <w:bCs/>
                                  <w:color w:val="000000" w:themeColor="text1"/>
                                </w:rPr>
                              </w:pPr>
                              <w:r w:rsidRPr="00986AEE">
                                <w:rPr>
                                  <w:rFonts w:ascii="Garamond" w:hAnsi="Garamond" w:cs="Calibri"/>
                                  <w:i/>
                                  <w:iCs/>
                                  <w:color w:val="404040"/>
                                </w:rPr>
                                <w:t>Spray med drivgas påverkar miljön betydligt mer än pulverinhalatorer på grund av att de innehåller</w:t>
                              </w:r>
                              <w:hyperlink w:anchor="_ORDLISTA" w:history="1">
                                <w:r w:rsidRPr="00986AEE">
                                  <w:rPr>
                                    <w:rStyle w:val="Hyperlnk"/>
                                    <w:rFonts w:ascii="Garamond" w:hAnsi="Garamond" w:cs="Calibri"/>
                                    <w:i/>
                                    <w:iCs/>
                                    <w:color w:val="00A6E2" w:themeColor="accent1"/>
                                    <w:u w:val="none"/>
                                  </w:rPr>
                                  <w:t xml:space="preserve"> </w:t>
                                </w:r>
                                <w:r w:rsidRPr="00986AEE">
                                  <w:rPr>
                                    <w:rStyle w:val="Hyperlnk"/>
                                    <w:rFonts w:ascii="Garamond" w:hAnsi="Garamond" w:cs="Calibri"/>
                                    <w:i/>
                                    <w:iCs/>
                                    <w:color w:val="B46400" w:themeColor="accent6" w:themeShade="BF"/>
                                  </w:rPr>
                                  <w:t>HFC</w:t>
                                </w:r>
                              </w:hyperlink>
                              <w:r w:rsidRPr="00986AEE">
                                <w:rPr>
                                  <w:rFonts w:ascii="Garamond" w:hAnsi="Garamond" w:cs="Calibri"/>
                                  <w:i/>
                                  <w:iCs/>
                                  <w:color w:val="404040"/>
                                </w:rPr>
                                <w:t xml:space="preserve">. </w:t>
                              </w:r>
                              <w:r>
                                <w:rPr>
                                  <w:rFonts w:ascii="Garamond" w:hAnsi="Garamond" w:cs="Calibri"/>
                                  <w:i/>
                                  <w:iCs/>
                                  <w:color w:val="404040"/>
                                </w:rPr>
                                <w:t xml:space="preserve">Pulver- och respimatinhalatorer är ur den aspekten mer miljövänliga.  </w:t>
                              </w:r>
                              <w:r w:rsidRPr="00986AEE">
                                <w:rPr>
                                  <w:rFonts w:ascii="Garamond" w:hAnsi="Garamond" w:cs="Calibri"/>
                                  <w:i/>
                                  <w:iCs/>
                                  <w:color w:val="404040"/>
                                </w:rPr>
                                <w:tab/>
                              </w:r>
                            </w:p>
                            <w:p w14:paraId="110F8D71" w14:textId="77777777" w:rsidR="00EC79BD" w:rsidRDefault="00EC79BD" w:rsidP="00EC79BD">
                              <w:pPr>
                                <w:pStyle w:val="Normal4"/>
                                <w:spacing w:before="0" w:beforeAutospacing="0" w:after="0" w:afterAutospacing="0"/>
                                <w:jc w:val="center"/>
                                <w:rPr>
                                  <w:rFonts w:ascii="Garamond" w:hAnsi="Garamond" w:cs="Calibri"/>
                                  <w:b/>
                                  <w:bCs/>
                                  <w:color w:val="000000" w:themeColor="text1"/>
                                </w:rPr>
                              </w:pPr>
                              <w:r>
                                <w:rPr>
                                  <w:rFonts w:ascii="Garamond" w:hAnsi="Garamond" w:cs="Calibri"/>
                                  <w:color w:val="000000" w:themeColor="text1"/>
                                </w:rPr>
                                <w:br/>
                              </w:r>
                              <w:r w:rsidRPr="00695761">
                                <w:rPr>
                                  <w:rFonts w:ascii="Garamond" w:hAnsi="Garamond" w:cs="Calibri"/>
                                  <w:color w:val="000000" w:themeColor="text1"/>
                                </w:rPr>
                                <w:t xml:space="preserve">Vid val mellan likvärdiga produkter bör klimatpåverkan beaktas men i </w:t>
                              </w:r>
                              <w:r>
                                <w:rPr>
                                  <w:rFonts w:ascii="Garamond" w:hAnsi="Garamond" w:cs="Calibri"/>
                                  <w:b/>
                                  <w:bCs/>
                                  <w:color w:val="000000" w:themeColor="text1"/>
                                </w:rPr>
                                <w:t>första hand är det patientens inhalationsförmåga och preferens som ska prioriteras</w:t>
                              </w:r>
                            </w:p>
                            <w:p w14:paraId="1CB1E48F" w14:textId="77777777" w:rsidR="00EC79BD" w:rsidRPr="00986AEE" w:rsidRDefault="00EC79BD" w:rsidP="00EC79BD">
                              <w:pPr>
                                <w:pStyle w:val="Normal4"/>
                                <w:spacing w:before="0" w:beforeAutospacing="0" w:after="0" w:afterAutospacing="0"/>
                                <w:jc w:val="center"/>
                                <w:rPr>
                                  <w:rFonts w:ascii="Garamond" w:hAnsi="Garamond" w:cs="Calibri"/>
                                  <w:b/>
                                  <w:bCs/>
                                  <w:color w:val="000000" w:themeColor="text1"/>
                                </w:rPr>
                              </w:pPr>
                            </w:p>
                            <w:p w14:paraId="6F99FC21" w14:textId="77777777" w:rsidR="00EC79BD" w:rsidRPr="00695761" w:rsidRDefault="00EC79BD" w:rsidP="00EC79BD">
                              <w:pPr>
                                <w:pStyle w:val="Normal4"/>
                                <w:spacing w:before="0" w:beforeAutospacing="0" w:after="240" w:afterAutospacing="0"/>
                                <w:jc w:val="center"/>
                                <w:rPr>
                                  <w:rFonts w:asciiTheme="minorHAnsi" w:hAnsiTheme="minorHAnsi" w:cs="Calibri"/>
                                  <w:color w:val="000000" w:themeColor="text1"/>
                                </w:rPr>
                              </w:pPr>
                              <w:r w:rsidRPr="00695761">
                                <w:rPr>
                                  <w:rFonts w:asciiTheme="minorHAnsi" w:hAnsiTheme="minorHAnsi" w:cs="Calibri"/>
                                  <w:color w:val="000000" w:themeColor="text1"/>
                                </w:rPr>
                                <w:t>Om refillförpackningar finns är det ett miljömässigt klokare val</w:t>
                              </w:r>
                            </w:p>
                            <w:p w14:paraId="016A6CB3" w14:textId="77777777" w:rsidR="00EC79BD" w:rsidRDefault="00EC79BD" w:rsidP="00EC79BD">
                              <w:pPr>
                                <w:pStyle w:val="Normal4"/>
                                <w:spacing w:before="0" w:beforeAutospacing="0" w:after="240" w:afterAutospacing="0"/>
                                <w:jc w:val="center"/>
                                <w:rPr>
                                  <w:rFonts w:asciiTheme="minorHAnsi" w:hAnsiTheme="minorHAnsi" w:cs="Calibri"/>
                                  <w:b/>
                                  <w:bCs/>
                                  <w:color w:val="2D934F" w:themeColor="accent4"/>
                                </w:rPr>
                              </w:pPr>
                              <w:r>
                                <w:rPr>
                                  <w:rFonts w:asciiTheme="minorHAnsi" w:hAnsiTheme="minorHAnsi" w:cs="Calibri"/>
                                  <w:color w:val="000000" w:themeColor="text1"/>
                                </w:rPr>
                                <w:t xml:space="preserve">I tabellöversikten över inhalatorerna </w:t>
                              </w:r>
                              <w:r w:rsidRPr="00695761">
                                <w:rPr>
                                  <w:rFonts w:asciiTheme="minorHAnsi" w:hAnsiTheme="minorHAnsi" w:cs="Calibri"/>
                                  <w:color w:val="000000" w:themeColor="text1"/>
                                </w:rPr>
                                <w:t>markera</w:t>
                              </w:r>
                              <w:r>
                                <w:rPr>
                                  <w:rFonts w:asciiTheme="minorHAnsi" w:hAnsiTheme="minorHAnsi" w:cs="Calibri"/>
                                  <w:color w:val="000000" w:themeColor="text1"/>
                                </w:rPr>
                                <w:t>s</w:t>
                              </w:r>
                              <w:r w:rsidRPr="00695761">
                                <w:rPr>
                                  <w:rFonts w:asciiTheme="minorHAnsi" w:hAnsiTheme="minorHAnsi" w:cs="Calibri"/>
                                  <w:color w:val="000000" w:themeColor="text1"/>
                                </w:rPr>
                                <w:t xml:space="preserve"> </w:t>
                              </w:r>
                              <w:r>
                                <w:rPr>
                                  <w:rFonts w:asciiTheme="minorHAnsi" w:hAnsiTheme="minorHAnsi" w:cs="Calibri"/>
                                  <w:color w:val="000000" w:themeColor="text1"/>
                                </w:rPr>
                                <w:t>de</w:t>
                              </w:r>
                              <w:r w:rsidRPr="00695761">
                                <w:rPr>
                                  <w:rFonts w:asciiTheme="minorHAnsi" w:hAnsiTheme="minorHAnsi" w:cs="Calibri"/>
                                  <w:color w:val="000000" w:themeColor="text1"/>
                                </w:rPr>
                                <w:t xml:space="preserve"> utan HFC med</w:t>
                              </w:r>
                              <w:r>
                                <w:rPr>
                                  <w:rFonts w:asciiTheme="minorHAnsi" w:hAnsiTheme="minorHAnsi" w:cs="Calibri"/>
                                  <w:b/>
                                  <w:bCs/>
                                  <w:color w:val="000000" w:themeColor="text1"/>
                                </w:rPr>
                                <w:t xml:space="preserve"> </w:t>
                              </w:r>
                              <w:r w:rsidRPr="00D5747D">
                                <w:rPr>
                                  <w:rFonts w:asciiTheme="minorHAnsi" w:hAnsiTheme="minorHAnsi" w:cs="Calibri"/>
                                  <w:b/>
                                  <w:bCs/>
                                  <w:color w:val="2D934F" w:themeColor="accent4"/>
                                </w:rPr>
                                <w:t xml:space="preserve">M </w:t>
                              </w:r>
                              <w:r w:rsidRPr="00695761">
                                <w:rPr>
                                  <w:rFonts w:asciiTheme="minorHAnsi" w:hAnsiTheme="minorHAnsi" w:cs="Calibri"/>
                                  <w:color w:val="000000" w:themeColor="text1"/>
                                </w:rPr>
                                <w:t xml:space="preserve">och de som har refillalternativ med </w:t>
                              </w:r>
                              <w:r w:rsidRPr="00695761">
                                <w:rPr>
                                  <w:rFonts w:asciiTheme="minorHAnsi" w:hAnsiTheme="minorHAnsi" w:cs="Calibri"/>
                                  <w:noProof/>
                                  <w:color w:val="000000" w:themeColor="text1"/>
                                </w:rPr>
                                <w:t>ett</w:t>
                              </w:r>
                              <w:r>
                                <w:rPr>
                                  <w:rFonts w:asciiTheme="minorHAnsi" w:hAnsiTheme="minorHAnsi" w:cs="Calibri"/>
                                  <w:b/>
                                  <w:bCs/>
                                  <w:noProof/>
                                  <w:color w:val="000000" w:themeColor="text1"/>
                                </w:rPr>
                                <w:t xml:space="preserve"> </w:t>
                              </w:r>
                              <w:r w:rsidRPr="00D5747D">
                                <w:rPr>
                                  <w:rFonts w:asciiTheme="minorHAnsi" w:hAnsiTheme="minorHAnsi" w:cs="Calibri"/>
                                  <w:b/>
                                  <w:bCs/>
                                  <w:color w:val="2D934F" w:themeColor="accent4"/>
                                </w:rPr>
                                <w:t>R</w:t>
                              </w:r>
                            </w:p>
                            <w:p w14:paraId="6AD8BDB5" w14:textId="77777777" w:rsidR="00EC79BD" w:rsidRPr="00B51153" w:rsidRDefault="00EC79BD" w:rsidP="00EC79BD">
                              <w:pPr>
                                <w:pStyle w:val="Normal4"/>
                                <w:spacing w:before="0" w:beforeAutospacing="0" w:after="240" w:afterAutospacing="0"/>
                                <w:jc w:val="center"/>
                                <w:rPr>
                                  <w:rFonts w:asciiTheme="minorHAnsi" w:hAnsiTheme="minorHAnsi" w:cs="Calibri"/>
                                  <w:b/>
                                  <w:bCs/>
                                </w:rPr>
                              </w:pPr>
                              <w:r>
                                <w:rPr>
                                  <w:rFonts w:asciiTheme="minorHAnsi" w:hAnsiTheme="minorHAnsi" w:cs="Calibri"/>
                                  <w:b/>
                                  <w:bCs/>
                                  <w:color w:val="216D3B" w:themeColor="accent4" w:themeShade="BF"/>
                                </w:rPr>
                                <w:t xml:space="preserve"> </w:t>
                              </w:r>
                            </w:p>
                            <w:p w14:paraId="17F2A8D1"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534313B2"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4F576F3A"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6852DC8F"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4DE447A5"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499D5BC8"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34D6F581" w14:textId="77777777" w:rsidR="00EC79BD" w:rsidRPr="006E6D8C" w:rsidRDefault="00EC79BD" w:rsidP="00EC79BD">
                              <w:pPr>
                                <w:pStyle w:val="Normal4"/>
                                <w:spacing w:before="0" w:beforeAutospacing="0" w:after="240" w:afterAutospacing="0"/>
                                <w:rPr>
                                  <w:rFonts w:ascii="Calibri" w:hAnsi="Calibri" w:cs="Calibri"/>
                                  <w:b/>
                                  <w:bCs/>
                                  <w:color w:val="000000" w:themeColor="text1"/>
                                </w:rPr>
                              </w:pPr>
                            </w:p>
                            <w:p w14:paraId="35951448" w14:textId="77777777" w:rsidR="00EC79BD" w:rsidRDefault="00EC79BD" w:rsidP="00EC79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0761880" name="Bild 1200761880" descr="Lövträd med hel fyllning"/>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flipH="1">
                            <a:off x="1682750" y="127000"/>
                            <a:ext cx="338455" cy="338455"/>
                          </a:xfrm>
                          <a:prstGeom prst="rect">
                            <a:avLst/>
                          </a:prstGeom>
                        </pic:spPr>
                      </pic:pic>
                      <pic:pic xmlns:pic="http://schemas.openxmlformats.org/drawingml/2006/picture">
                        <pic:nvPicPr>
                          <pic:cNvPr id="59" name="Bild 59" descr="Lövträd med hel fyllning"/>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flipH="1">
                            <a:off x="3676650" y="95250"/>
                            <a:ext cx="338455" cy="3384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2FC474" id="Grupp 49" o:spid="_x0000_s1054" style="position:absolute;margin-left:36.5pt;margin-top:46.15pt;width:425.35pt;height:161.25pt;z-index:251778048;mso-position-horizontal-relative:margin;mso-position-vertical-relative:text;mso-width-relative:margin;mso-height-relative:margin" coordorigin="1178,-112" coordsize="54022,2047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">
                <v:roundrect id="Rektangel: rundade hörn 57" o:spid="_x0000_s1055" style="position:absolute;left:1178;top:-112;width:54022;height:204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" fillcolor="#daf09b" strokecolor="#6e8e12" strokeweight="2pt">
                  <v:textbox>
                    <w:txbxContent>
                      <w:p w14:paraId="01796E6A" w14:textId="77777777" w:rsidR="00EC79BD" w:rsidRPr="00986AEE" w:rsidRDefault="00EC79BD" w:rsidP="00EC79BD">
                        <w:pPr>
                          <w:pStyle w:val="Rubrik3"/>
                          <w:spacing w:before="0"/>
                          <w:jc w:val="center"/>
                          <w:rPr>
                            <w:color w:val="164927" w:themeColor="accent4" w:themeShade="80"/>
                          </w:rPr>
                        </w:pPr>
                        <w:r w:rsidRPr="00986AEE">
                          <w:rPr>
                            <w:color w:val="2D934F" w:themeColor="accent4"/>
                          </w:rPr>
                          <w:t>MILJÖTIPS</w:t>
                        </w:r>
                        <w:r w:rsidRPr="00986AEE">
                          <w:rPr>
                            <w:color w:val="164927" w:themeColor="accent4" w:themeShade="80"/>
                          </w:rPr>
                          <w:br/>
                        </w:r>
                      </w:p>
                      <w:p w14:paraId="2A8D7D60" w14:textId="77777777" w:rsidR="00EC79BD" w:rsidRPr="00986AEE" w:rsidRDefault="00EC79BD" w:rsidP="00EC79BD">
                        <w:pPr>
                          <w:pStyle w:val="Normal4"/>
                          <w:spacing w:before="0" w:beforeAutospacing="0" w:after="0" w:afterAutospacing="0"/>
                          <w:rPr>
                            <w:rFonts w:ascii="Garamond" w:hAnsi="Garamond" w:cs="Calibri"/>
                            <w:b/>
                            <w:bCs/>
                            <w:color w:val="000000" w:themeColor="text1"/>
                          </w:rPr>
                        </w:pPr>
                        <w:r w:rsidRPr="00986AEE">
                          <w:rPr>
                            <w:rFonts w:ascii="Garamond" w:hAnsi="Garamond" w:cs="Calibri"/>
                            <w:i/>
                            <w:iCs/>
                            <w:color w:val="404040"/>
                          </w:rPr>
                          <w:t>Spray med drivgas påverkar miljön betydligt mer än pulverinhalatorer på grund av att de innehåller</w:t>
                        </w:r>
                        <w:hyperlink w:anchor="_ORDLISTA" w:history="1">
                          <w:r w:rsidRPr="00986AEE">
                            <w:rPr>
                              <w:rStyle w:val="Hyperlnk"/>
                              <w:rFonts w:ascii="Garamond" w:hAnsi="Garamond" w:cs="Calibri"/>
                              <w:i/>
                              <w:iCs/>
                              <w:color w:val="00A6E2" w:themeColor="accent1"/>
                              <w:u w:val="none"/>
                            </w:rPr>
                            <w:t xml:space="preserve"> </w:t>
                          </w:r>
                          <w:r w:rsidRPr="00986AEE">
                            <w:rPr>
                              <w:rStyle w:val="Hyperlnk"/>
                              <w:rFonts w:ascii="Garamond" w:hAnsi="Garamond" w:cs="Calibri"/>
                              <w:i/>
                              <w:iCs/>
                              <w:color w:val="B46400" w:themeColor="accent6" w:themeShade="BF"/>
                            </w:rPr>
                            <w:t>HFC</w:t>
                          </w:r>
                        </w:hyperlink>
                        <w:r w:rsidRPr="00986AEE">
                          <w:rPr>
                            <w:rFonts w:ascii="Garamond" w:hAnsi="Garamond" w:cs="Calibri"/>
                            <w:i/>
                            <w:iCs/>
                            <w:color w:val="404040"/>
                          </w:rPr>
                          <w:t xml:space="preserve">. </w:t>
                        </w:r>
                        <w:r>
                          <w:rPr>
                            <w:rFonts w:ascii="Garamond" w:hAnsi="Garamond" w:cs="Calibri"/>
                            <w:i/>
                            <w:iCs/>
                            <w:color w:val="404040"/>
                          </w:rPr>
                          <w:t xml:space="preserve">Pulver- och respimatinhalatorer är ur den aspekten mer miljövänliga.  </w:t>
                        </w:r>
                        <w:r w:rsidRPr="00986AEE">
                          <w:rPr>
                            <w:rFonts w:ascii="Garamond" w:hAnsi="Garamond" w:cs="Calibri"/>
                            <w:i/>
                            <w:iCs/>
                            <w:color w:val="404040"/>
                          </w:rPr>
                          <w:tab/>
                        </w:r>
                      </w:p>
                      <w:p w14:paraId="110F8D71" w14:textId="77777777" w:rsidR="00EC79BD" w:rsidRDefault="00EC79BD" w:rsidP="00EC79BD">
                        <w:pPr>
                          <w:pStyle w:val="Normal4"/>
                          <w:spacing w:before="0" w:beforeAutospacing="0" w:after="0" w:afterAutospacing="0"/>
                          <w:jc w:val="center"/>
                          <w:rPr>
                            <w:rFonts w:ascii="Garamond" w:hAnsi="Garamond" w:cs="Calibri"/>
                            <w:b/>
                            <w:bCs/>
                            <w:color w:val="000000" w:themeColor="text1"/>
                          </w:rPr>
                        </w:pPr>
                        <w:r>
                          <w:rPr>
                            <w:rFonts w:ascii="Garamond" w:hAnsi="Garamond" w:cs="Calibri"/>
                            <w:color w:val="000000" w:themeColor="text1"/>
                          </w:rPr>
                          <w:br/>
                        </w:r>
                        <w:r w:rsidRPr="00695761">
                          <w:rPr>
                            <w:rFonts w:ascii="Garamond" w:hAnsi="Garamond" w:cs="Calibri"/>
                            <w:color w:val="000000" w:themeColor="text1"/>
                          </w:rPr>
                          <w:t xml:space="preserve">Vid val mellan likvärdiga produkter bör klimatpåverkan beaktas men i </w:t>
                        </w:r>
                        <w:r>
                          <w:rPr>
                            <w:rFonts w:ascii="Garamond" w:hAnsi="Garamond" w:cs="Calibri"/>
                            <w:b/>
                            <w:bCs/>
                            <w:color w:val="000000" w:themeColor="text1"/>
                          </w:rPr>
                          <w:t>första hand är det patientens inhalationsförmåga och preferens som ska prioriteras</w:t>
                        </w:r>
                      </w:p>
                      <w:p w14:paraId="1CB1E48F" w14:textId="77777777" w:rsidR="00EC79BD" w:rsidRPr="00986AEE" w:rsidRDefault="00EC79BD" w:rsidP="00EC79BD">
                        <w:pPr>
                          <w:pStyle w:val="Normal4"/>
                          <w:spacing w:before="0" w:beforeAutospacing="0" w:after="0" w:afterAutospacing="0"/>
                          <w:jc w:val="center"/>
                          <w:rPr>
                            <w:rFonts w:ascii="Garamond" w:hAnsi="Garamond" w:cs="Calibri"/>
                            <w:b/>
                            <w:bCs/>
                            <w:color w:val="000000" w:themeColor="text1"/>
                          </w:rPr>
                        </w:pPr>
                      </w:p>
                      <w:p w14:paraId="6F99FC21" w14:textId="77777777" w:rsidR="00EC79BD" w:rsidRPr="00695761" w:rsidRDefault="00EC79BD" w:rsidP="00EC79BD">
                        <w:pPr>
                          <w:pStyle w:val="Normal4"/>
                          <w:spacing w:before="0" w:beforeAutospacing="0" w:after="240" w:afterAutospacing="0"/>
                          <w:jc w:val="center"/>
                          <w:rPr>
                            <w:rFonts w:asciiTheme="minorHAnsi" w:hAnsiTheme="minorHAnsi" w:cs="Calibri"/>
                            <w:color w:val="000000" w:themeColor="text1"/>
                          </w:rPr>
                        </w:pPr>
                        <w:r w:rsidRPr="00695761">
                          <w:rPr>
                            <w:rFonts w:asciiTheme="minorHAnsi" w:hAnsiTheme="minorHAnsi" w:cs="Calibri"/>
                            <w:color w:val="000000" w:themeColor="text1"/>
                          </w:rPr>
                          <w:t>Om refillförpackningar finns är det ett miljömässigt klokare val</w:t>
                        </w:r>
                      </w:p>
                      <w:p w14:paraId="016A6CB3" w14:textId="77777777" w:rsidR="00EC79BD" w:rsidRDefault="00EC79BD" w:rsidP="00EC79BD">
                        <w:pPr>
                          <w:pStyle w:val="Normal4"/>
                          <w:spacing w:before="0" w:beforeAutospacing="0" w:after="240" w:afterAutospacing="0"/>
                          <w:jc w:val="center"/>
                          <w:rPr>
                            <w:rFonts w:asciiTheme="minorHAnsi" w:hAnsiTheme="minorHAnsi" w:cs="Calibri"/>
                            <w:b/>
                            <w:bCs/>
                            <w:color w:val="2D934F" w:themeColor="accent4"/>
                          </w:rPr>
                        </w:pPr>
                        <w:r>
                          <w:rPr>
                            <w:rFonts w:asciiTheme="minorHAnsi" w:hAnsiTheme="minorHAnsi" w:cs="Calibri"/>
                            <w:color w:val="000000" w:themeColor="text1"/>
                          </w:rPr>
                          <w:t xml:space="preserve">I tabellöversikten över inhalatorerna </w:t>
                        </w:r>
                        <w:r w:rsidRPr="00695761">
                          <w:rPr>
                            <w:rFonts w:asciiTheme="minorHAnsi" w:hAnsiTheme="minorHAnsi" w:cs="Calibri"/>
                            <w:color w:val="000000" w:themeColor="text1"/>
                          </w:rPr>
                          <w:t>markera</w:t>
                        </w:r>
                        <w:r>
                          <w:rPr>
                            <w:rFonts w:asciiTheme="minorHAnsi" w:hAnsiTheme="minorHAnsi" w:cs="Calibri"/>
                            <w:color w:val="000000" w:themeColor="text1"/>
                          </w:rPr>
                          <w:t>s</w:t>
                        </w:r>
                        <w:r w:rsidRPr="00695761">
                          <w:rPr>
                            <w:rFonts w:asciiTheme="minorHAnsi" w:hAnsiTheme="minorHAnsi" w:cs="Calibri"/>
                            <w:color w:val="000000" w:themeColor="text1"/>
                          </w:rPr>
                          <w:t xml:space="preserve"> </w:t>
                        </w:r>
                        <w:r>
                          <w:rPr>
                            <w:rFonts w:asciiTheme="minorHAnsi" w:hAnsiTheme="minorHAnsi" w:cs="Calibri"/>
                            <w:color w:val="000000" w:themeColor="text1"/>
                          </w:rPr>
                          <w:t>de</w:t>
                        </w:r>
                        <w:r w:rsidRPr="00695761">
                          <w:rPr>
                            <w:rFonts w:asciiTheme="minorHAnsi" w:hAnsiTheme="minorHAnsi" w:cs="Calibri"/>
                            <w:color w:val="000000" w:themeColor="text1"/>
                          </w:rPr>
                          <w:t xml:space="preserve"> utan HFC med</w:t>
                        </w:r>
                        <w:r>
                          <w:rPr>
                            <w:rFonts w:asciiTheme="minorHAnsi" w:hAnsiTheme="minorHAnsi" w:cs="Calibri"/>
                            <w:b/>
                            <w:bCs/>
                            <w:color w:val="000000" w:themeColor="text1"/>
                          </w:rPr>
                          <w:t xml:space="preserve"> </w:t>
                        </w:r>
                        <w:r w:rsidRPr="00D5747D">
                          <w:rPr>
                            <w:rFonts w:asciiTheme="minorHAnsi" w:hAnsiTheme="minorHAnsi" w:cs="Calibri"/>
                            <w:b/>
                            <w:bCs/>
                            <w:color w:val="2D934F" w:themeColor="accent4"/>
                          </w:rPr>
                          <w:t xml:space="preserve">M </w:t>
                        </w:r>
                        <w:r w:rsidRPr="00695761">
                          <w:rPr>
                            <w:rFonts w:asciiTheme="minorHAnsi" w:hAnsiTheme="minorHAnsi" w:cs="Calibri"/>
                            <w:color w:val="000000" w:themeColor="text1"/>
                          </w:rPr>
                          <w:t xml:space="preserve">och de som har refillalternativ med </w:t>
                        </w:r>
                        <w:r w:rsidRPr="00695761">
                          <w:rPr>
                            <w:rFonts w:asciiTheme="minorHAnsi" w:hAnsiTheme="minorHAnsi" w:cs="Calibri"/>
                            <w:noProof/>
                            <w:color w:val="000000" w:themeColor="text1"/>
                          </w:rPr>
                          <w:t>ett</w:t>
                        </w:r>
                        <w:r>
                          <w:rPr>
                            <w:rFonts w:asciiTheme="minorHAnsi" w:hAnsiTheme="minorHAnsi" w:cs="Calibri"/>
                            <w:b/>
                            <w:bCs/>
                            <w:noProof/>
                            <w:color w:val="000000" w:themeColor="text1"/>
                          </w:rPr>
                          <w:t xml:space="preserve"> </w:t>
                        </w:r>
                        <w:r w:rsidRPr="00D5747D">
                          <w:rPr>
                            <w:rFonts w:asciiTheme="minorHAnsi" w:hAnsiTheme="minorHAnsi" w:cs="Calibri"/>
                            <w:b/>
                            <w:bCs/>
                            <w:color w:val="2D934F" w:themeColor="accent4"/>
                          </w:rPr>
                          <w:t>R</w:t>
                        </w:r>
                      </w:p>
                      <w:p w14:paraId="6AD8BDB5" w14:textId="77777777" w:rsidR="00EC79BD" w:rsidRPr="00B51153" w:rsidRDefault="00EC79BD" w:rsidP="00EC79BD">
                        <w:pPr>
                          <w:pStyle w:val="Normal4"/>
                          <w:spacing w:before="0" w:beforeAutospacing="0" w:after="240" w:afterAutospacing="0"/>
                          <w:jc w:val="center"/>
                          <w:rPr>
                            <w:rFonts w:asciiTheme="minorHAnsi" w:hAnsiTheme="minorHAnsi" w:cs="Calibri"/>
                            <w:b/>
                            <w:bCs/>
                          </w:rPr>
                        </w:pPr>
                        <w:r>
                          <w:rPr>
                            <w:rFonts w:asciiTheme="minorHAnsi" w:hAnsiTheme="minorHAnsi" w:cs="Calibri"/>
                            <w:b/>
                            <w:bCs/>
                            <w:color w:val="216D3B" w:themeColor="accent4" w:themeShade="BF"/>
                          </w:rPr>
                          <w:t xml:space="preserve"> </w:t>
                        </w:r>
                      </w:p>
                      <w:p w14:paraId="17F2A8D1"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534313B2"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4F576F3A"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6852DC8F"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4DE447A5"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499D5BC8" w14:textId="77777777" w:rsidR="00EC79BD" w:rsidRDefault="00EC79BD" w:rsidP="00EC79BD">
                        <w:pPr>
                          <w:pStyle w:val="Normal4"/>
                          <w:spacing w:before="0" w:beforeAutospacing="0" w:after="240" w:afterAutospacing="0"/>
                          <w:rPr>
                            <w:rFonts w:ascii="Calibri" w:hAnsi="Calibri" w:cs="Calibri"/>
                            <w:b/>
                            <w:bCs/>
                            <w:color w:val="000000" w:themeColor="text1"/>
                          </w:rPr>
                        </w:pPr>
                      </w:p>
                      <w:p w14:paraId="34D6F581" w14:textId="77777777" w:rsidR="00EC79BD" w:rsidRPr="006E6D8C" w:rsidRDefault="00EC79BD" w:rsidP="00EC79BD">
                        <w:pPr>
                          <w:pStyle w:val="Normal4"/>
                          <w:spacing w:before="0" w:beforeAutospacing="0" w:after="240" w:afterAutospacing="0"/>
                          <w:rPr>
                            <w:rFonts w:ascii="Calibri" w:hAnsi="Calibri" w:cs="Calibri"/>
                            <w:b/>
                            <w:bCs/>
                            <w:color w:val="000000" w:themeColor="text1"/>
                          </w:rPr>
                        </w:pPr>
                      </w:p>
                      <w:p w14:paraId="35951448" w14:textId="77777777" w:rsidR="00EC79BD" w:rsidRDefault="00EC79BD" w:rsidP="00EC79BD">
                        <w:pPr>
                          <w:jc w:val="center"/>
                        </w:pPr>
                      </w:p>
                    </w:txbxContent>
                  </v:textbox>
                </v:roundrect>
                <v:shape id="Bild 1200761880" o:spid="_x0000_s1056" type="#_x0000_t75" alt="Lövträd med hel fyllning" style="position:absolute;left:16827;top:1270;width:3385;height:338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">
                  <v:imagedata r:id="rId20" o:title="Lövträd med hel fyllning"/>
                </v:shape>
                <v:shape id="Bild 59" o:spid="_x0000_s1057" type="#_x0000_t75" alt="Lövträd med hel fyllning" style="position:absolute;left:36766;top:952;width:3385;height:338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">
                  <v:imagedata r:id="rId20" o:title="Lövträd med hel fyllning"/>
                </v:shape>
                <w10:wrap type="through" anchorx="margin"/>
              </v:group>
            </w:pict>
          </mc:Fallback>
        </mc:AlternateContent>
      </w:r>
      <w:r>
        <w:rPr>
          <w:rStyle w:val="Stark"/>
          <w:rFonts w:eastAsiaTheme="minorEastAsia"/>
          <w:b w:val="0"/>
          <w:bCs/>
        </w:rPr>
        <w:br/>
      </w:r>
      <w:r w:rsidRPr="00041C9B">
        <w:rPr>
          <w:rStyle w:val="Stark"/>
          <w:rFonts w:asciiTheme="minorHAnsi" w:eastAsiaTheme="minorEastAsia" w:hAnsiTheme="minorHAnsi"/>
        </w:rPr>
        <w:t>Miljötips</w:t>
      </w:r>
    </w:p>
    <w:p w14:paraId="112071D7" w14:textId="77777777" w:rsidR="00EC79BD" w:rsidRPr="00041C9B" w:rsidRDefault="00EC79BD" w:rsidP="00EC79BD">
      <w:pPr>
        <w:pStyle w:val="Rubrik2"/>
        <w:rPr>
          <w:rStyle w:val="Stark"/>
          <w:b/>
          <w:bCs w:val="0"/>
        </w:rPr>
      </w:pPr>
      <w:r w:rsidRPr="00041C9B">
        <w:rPr>
          <w:rStyle w:val="Stark"/>
          <w:b/>
          <w:bCs w:val="0"/>
        </w:rPr>
        <w:t>Rökavvänjning</w:t>
      </w:r>
    </w:p>
    <w:p w14:paraId="24BBF6EF" w14:textId="77777777" w:rsidR="00EC79BD" w:rsidRPr="00041C9B" w:rsidRDefault="00EC79BD" w:rsidP="00EC79BD">
      <w:pPr>
        <w:pStyle w:val="Rubrik3"/>
        <w:rPr>
          <w:rFonts w:asciiTheme="minorHAnsi" w:hAnsiTheme="minorHAnsi" w:cs="Calibri"/>
          <w:szCs w:val="24"/>
        </w:rPr>
      </w:pPr>
      <w:r w:rsidRPr="001F551E">
        <w:rPr>
          <w:rStyle w:val="Stark"/>
          <w:noProof/>
        </w:rPr>
        <mc:AlternateContent>
          <mc:Choice Requires="wps">
            <w:drawing>
              <wp:anchor distT="0" distB="0" distL="114300" distR="114300" simplePos="0" relativeHeight="251779072" behindDoc="1" locked="0" layoutInCell="1" allowOverlap="1" wp14:anchorId="244AF9BB" wp14:editId="6B5B2E42">
                <wp:simplePos x="0" y="0"/>
                <wp:positionH relativeFrom="margin">
                  <wp:posOffset>-22440</wp:posOffset>
                </wp:positionH>
                <wp:positionV relativeFrom="paragraph">
                  <wp:posOffset>485023</wp:posOffset>
                </wp:positionV>
                <wp:extent cx="3981450" cy="333375"/>
                <wp:effectExtent l="0" t="0" r="19050" b="28575"/>
                <wp:wrapNone/>
                <wp:docPr id="1200761881" name="Rektangel: rundade hörn 1200761881"/>
                <wp:cNvGraphicFramePr/>
                <a:graphic xmlns:a="http://schemas.openxmlformats.org/drawingml/2006/main">
                  <a:graphicData uri="http://schemas.microsoft.com/office/word/2010/wordprocessingShape">
                    <wps:wsp>
                      <wps:cNvSpPr/>
                      <wps:spPr>
                        <a:xfrm>
                          <a:off x="0" y="0"/>
                          <a:ext cx="3981450" cy="333375"/>
                        </a:xfrm>
                        <a:prstGeom prst="roundRect">
                          <a:avLst/>
                        </a:prstGeom>
                        <a:gradFill flip="none" rotWithShape="1">
                          <a:gsLst>
                            <a:gs pos="0">
                              <a:srgbClr val="00A6E2">
                                <a:tint val="66000"/>
                                <a:satMod val="160000"/>
                              </a:srgbClr>
                            </a:gs>
                            <a:gs pos="50000">
                              <a:srgbClr val="00A6E2">
                                <a:tint val="44500"/>
                                <a:satMod val="160000"/>
                              </a:srgbClr>
                            </a:gs>
                            <a:gs pos="100000">
                              <a:srgbClr val="00A6E2">
                                <a:tint val="23500"/>
                                <a:satMod val="160000"/>
                              </a:srgbClr>
                            </a:gs>
                          </a:gsLst>
                          <a:lin ang="2700000" scaled="1"/>
                          <a:tileRect/>
                        </a:gradFill>
                        <a:ln w="25400" cap="flat" cmpd="sng" algn="ctr">
                          <a:solidFill>
                            <a:srgbClr val="00A6E2">
                              <a:shade val="50000"/>
                            </a:srgbClr>
                          </a:solidFill>
                          <a:prstDash val="solid"/>
                        </a:ln>
                        <a:effectLst/>
                      </wps:spPr>
                      <wps:txbx>
                        <w:txbxContent>
                          <w:p w14:paraId="3337CD66" w14:textId="77777777" w:rsidR="00EC79BD" w:rsidRPr="0022393C" w:rsidRDefault="00EC79BD" w:rsidP="00EC79BD">
                            <w:pPr>
                              <w:rPr>
                                <w:rFonts w:asciiTheme="minorHAnsi" w:hAnsiTheme="minorHAnsi"/>
                              </w:rPr>
                            </w:pPr>
                            <w:r w:rsidRPr="0022393C">
                              <w:rPr>
                                <w:rFonts w:asciiTheme="minorHAnsi" w:hAnsiTheme="minorHAnsi" w:cs="Calibri"/>
                                <w:b/>
                                <w:bCs/>
                                <w:color w:val="003D7C" w:themeColor="text2"/>
                                <w:szCs w:val="24"/>
                              </w:rPr>
                              <w:t xml:space="preserve">Bör ges tillsammans med motiverande samtal!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4AF9BB" id="Rektangel: rundade hörn 1200761881" o:spid="_x0000_s1058" style="position:absolute;margin-left:-1.75pt;margin-top:38.2pt;width:313.5pt;height:26.25pt;z-index:-25153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" fillcolor="#86cdff" strokecolor="#0079a6" strokeweight="2pt">
                <v:fill color2="#dceeff" rotate="t" angle="45" colors="0 #86cdff;.5 #b7deff;1 #dceeff" focus="100%" type="gradient"/>
                <v:textbox>
                  <w:txbxContent>
                    <w:p w14:paraId="3337CD66" w14:textId="77777777" w:rsidR="00EC79BD" w:rsidRPr="0022393C" w:rsidRDefault="00EC79BD" w:rsidP="00EC79BD">
                      <w:pPr>
                        <w:rPr>
                          <w:rFonts w:asciiTheme="minorHAnsi" w:hAnsiTheme="minorHAnsi"/>
                        </w:rPr>
                      </w:pPr>
                      <w:r w:rsidRPr="0022393C">
                        <w:rPr>
                          <w:rFonts w:asciiTheme="minorHAnsi" w:hAnsiTheme="minorHAnsi" w:cs="Calibri"/>
                          <w:b/>
                          <w:bCs/>
                          <w:color w:val="003D7C" w:themeColor="text2"/>
                          <w:szCs w:val="24"/>
                        </w:rPr>
                        <w:t xml:space="preserve">Bör ges tillsammans med motiverande samtal! </w:t>
                      </w:r>
                    </w:p>
                  </w:txbxContent>
                </v:textbox>
                <w10:wrap anchorx="margin"/>
              </v:roundrect>
            </w:pict>
          </mc:Fallback>
        </mc:AlternateContent>
      </w:r>
      <w:r w:rsidRPr="00041C9B">
        <w:rPr>
          <w:rFonts w:asciiTheme="minorHAnsi" w:hAnsiTheme="minorHAnsi" w:cs="Calibri"/>
          <w:szCs w:val="24"/>
        </w:rPr>
        <w:t>Läkemedelsbehandling</w:t>
      </w:r>
      <w:r w:rsidRPr="00041C9B">
        <w:rPr>
          <w:rFonts w:asciiTheme="minorHAnsi" w:hAnsiTheme="minorHAnsi" w:cs="Calibri"/>
          <w:szCs w:val="24"/>
        </w:rPr>
        <w:tab/>
      </w:r>
      <w:r>
        <w:rPr>
          <w:rFonts w:asciiTheme="minorHAnsi" w:hAnsiTheme="minorHAnsi" w:cs="Calibri"/>
          <w:szCs w:val="24"/>
        </w:rPr>
        <w:br/>
      </w:r>
      <w:r w:rsidRPr="00041C9B">
        <w:rPr>
          <w:rFonts w:asciiTheme="minorHAnsi" w:hAnsiTheme="minorHAnsi" w:cs="Calibri"/>
          <w:szCs w:val="24"/>
        </w:rPr>
        <w:tab/>
      </w:r>
    </w:p>
    <w:tbl>
      <w:tblPr>
        <w:tblStyle w:val="Rutntstabell7frgstarkdekorfrg2"/>
        <w:tblpPr w:leftFromText="141" w:rightFromText="141" w:vertAnchor="page" w:horzAnchor="margin" w:tblpY="887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3"/>
        <w:gridCol w:w="5582"/>
        <w:gridCol w:w="851"/>
      </w:tblGrid>
      <w:tr w:rsidR="00EC79BD" w:rsidRPr="000C17EB" w14:paraId="021BB13B" w14:textId="77777777" w:rsidTr="00632FCC">
        <w:trPr>
          <w:cnfStyle w:val="100000000000" w:firstRow="1" w:lastRow="0" w:firstColumn="0" w:lastColumn="0" w:oddVBand="0" w:evenVBand="0" w:oddHBand="0" w:evenHBand="0" w:firstRowFirstColumn="0" w:firstRowLastColumn="0" w:lastRowFirstColumn="0" w:lastRowLastColumn="0"/>
          <w:trHeight w:val="162"/>
        </w:trPr>
        <w:tc>
          <w:tcPr>
            <w:cnfStyle w:val="001000000100" w:firstRow="0" w:lastRow="0" w:firstColumn="1" w:lastColumn="0" w:oddVBand="0" w:evenVBand="0" w:oddHBand="0" w:evenHBand="0" w:firstRowFirstColumn="1" w:firstRowLastColumn="0" w:lastRowFirstColumn="0" w:lastRowLastColumn="0"/>
            <w:tcW w:w="2923" w:type="dxa"/>
          </w:tcPr>
          <w:p w14:paraId="59FD00A5"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bCs w:val="0"/>
                <w:color w:val="003D7C" w:themeColor="text2"/>
              </w:rPr>
            </w:pPr>
            <w:r w:rsidRPr="001F551E">
              <w:rPr>
                <w:rStyle w:val="Stark"/>
              </w:rPr>
              <w:tab/>
            </w:r>
            <w:r w:rsidRPr="001F551E">
              <w:rPr>
                <w:rStyle w:val="Stark"/>
              </w:rPr>
              <w:tab/>
            </w:r>
            <w:r w:rsidRPr="000C17EB">
              <w:rPr>
                <w:rStyle w:val="Stark"/>
                <w:rFonts w:asciiTheme="minorHAnsi" w:eastAsiaTheme="minorEastAsia" w:hAnsiTheme="minorHAnsi" w:cs="Calibri"/>
                <w:color w:val="003D7C" w:themeColor="text2"/>
              </w:rPr>
              <w:t>Läkemedelsgrupp</w:t>
            </w:r>
          </w:p>
        </w:tc>
        <w:tc>
          <w:tcPr>
            <w:tcW w:w="5582" w:type="dxa"/>
          </w:tcPr>
          <w:p w14:paraId="5A0EA144"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0C17EB">
              <w:rPr>
                <w:rStyle w:val="Stark"/>
                <w:rFonts w:asciiTheme="minorHAnsi" w:eastAsiaTheme="minorEastAsia" w:hAnsiTheme="minorHAnsi" w:cs="Calibri"/>
                <w:b/>
                <w:color w:val="003D7C" w:themeColor="text2"/>
              </w:rPr>
              <w:t>Alternativ</w:t>
            </w:r>
          </w:p>
        </w:tc>
        <w:tc>
          <w:tcPr>
            <w:tcW w:w="851" w:type="dxa"/>
          </w:tcPr>
          <w:p w14:paraId="7E4D9A0C" w14:textId="77777777" w:rsidR="00EC79BD" w:rsidRPr="000C17EB" w:rsidRDefault="00EC79BD" w:rsidP="00632FCC">
            <w:pPr>
              <w:pStyle w:val="Normal4"/>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bCs w:val="0"/>
                <w:color w:val="003D7C" w:themeColor="text2"/>
              </w:rPr>
            </w:pPr>
            <w:r w:rsidRPr="000C17EB">
              <w:rPr>
                <w:rStyle w:val="Stark"/>
                <w:rFonts w:asciiTheme="minorHAnsi" w:eastAsiaTheme="minorEastAsia" w:hAnsiTheme="minorHAnsi" w:cs="Calibri"/>
                <w:b/>
                <w:color w:val="003D7C" w:themeColor="text2"/>
              </w:rPr>
              <w:t xml:space="preserve">Prio </w:t>
            </w:r>
          </w:p>
        </w:tc>
      </w:tr>
      <w:tr w:rsidR="00EC79BD" w:rsidRPr="000C17EB" w14:paraId="33701CDC" w14:textId="77777777" w:rsidTr="00632FCC">
        <w:trPr>
          <w:cnfStyle w:val="000000100000" w:firstRow="0" w:lastRow="0" w:firstColumn="0" w:lastColumn="0" w:oddVBand="0" w:evenVBand="0" w:oddHBand="1" w:evenHBand="0" w:firstRowFirstColumn="0" w:firstRowLastColumn="0" w:lastRowFirstColumn="0" w:lastRowLastColumn="0"/>
          <w:trHeight w:val="2452"/>
        </w:trPr>
        <w:tc>
          <w:tcPr>
            <w:cnfStyle w:val="001000000000" w:firstRow="0" w:lastRow="0" w:firstColumn="1" w:lastColumn="0" w:oddVBand="0" w:evenVBand="0" w:oddHBand="0" w:evenHBand="0" w:firstRowFirstColumn="0" w:firstRowLastColumn="0" w:lastRowFirstColumn="0" w:lastRowLastColumn="0"/>
            <w:tcW w:w="2923" w:type="dxa"/>
          </w:tcPr>
          <w:p w14:paraId="7B6AC313"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Nikotin</w:t>
            </w:r>
          </w:p>
        </w:tc>
        <w:tc>
          <w:tcPr>
            <w:tcW w:w="5582" w:type="dxa"/>
          </w:tcPr>
          <w:p w14:paraId="49CABB45"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Receptfria nikotinersättningsmedel i olika beredningsformer</w:t>
            </w:r>
          </w:p>
          <w:p w14:paraId="017F314B"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Tillräckligt hög dos ska ges initialt</w:t>
            </w:r>
          </w:p>
          <w:p w14:paraId="0792BAF4"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Fonts w:asciiTheme="minorHAnsi" w:hAnsiTheme="minorHAnsi" w:cs="Calibri"/>
                <w:color w:val="003D7C" w:themeColor="text2"/>
              </w:rPr>
              <w:t>Nikotinplåster kan antas vara mindre beroendeframkallande än andra beredningsformer på grund av långsammare upptag och bör därför vara en grundpelare i behandlingen.</w:t>
            </w:r>
          </w:p>
          <w:p w14:paraId="231AD8AB" w14:textId="77777777" w:rsidR="00EC79BD" w:rsidRPr="000C17EB" w:rsidRDefault="00EC79BD" w:rsidP="00632FCC">
            <w:pPr>
              <w:pStyle w:val="Normal4"/>
              <w:spacing w:before="0" w:beforeAutospacing="0" w:after="24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 xml:space="preserve">Kombination av långverkande (t.ex. plåster) och kortverkande (t.ex. tuggummi) är effektivare än monoterapi och bör prövas innan annat läkemedel förskrivs. </w:t>
            </w:r>
          </w:p>
        </w:tc>
        <w:tc>
          <w:tcPr>
            <w:tcW w:w="851" w:type="dxa"/>
          </w:tcPr>
          <w:p w14:paraId="57F6D5AC"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1</w:t>
            </w:r>
          </w:p>
        </w:tc>
      </w:tr>
      <w:tr w:rsidR="00EC79BD" w:rsidRPr="000C17EB" w14:paraId="10BBFC8A" w14:textId="77777777" w:rsidTr="00632FCC">
        <w:trPr>
          <w:trHeight w:val="506"/>
        </w:trPr>
        <w:tc>
          <w:tcPr>
            <w:cnfStyle w:val="001000000000" w:firstRow="0" w:lastRow="0" w:firstColumn="1" w:lastColumn="0" w:oddVBand="0" w:evenVBand="0" w:oddHBand="0" w:evenHBand="0" w:firstRowFirstColumn="0" w:firstRowLastColumn="0" w:lastRowFirstColumn="0" w:lastRowLastColumn="0"/>
            <w:tcW w:w="2923" w:type="dxa"/>
          </w:tcPr>
          <w:p w14:paraId="6F0FFF55"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 xml:space="preserve">Vareniklin </w:t>
            </w:r>
          </w:p>
        </w:tc>
        <w:tc>
          <w:tcPr>
            <w:tcW w:w="5582" w:type="dxa"/>
          </w:tcPr>
          <w:p w14:paraId="53C350CC"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b w:val="0"/>
                <w:color w:val="003D7C" w:themeColor="text2"/>
              </w:rPr>
            </w:pPr>
            <w:r w:rsidRPr="000C17EB">
              <w:rPr>
                <w:rStyle w:val="Stark"/>
                <w:rFonts w:asciiTheme="minorHAnsi" w:eastAsiaTheme="minorEastAsia" w:hAnsiTheme="minorHAnsi" w:cs="Calibri"/>
                <w:color w:val="003D7C" w:themeColor="accent2"/>
              </w:rPr>
              <w:t>Champix</w:t>
            </w:r>
            <w:r>
              <w:rPr>
                <w:rStyle w:val="Stark"/>
                <w:rFonts w:asciiTheme="minorHAnsi" w:eastAsiaTheme="minorEastAsia" w:hAnsiTheme="minorHAnsi" w:cs="Calibri"/>
                <w:color w:val="003D7C" w:themeColor="accent2"/>
              </w:rPr>
              <w:t>*</w:t>
            </w:r>
            <w:r w:rsidRPr="000C17EB">
              <w:rPr>
                <w:rStyle w:val="Stark"/>
                <w:rFonts w:asciiTheme="minorHAnsi" w:eastAsiaTheme="minorEastAsia" w:hAnsiTheme="minorHAnsi" w:cs="Calibri"/>
                <w:color w:val="003D7C" w:themeColor="accent2"/>
              </w:rPr>
              <w:t xml:space="preserve"> </w:t>
            </w:r>
            <w:r w:rsidRPr="000C17EB">
              <w:rPr>
                <w:rFonts w:asciiTheme="minorHAnsi" w:hAnsiTheme="minorHAnsi" w:cs="Calibri"/>
                <w:color w:val="003D7C" w:themeColor="accent2"/>
              </w:rPr>
              <w:br/>
              <w:t xml:space="preserve">ökar möjligheten att bli bestående rökfri drygt 2 gånger jämfört med placebo om motiverande samtal ges samtidigt </w:t>
            </w:r>
          </w:p>
        </w:tc>
        <w:tc>
          <w:tcPr>
            <w:tcW w:w="851" w:type="dxa"/>
          </w:tcPr>
          <w:p w14:paraId="06FF71C3" w14:textId="77777777" w:rsidR="00EC79BD" w:rsidRPr="000C17EB" w:rsidRDefault="00EC79BD" w:rsidP="00632FCC">
            <w:pPr>
              <w:pStyle w:val="Normal4"/>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2</w:t>
            </w:r>
          </w:p>
        </w:tc>
      </w:tr>
      <w:tr w:rsidR="00EC79BD" w:rsidRPr="000C17EB" w14:paraId="15B47DF9" w14:textId="77777777" w:rsidTr="00632FCC">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923" w:type="dxa"/>
          </w:tcPr>
          <w:p w14:paraId="16D4048A" w14:textId="77777777" w:rsidR="00EC79BD" w:rsidRPr="000C17EB" w:rsidRDefault="00EC79BD" w:rsidP="00632FCC">
            <w:pPr>
              <w:pStyle w:val="Normal4"/>
              <w:spacing w:before="0" w:beforeAutospacing="0" w:after="0" w:afterAutospacing="0"/>
              <w:rPr>
                <w:rStyle w:val="Stark"/>
                <w:rFonts w:asciiTheme="minorHAnsi" w:eastAsiaTheme="minorEastAsia" w:hAnsiTheme="minorHAnsi" w:cs="Calibri"/>
                <w:b w:val="0"/>
                <w:bCs/>
                <w:color w:val="003D7C" w:themeColor="text2"/>
              </w:rPr>
            </w:pPr>
            <w:r w:rsidRPr="000C17EB">
              <w:rPr>
                <w:rStyle w:val="Stark"/>
                <w:rFonts w:asciiTheme="minorHAnsi" w:eastAsiaTheme="minorEastAsia" w:hAnsiTheme="minorHAnsi" w:cs="Calibri"/>
                <w:color w:val="003D7C" w:themeColor="text2"/>
              </w:rPr>
              <w:t xml:space="preserve">Bupropion </w:t>
            </w:r>
          </w:p>
        </w:tc>
        <w:tc>
          <w:tcPr>
            <w:tcW w:w="5582" w:type="dxa"/>
          </w:tcPr>
          <w:p w14:paraId="5EBEE3C5"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t xml:space="preserve">Zyban </w:t>
            </w:r>
          </w:p>
          <w:p w14:paraId="5C34DAE6"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Fonts w:asciiTheme="minorHAnsi" w:hAnsiTheme="minorHAnsi" w:cs="Calibri"/>
                <w:color w:val="003D7C" w:themeColor="accent2"/>
              </w:rPr>
              <w:t>ökar möjligheten att bli bestående rökfri drygt 2 gånger jämfört med placebo om motiverande samtal ges samtidigt</w:t>
            </w:r>
            <w:r w:rsidRPr="000C17EB">
              <w:rPr>
                <w:rFonts w:asciiTheme="minorHAnsi" w:hAnsiTheme="minorHAnsi" w:cs="Calibri"/>
                <w:color w:val="003D7C" w:themeColor="accent2"/>
              </w:rPr>
              <w:br/>
            </w:r>
            <w:r w:rsidRPr="000C17EB">
              <w:rPr>
                <w:rStyle w:val="Stark"/>
                <w:rFonts w:asciiTheme="minorHAnsi" w:eastAsiaTheme="minorEastAsia" w:hAnsiTheme="minorHAnsi" w:cs="Calibri"/>
                <w:color w:val="003D7C" w:themeColor="accent2"/>
              </w:rPr>
              <w:lastRenderedPageBreak/>
              <w:t xml:space="preserve">Enligt </w:t>
            </w:r>
            <w:r w:rsidRPr="004C1CE8">
              <w:rPr>
                <w:rStyle w:val="Stark"/>
                <w:rFonts w:asciiTheme="minorHAnsi" w:hAnsiTheme="minorHAnsi" w:cs="Calibri"/>
                <w:b w:val="0"/>
                <w:bCs/>
              </w:rPr>
              <w:t>S</w:t>
            </w:r>
            <w:r w:rsidRPr="00EB0270">
              <w:rPr>
                <w:rFonts w:asciiTheme="minorHAnsi" w:hAnsiTheme="minorHAnsi" w:cs="Calibri"/>
              </w:rPr>
              <w:t>ocialstyrelsens riktlinjer</w:t>
            </w:r>
            <w:r w:rsidRPr="000C17EB">
              <w:rPr>
                <w:rStyle w:val="Stark"/>
                <w:rFonts w:asciiTheme="minorHAnsi" w:eastAsiaTheme="minorEastAsia" w:hAnsiTheme="minorHAnsi" w:cs="Calibri"/>
                <w:color w:val="003D7C" w:themeColor="accent2"/>
              </w:rPr>
              <w:t xml:space="preserve"> ett alternativ om Champix är kontraindicerat. </w:t>
            </w:r>
          </w:p>
        </w:tc>
        <w:tc>
          <w:tcPr>
            <w:tcW w:w="851" w:type="dxa"/>
          </w:tcPr>
          <w:p w14:paraId="72BE9DB1" w14:textId="77777777" w:rsidR="00EC79BD" w:rsidRPr="000C17EB" w:rsidRDefault="00EC79BD" w:rsidP="00632FCC">
            <w:pPr>
              <w:pStyle w:val="Normal4"/>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Stark"/>
                <w:rFonts w:asciiTheme="minorHAnsi" w:eastAsiaTheme="minorEastAsia" w:hAnsiTheme="minorHAnsi" w:cs="Calibri"/>
                <w:color w:val="003D7C" w:themeColor="text2"/>
              </w:rPr>
            </w:pPr>
            <w:r w:rsidRPr="000C17EB">
              <w:rPr>
                <w:rStyle w:val="Stark"/>
                <w:rFonts w:asciiTheme="minorHAnsi" w:eastAsiaTheme="minorEastAsia" w:hAnsiTheme="minorHAnsi" w:cs="Calibri"/>
                <w:color w:val="003D7C" w:themeColor="text2"/>
              </w:rPr>
              <w:lastRenderedPageBreak/>
              <w:t>3</w:t>
            </w:r>
          </w:p>
        </w:tc>
      </w:tr>
    </w:tbl>
    <w:p w14:paraId="485177DF" w14:textId="77777777" w:rsidR="00EC79BD" w:rsidRPr="001F551E" w:rsidRDefault="00EC79BD" w:rsidP="00EC79BD">
      <w:pPr>
        <w:rPr>
          <w:rStyle w:val="Stark"/>
        </w:rPr>
      </w:pPr>
    </w:p>
    <w:p w14:paraId="78708B9D" w14:textId="77777777" w:rsidR="00EC79BD" w:rsidRDefault="00EC79BD" w:rsidP="00EC79BD">
      <w:pPr>
        <w:pStyle w:val="Normal4"/>
        <w:spacing w:before="0" w:beforeAutospacing="0" w:after="0" w:afterAutospacing="0"/>
        <w:rPr>
          <w:rFonts w:asciiTheme="minorHAnsi" w:hAnsiTheme="minorHAnsi" w:cs="Calibri"/>
          <w:color w:val="404040"/>
        </w:rPr>
      </w:pPr>
    </w:p>
    <w:p w14:paraId="4A08BE2F" w14:textId="77777777" w:rsidR="002A27EE" w:rsidRDefault="002A27EE" w:rsidP="00EC79BD">
      <w:pPr>
        <w:pStyle w:val="Normal4"/>
        <w:spacing w:before="0" w:beforeAutospacing="0" w:after="0" w:afterAutospacing="0"/>
        <w:rPr>
          <w:rFonts w:asciiTheme="minorHAnsi" w:hAnsiTheme="minorHAnsi" w:cs="Calibri"/>
          <w:color w:val="404040"/>
        </w:rPr>
      </w:pPr>
    </w:p>
    <w:p w14:paraId="2595C257" w14:textId="4C74E9F0" w:rsidR="00EC79BD" w:rsidRPr="000C17EB" w:rsidRDefault="00EC79BD" w:rsidP="00EC79BD">
      <w:pPr>
        <w:pStyle w:val="Normal4"/>
        <w:spacing w:before="0" w:beforeAutospacing="0" w:after="0" w:afterAutospacing="0"/>
        <w:rPr>
          <w:rFonts w:asciiTheme="minorHAnsi" w:hAnsiTheme="minorHAnsi" w:cs="Calibri"/>
          <w:color w:val="404040"/>
        </w:rPr>
      </w:pPr>
      <w:r w:rsidRPr="000C17EB">
        <w:rPr>
          <w:rFonts w:asciiTheme="minorHAnsi" w:hAnsiTheme="minorHAnsi" w:cs="Calibri"/>
          <w:color w:val="404040"/>
        </w:rPr>
        <w:t xml:space="preserve">Även om en enkel intervention i form av mindre än 3 minuters information från behandlande läkare har visats vara kostnadseffektiv behövs ofta mer: </w:t>
      </w:r>
      <w:r>
        <w:rPr>
          <w:rFonts w:asciiTheme="minorHAnsi" w:hAnsiTheme="minorHAnsi" w:cs="Calibri"/>
          <w:color w:val="404040"/>
        </w:rPr>
        <w:br/>
      </w:r>
    </w:p>
    <w:p w14:paraId="7D4D5426" w14:textId="77777777" w:rsidR="00EC79BD" w:rsidRPr="000C17EB" w:rsidRDefault="00EC79BD" w:rsidP="00EC79BD">
      <w:pPr>
        <w:pStyle w:val="Normal4"/>
        <w:numPr>
          <w:ilvl w:val="3"/>
          <w:numId w:val="95"/>
        </w:numPr>
        <w:spacing w:before="0" w:beforeAutospacing="0" w:after="0" w:afterAutospacing="0"/>
        <w:rPr>
          <w:rFonts w:asciiTheme="minorHAnsi" w:hAnsiTheme="minorHAnsi" w:cs="Calibri"/>
          <w:color w:val="404040"/>
        </w:rPr>
      </w:pPr>
      <w:r w:rsidRPr="00EB0270">
        <w:rPr>
          <w:rFonts w:asciiTheme="minorHAnsi" w:hAnsiTheme="minorHAnsi" w:cs="Calibri"/>
        </w:rPr>
        <w:t>Sluta röka linjen</w:t>
      </w:r>
      <w:r w:rsidRPr="000C17EB">
        <w:rPr>
          <w:rFonts w:asciiTheme="minorHAnsi" w:hAnsiTheme="minorHAnsi" w:cs="Calibri"/>
          <w:color w:val="404040"/>
        </w:rPr>
        <w:t xml:space="preserve">: 020–84 00 00 </w:t>
      </w:r>
    </w:p>
    <w:p w14:paraId="1AA24020" w14:textId="77777777" w:rsidR="00EC79BD" w:rsidRPr="000C17EB" w:rsidRDefault="00EC79BD" w:rsidP="00EC79BD">
      <w:pPr>
        <w:pStyle w:val="Normal4"/>
        <w:numPr>
          <w:ilvl w:val="3"/>
          <w:numId w:val="95"/>
        </w:numPr>
        <w:spacing w:before="0" w:beforeAutospacing="0" w:after="0" w:afterAutospacing="0"/>
        <w:rPr>
          <w:rFonts w:asciiTheme="minorHAnsi" w:hAnsiTheme="minorHAnsi" w:cs="Calibri"/>
          <w:color w:val="404040"/>
        </w:rPr>
      </w:pPr>
      <w:r w:rsidRPr="00EB0270">
        <w:rPr>
          <w:rFonts w:asciiTheme="minorHAnsi" w:eastAsiaTheme="majorEastAsia" w:hAnsiTheme="minorHAnsi" w:cs="Calibri"/>
        </w:rPr>
        <w:t>1177.se</w:t>
      </w:r>
      <w:r w:rsidRPr="000C17EB">
        <w:rPr>
          <w:rFonts w:asciiTheme="minorHAnsi" w:hAnsiTheme="minorHAnsi" w:cs="Calibri"/>
          <w:noProof/>
          <w:color w:val="404040"/>
        </w:rPr>
        <w:drawing>
          <wp:inline distT="0" distB="0" distL="0" distR="0" wp14:anchorId="240A8414" wp14:editId="4279AE89">
            <wp:extent cx="106680" cy="95250"/>
            <wp:effectExtent l="0" t="0" r="7620" b="0"/>
            <wp:docPr id="1200761882" name="Bildobjekt 1200761882">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36"/>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95250"/>
                    </a:xfrm>
                    <a:prstGeom prst="rect">
                      <a:avLst/>
                    </a:prstGeom>
                    <a:noFill/>
                    <a:ln>
                      <a:noFill/>
                    </a:ln>
                  </pic:spPr>
                </pic:pic>
              </a:graphicData>
            </a:graphic>
          </wp:inline>
        </w:drawing>
      </w:r>
    </w:p>
    <w:p w14:paraId="5D82CB16" w14:textId="77777777" w:rsidR="00EC79BD" w:rsidRPr="000C17EB" w:rsidRDefault="00EC79BD" w:rsidP="00EC79BD">
      <w:pPr>
        <w:pStyle w:val="Normal4"/>
        <w:numPr>
          <w:ilvl w:val="3"/>
          <w:numId w:val="95"/>
        </w:numPr>
        <w:spacing w:before="0" w:beforeAutospacing="0" w:after="0" w:afterAutospacing="0"/>
        <w:rPr>
          <w:rFonts w:asciiTheme="minorHAnsi" w:hAnsiTheme="minorHAnsi" w:cs="Calibri"/>
          <w:color w:val="404040"/>
        </w:rPr>
      </w:pPr>
      <w:r w:rsidRPr="00EB0270">
        <w:rPr>
          <w:rFonts w:asciiTheme="minorHAnsi" w:eastAsiaTheme="majorEastAsia" w:hAnsiTheme="minorHAnsi" w:cs="Calibri"/>
        </w:rPr>
        <w:t>Psykologermottobak.org</w:t>
      </w:r>
      <w:r w:rsidRPr="000C17EB">
        <w:rPr>
          <w:rFonts w:asciiTheme="minorHAnsi" w:hAnsiTheme="minorHAnsi" w:cs="Calibri"/>
          <w:noProof/>
          <w:color w:val="404040"/>
        </w:rPr>
        <w:drawing>
          <wp:inline distT="0" distB="0" distL="0" distR="0" wp14:anchorId="51298B3F" wp14:editId="41CFC2AF">
            <wp:extent cx="106680" cy="95250"/>
            <wp:effectExtent l="0" t="0" r="7620" b="0"/>
            <wp:docPr id="1200761883" name="Bildobjekt 1200761883">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37"/>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95250"/>
                    </a:xfrm>
                    <a:prstGeom prst="rect">
                      <a:avLst/>
                    </a:prstGeom>
                    <a:noFill/>
                    <a:ln>
                      <a:noFill/>
                    </a:ln>
                  </pic:spPr>
                </pic:pic>
              </a:graphicData>
            </a:graphic>
          </wp:inline>
        </w:drawing>
      </w:r>
      <w:r w:rsidRPr="000C17EB">
        <w:rPr>
          <w:rFonts w:asciiTheme="minorHAnsi" w:hAnsiTheme="minorHAnsi" w:cs="Calibri"/>
          <w:color w:val="404040"/>
        </w:rPr>
        <w:t xml:space="preserve"> </w:t>
      </w:r>
    </w:p>
    <w:p w14:paraId="7DB6056C" w14:textId="77777777" w:rsidR="00EC79BD" w:rsidRPr="000C17EB" w:rsidRDefault="00EC79BD" w:rsidP="00EC79BD">
      <w:pPr>
        <w:pStyle w:val="Normal4"/>
        <w:numPr>
          <w:ilvl w:val="3"/>
          <w:numId w:val="95"/>
        </w:numPr>
        <w:spacing w:before="0" w:beforeAutospacing="0" w:after="0" w:afterAutospacing="0"/>
        <w:rPr>
          <w:rFonts w:asciiTheme="minorHAnsi" w:hAnsiTheme="minorHAnsi" w:cs="Calibri"/>
          <w:color w:val="404040"/>
        </w:rPr>
      </w:pPr>
      <w:r w:rsidRPr="00EB0270">
        <w:rPr>
          <w:rFonts w:asciiTheme="minorHAnsi" w:eastAsiaTheme="majorEastAsia" w:hAnsiTheme="minorHAnsi" w:cs="Calibri"/>
        </w:rPr>
        <w:t>Umo.se</w:t>
      </w:r>
      <w:r w:rsidRPr="000C17EB">
        <w:rPr>
          <w:rFonts w:asciiTheme="minorHAnsi" w:hAnsiTheme="minorHAnsi" w:cs="Calibri"/>
          <w:noProof/>
          <w:color w:val="404040"/>
        </w:rPr>
        <w:drawing>
          <wp:inline distT="0" distB="0" distL="0" distR="0" wp14:anchorId="5A6C8266" wp14:editId="0FD36032">
            <wp:extent cx="106680" cy="95250"/>
            <wp:effectExtent l="0" t="0" r="7620" b="0"/>
            <wp:docPr id="1200761884" name="Bildobjekt 1200761884">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a:hlinkClick r:id="rId38"/>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95250"/>
                    </a:xfrm>
                    <a:prstGeom prst="rect">
                      <a:avLst/>
                    </a:prstGeom>
                    <a:noFill/>
                    <a:ln>
                      <a:noFill/>
                    </a:ln>
                  </pic:spPr>
                </pic:pic>
              </a:graphicData>
            </a:graphic>
          </wp:inline>
        </w:drawing>
      </w:r>
      <w:r w:rsidRPr="000C17EB">
        <w:rPr>
          <w:rFonts w:asciiTheme="minorHAnsi" w:hAnsiTheme="minorHAnsi" w:cs="Calibri"/>
          <w:color w:val="404040"/>
        </w:rPr>
        <w:t xml:space="preserve"> för ungdomar</w:t>
      </w:r>
    </w:p>
    <w:p w14:paraId="4AFAF8CB" w14:textId="77777777" w:rsidR="00EC79BD" w:rsidRPr="004C1CE8" w:rsidRDefault="00EC79BD" w:rsidP="00EC79BD">
      <w:pPr>
        <w:pStyle w:val="Normal4"/>
        <w:numPr>
          <w:ilvl w:val="3"/>
          <w:numId w:val="95"/>
        </w:numPr>
        <w:spacing w:before="0" w:beforeAutospacing="0" w:after="120" w:afterAutospacing="0" w:line="260" w:lineRule="atLeast"/>
        <w:rPr>
          <w:rFonts w:asciiTheme="minorHAnsi" w:hAnsiTheme="minorHAnsi" w:cs="Calibri"/>
          <w:color w:val="404040"/>
        </w:rPr>
      </w:pPr>
      <w:r w:rsidRPr="004C1CE8">
        <w:rPr>
          <w:rFonts w:asciiTheme="minorHAnsi" w:hAnsiTheme="minorHAnsi" w:cs="Calibri"/>
          <w:color w:val="404040"/>
        </w:rPr>
        <w:t xml:space="preserve">Rökstopp inför kirurgi minskar förekomsten av postoperativa komplikationer, remiss kan skrivas till Tobaksfria operationsenheten inför planerad operation  </w:t>
      </w:r>
    </w:p>
    <w:p w14:paraId="192767A1" w14:textId="77777777" w:rsidR="00EC79BD" w:rsidRPr="009476C2" w:rsidRDefault="00EC79BD" w:rsidP="00EC79BD">
      <w:pPr>
        <w:pStyle w:val="Rubrik3"/>
      </w:pPr>
      <w:bookmarkStart w:id="70" w:name="_KÄLLOR"/>
      <w:bookmarkStart w:id="71" w:name="_EVIDENS_LÄKEMEDELSBEHANDLING_ASTMA"/>
      <w:bookmarkEnd w:id="70"/>
      <w:bookmarkEnd w:id="71"/>
      <w:r>
        <w:t>Evidens läkemedelsbehandling</w:t>
      </w:r>
    </w:p>
    <w:p w14:paraId="17BF43D6" w14:textId="77777777" w:rsidR="00EC79BD" w:rsidRPr="009476C2" w:rsidRDefault="00EC79BD" w:rsidP="00EC79BD">
      <w:pPr>
        <w:pStyle w:val="Rubrik3"/>
        <w:rPr>
          <w:rStyle w:val="Stark"/>
          <w:rFonts w:asciiTheme="minorHAnsi" w:hAnsiTheme="minorHAnsi" w:cs="Calibri"/>
          <w:b/>
          <w:bCs w:val="0"/>
          <w:szCs w:val="24"/>
        </w:rPr>
      </w:pPr>
      <w:r w:rsidRPr="009476C2">
        <w:rPr>
          <w:rStyle w:val="Stark"/>
          <w:rFonts w:asciiTheme="minorHAnsi" w:hAnsiTheme="minorHAnsi" w:cs="Calibri"/>
          <w:b/>
          <w:bCs w:val="0"/>
          <w:szCs w:val="24"/>
        </w:rPr>
        <w:t>Astma</w:t>
      </w:r>
    </w:p>
    <w:p w14:paraId="1F9A3300" w14:textId="77777777" w:rsidR="00EC79BD" w:rsidRPr="00C63DF2" w:rsidRDefault="00EC79BD" w:rsidP="00EC79BD"/>
    <w:p w14:paraId="79A33AB3" w14:textId="77777777" w:rsidR="00EC79BD" w:rsidRPr="009476C2" w:rsidRDefault="00EC79BD" w:rsidP="00EC79BD">
      <w:pPr>
        <w:pStyle w:val="Normal4"/>
        <w:numPr>
          <w:ilvl w:val="0"/>
          <w:numId w:val="96"/>
        </w:numPr>
        <w:spacing w:before="0" w:beforeAutospacing="0" w:after="0" w:afterAutospacing="0"/>
        <w:rPr>
          <w:rStyle w:val="Stark"/>
          <w:rFonts w:asciiTheme="minorHAnsi" w:eastAsiaTheme="majorEastAsia" w:hAnsiTheme="minorHAnsi" w:cs="Calibri"/>
          <w:b w:val="0"/>
          <w:bCs/>
          <w:lang w:eastAsia="en-US"/>
        </w:rPr>
      </w:pPr>
      <w:r w:rsidRPr="009476C2">
        <w:rPr>
          <w:rStyle w:val="Stark"/>
          <w:rFonts w:asciiTheme="minorHAnsi" w:eastAsiaTheme="majorEastAsia" w:hAnsiTheme="minorHAnsi" w:cs="Calibri"/>
          <w:b w:val="0"/>
          <w:bCs/>
          <w:lang w:eastAsia="en-US"/>
        </w:rPr>
        <w:t xml:space="preserve">Lågdos </w:t>
      </w:r>
      <w:hyperlink w:anchor="_ORDLISTA" w:history="1">
        <w:r w:rsidRPr="009476C2">
          <w:rPr>
            <w:rStyle w:val="Hyperlnk"/>
            <w:rFonts w:asciiTheme="minorHAnsi" w:eastAsiaTheme="majorEastAsia" w:hAnsiTheme="minorHAnsi" w:cs="Calibri"/>
            <w:bCs/>
            <w:color w:val="B46400" w:themeColor="accent6" w:themeShade="BF"/>
            <w:lang w:eastAsia="en-US"/>
          </w:rPr>
          <w:t>ICS</w:t>
        </w:r>
      </w:hyperlink>
      <w:r w:rsidRPr="009476C2">
        <w:rPr>
          <w:rStyle w:val="Stark"/>
          <w:rFonts w:asciiTheme="minorHAnsi" w:eastAsiaTheme="majorEastAsia" w:hAnsiTheme="minorHAnsi" w:cs="Calibri"/>
          <w:b w:val="0"/>
          <w:bCs/>
          <w:lang w:eastAsia="en-US"/>
        </w:rPr>
        <w:t xml:space="preserve"> + </w:t>
      </w:r>
      <w:hyperlink w:anchor="_ORDLISTA" w:history="1">
        <w:r w:rsidRPr="009476C2">
          <w:rPr>
            <w:rStyle w:val="Hyperlnk"/>
            <w:rFonts w:asciiTheme="minorHAnsi" w:eastAsiaTheme="majorEastAsia" w:hAnsiTheme="minorHAnsi" w:cs="Calibri"/>
            <w:bCs/>
            <w:color w:val="B46400" w:themeColor="accent6" w:themeShade="BF"/>
            <w:lang w:eastAsia="en-US"/>
          </w:rPr>
          <w:t>FABA</w:t>
        </w:r>
      </w:hyperlink>
      <w:r w:rsidRPr="009476C2">
        <w:rPr>
          <w:rStyle w:val="Stark"/>
          <w:rFonts w:asciiTheme="minorHAnsi" w:eastAsiaTheme="majorEastAsia" w:hAnsiTheme="minorHAnsi" w:cs="Calibri"/>
          <w:b w:val="0"/>
          <w:bCs/>
          <w:lang w:eastAsia="en-US"/>
        </w:rPr>
        <w:t xml:space="preserve"> vid behov minskar risken för allvarliga exacerbationer i jämförelse med enbart </w:t>
      </w:r>
      <w:hyperlink w:anchor="_ORDLISTA" w:history="1">
        <w:r w:rsidRPr="009476C2">
          <w:rPr>
            <w:rStyle w:val="Hyperlnk"/>
            <w:rFonts w:asciiTheme="minorHAnsi" w:eastAsiaTheme="majorEastAsia" w:hAnsiTheme="minorHAnsi" w:cs="Calibri"/>
            <w:bCs/>
            <w:color w:val="B46400" w:themeColor="accent6" w:themeShade="BF"/>
            <w:lang w:eastAsia="en-US"/>
          </w:rPr>
          <w:t>SABA</w:t>
        </w:r>
      </w:hyperlink>
      <w:r w:rsidRPr="009476C2">
        <w:rPr>
          <w:rStyle w:val="Stark"/>
          <w:rFonts w:asciiTheme="minorHAnsi" w:eastAsiaTheme="majorEastAsia" w:hAnsiTheme="minorHAnsi" w:cs="Calibri"/>
          <w:b w:val="0"/>
          <w:bCs/>
          <w:lang w:eastAsia="en-US"/>
        </w:rPr>
        <w:t xml:space="preserve"> vid behov </w:t>
      </w:r>
    </w:p>
    <w:p w14:paraId="060FCB9C" w14:textId="77777777" w:rsidR="00EC79BD" w:rsidRPr="009476C2" w:rsidRDefault="00EC79BD" w:rsidP="00EC79BD">
      <w:pPr>
        <w:pStyle w:val="Normal4"/>
        <w:numPr>
          <w:ilvl w:val="0"/>
          <w:numId w:val="96"/>
        </w:numPr>
        <w:spacing w:before="0" w:beforeAutospacing="0" w:after="0" w:afterAutospacing="0"/>
        <w:rPr>
          <w:rStyle w:val="Stark"/>
          <w:rFonts w:asciiTheme="minorHAnsi" w:eastAsiaTheme="majorEastAsia" w:hAnsiTheme="minorHAnsi" w:cs="Calibri"/>
          <w:b w:val="0"/>
          <w:bCs/>
          <w:lang w:eastAsia="en-US"/>
        </w:rPr>
      </w:pPr>
      <w:r w:rsidRPr="009476C2">
        <w:rPr>
          <w:rStyle w:val="Stark"/>
          <w:rFonts w:asciiTheme="minorHAnsi" w:eastAsiaTheme="majorEastAsia" w:hAnsiTheme="minorHAnsi" w:cs="Calibri"/>
          <w:b w:val="0"/>
          <w:bCs/>
          <w:lang w:eastAsia="en-US"/>
        </w:rPr>
        <w:t xml:space="preserve">Låg-medelhög dos ICS dagligen minskar risken för allvarliga exacerbationer, sjukhusinläggningar och mortalitet. Det minskar även symptom och träningsutlöst bronkkonstriktion </w:t>
      </w:r>
    </w:p>
    <w:p w14:paraId="2702C669" w14:textId="77777777" w:rsidR="00EC79BD" w:rsidRPr="009476C2" w:rsidRDefault="00EC79BD" w:rsidP="00EC79BD">
      <w:pPr>
        <w:pStyle w:val="Normal4"/>
        <w:numPr>
          <w:ilvl w:val="0"/>
          <w:numId w:val="96"/>
        </w:numPr>
        <w:spacing w:before="0" w:beforeAutospacing="0" w:after="0" w:afterAutospacing="0"/>
        <w:rPr>
          <w:rStyle w:val="Stark"/>
          <w:rFonts w:asciiTheme="minorHAnsi" w:eastAsiaTheme="majorEastAsia" w:hAnsiTheme="minorHAnsi" w:cs="Calibri"/>
          <w:b w:val="0"/>
          <w:bCs/>
          <w:lang w:eastAsia="en-US"/>
        </w:rPr>
      </w:pPr>
      <w:r w:rsidRPr="009476C2">
        <w:rPr>
          <w:rStyle w:val="Stark"/>
          <w:rFonts w:asciiTheme="minorHAnsi" w:eastAsiaTheme="majorEastAsia" w:hAnsiTheme="minorHAnsi" w:cs="Calibri"/>
          <w:b w:val="0"/>
          <w:bCs/>
          <w:lang w:eastAsia="en-US"/>
        </w:rPr>
        <w:t xml:space="preserve">ICS + </w:t>
      </w:r>
      <w:hyperlink w:anchor="_ORDLISTA" w:history="1">
        <w:r w:rsidRPr="009476C2">
          <w:rPr>
            <w:rStyle w:val="Hyperlnk"/>
            <w:rFonts w:asciiTheme="minorHAnsi" w:eastAsiaTheme="majorEastAsia" w:hAnsiTheme="minorHAnsi" w:cs="Calibri"/>
            <w:bCs/>
            <w:color w:val="B46400" w:themeColor="accent6" w:themeShade="BF"/>
            <w:lang w:eastAsia="en-US"/>
          </w:rPr>
          <w:t>LABA</w:t>
        </w:r>
      </w:hyperlink>
      <w:r w:rsidRPr="009476C2">
        <w:rPr>
          <w:rStyle w:val="Stark"/>
          <w:rFonts w:asciiTheme="minorHAnsi" w:eastAsiaTheme="majorEastAsia" w:hAnsiTheme="minorHAnsi" w:cs="Calibri"/>
          <w:b w:val="0"/>
          <w:bCs/>
          <w:lang w:eastAsia="en-US"/>
        </w:rPr>
        <w:t xml:space="preserve"> ger ökad symptomkontroll, förbättrad lungfunktion och minskad risk för exacerbationer i jämförelse med enbart ICS </w:t>
      </w:r>
    </w:p>
    <w:p w14:paraId="30828077" w14:textId="77777777" w:rsidR="00EC79BD" w:rsidRPr="009476C2" w:rsidRDefault="00EC79BD" w:rsidP="00EC79BD">
      <w:pPr>
        <w:pStyle w:val="Normal4"/>
        <w:numPr>
          <w:ilvl w:val="0"/>
          <w:numId w:val="96"/>
        </w:numPr>
        <w:spacing w:before="0" w:beforeAutospacing="0" w:after="0" w:afterAutospacing="0"/>
        <w:rPr>
          <w:rStyle w:val="Stark"/>
          <w:rFonts w:asciiTheme="minorHAnsi" w:eastAsiaTheme="majorEastAsia" w:hAnsiTheme="minorHAnsi" w:cs="Calibri"/>
          <w:b w:val="0"/>
          <w:bCs/>
          <w:lang w:eastAsia="en-US"/>
        </w:rPr>
      </w:pPr>
      <w:r w:rsidRPr="009476C2">
        <w:rPr>
          <w:rStyle w:val="Stark"/>
          <w:rFonts w:asciiTheme="minorHAnsi" w:eastAsiaTheme="majorEastAsia" w:hAnsiTheme="minorHAnsi" w:cs="Calibri"/>
          <w:b w:val="0"/>
          <w:bCs/>
          <w:lang w:eastAsia="en-US"/>
        </w:rPr>
        <w:t xml:space="preserve">Hög-dos ICS bidrar enbart lite till effekten men ökar risken för biverkningar. Hög-dos ICS ska därför enbart ges under en kortare period (3-6 månader) </w:t>
      </w:r>
    </w:p>
    <w:p w14:paraId="1987124D" w14:textId="77777777" w:rsidR="00EC79BD" w:rsidRPr="009476C2" w:rsidRDefault="00EC79BD" w:rsidP="00EC79BD">
      <w:pPr>
        <w:pStyle w:val="Normal4"/>
        <w:numPr>
          <w:ilvl w:val="0"/>
          <w:numId w:val="96"/>
        </w:numPr>
        <w:spacing w:before="0" w:beforeAutospacing="0" w:after="0" w:afterAutospacing="0"/>
        <w:rPr>
          <w:rStyle w:val="Stark"/>
          <w:rFonts w:asciiTheme="minorHAnsi" w:eastAsiaTheme="majorEastAsia" w:hAnsiTheme="minorHAnsi" w:cs="Calibri"/>
          <w:b w:val="0"/>
          <w:bCs/>
          <w:lang w:eastAsia="en-US"/>
        </w:rPr>
      </w:pPr>
      <w:r w:rsidRPr="009476C2">
        <w:rPr>
          <w:rStyle w:val="Stark"/>
          <w:rFonts w:asciiTheme="minorHAnsi" w:eastAsiaTheme="majorEastAsia" w:hAnsiTheme="minorHAnsi" w:cs="Calibri"/>
          <w:b w:val="0"/>
          <w:bCs/>
          <w:lang w:eastAsia="en-US"/>
        </w:rPr>
        <w:t>Tillägg av LAMA till medium-högdos ICS+LABA kan man få en måttlig förbättring av lungfunktionen men ingen effekt på symptom</w:t>
      </w:r>
      <w:r w:rsidRPr="009476C2">
        <w:rPr>
          <w:rStyle w:val="Stark"/>
          <w:rFonts w:asciiTheme="minorHAnsi" w:eastAsiaTheme="majorEastAsia" w:hAnsiTheme="minorHAnsi" w:cs="Calibri"/>
          <w:b w:val="0"/>
          <w:bCs/>
          <w:lang w:eastAsia="en-US"/>
        </w:rPr>
        <w:br/>
        <w:t xml:space="preserve">Innan tillägg av LAMA bör ICS dosen höjas där en </w:t>
      </w:r>
      <w:r w:rsidRPr="009476C2">
        <w:rPr>
          <w:rFonts w:asciiTheme="minorHAnsi" w:eastAsiaTheme="majorEastAsia" w:hAnsiTheme="minorHAnsi" w:cs="Calibri"/>
          <w:bCs/>
          <w:lang w:eastAsia="en-US"/>
        </w:rPr>
        <w:t>studie</w:t>
      </w:r>
      <w:r w:rsidRPr="009476C2">
        <w:rPr>
          <w:rStyle w:val="Stark"/>
          <w:rFonts w:asciiTheme="minorHAnsi" w:eastAsiaTheme="majorEastAsia" w:hAnsiTheme="minorHAnsi" w:cs="Calibri"/>
          <w:b w:val="0"/>
          <w:bCs/>
          <w:lang w:eastAsia="en-US"/>
        </w:rPr>
        <w:t xml:space="preserve"> har visat att högdos ICS+LABA gav bättre exacerbationsförebyggande effekt än låg-medelhögdos ICS+LABA+LAMA</w:t>
      </w:r>
    </w:p>
    <w:p w14:paraId="6DD5C8DF" w14:textId="77777777" w:rsidR="00EC79BD" w:rsidRPr="009476C2" w:rsidRDefault="00EC79BD" w:rsidP="00EC79BD">
      <w:pPr>
        <w:pStyle w:val="Rubrik3"/>
        <w:rPr>
          <w:rStyle w:val="Stark"/>
          <w:rFonts w:asciiTheme="minorHAnsi" w:hAnsiTheme="minorHAnsi"/>
          <w:b/>
          <w:bCs w:val="0"/>
          <w:szCs w:val="24"/>
        </w:rPr>
      </w:pPr>
      <w:bookmarkStart w:id="72" w:name="_EVIDENS_LÄKEMEDELSBEHANDLING_KOL"/>
      <w:bookmarkEnd w:id="72"/>
      <w:r w:rsidRPr="009476C2">
        <w:rPr>
          <w:rStyle w:val="Stark"/>
          <w:rFonts w:asciiTheme="minorHAnsi" w:hAnsiTheme="minorHAnsi"/>
          <w:b/>
          <w:bCs w:val="0"/>
          <w:szCs w:val="24"/>
        </w:rPr>
        <w:t>KOL</w:t>
      </w:r>
    </w:p>
    <w:p w14:paraId="3D87F5FE" w14:textId="77777777" w:rsidR="00EC79BD" w:rsidRPr="00C63DF2" w:rsidRDefault="00EC79BD" w:rsidP="00EC79BD"/>
    <w:p w14:paraId="23F4E92B" w14:textId="77777777" w:rsidR="00EC79BD" w:rsidRPr="000C17EB" w:rsidRDefault="00EC79BD" w:rsidP="00EC79BD">
      <w:pPr>
        <w:pStyle w:val="Normal4"/>
        <w:numPr>
          <w:ilvl w:val="0"/>
          <w:numId w:val="97"/>
        </w:numPr>
        <w:spacing w:before="0" w:beforeAutospacing="0" w:after="0" w:afterAutospacing="0"/>
        <w:rPr>
          <w:rFonts w:asciiTheme="minorHAnsi" w:eastAsiaTheme="majorEastAsia" w:hAnsiTheme="minorHAnsi"/>
          <w:bCs/>
          <w:iCs/>
          <w:lang w:eastAsia="en-US"/>
        </w:rPr>
      </w:pPr>
      <w:r w:rsidRPr="000C17EB">
        <w:rPr>
          <w:rFonts w:asciiTheme="minorHAnsi" w:eastAsiaTheme="majorEastAsia" w:hAnsiTheme="minorHAnsi"/>
          <w:bCs/>
          <w:iCs/>
          <w:lang w:eastAsia="en-US"/>
        </w:rPr>
        <w:t xml:space="preserve">Vid tillägg av ICS till LAMA och LABA finns evidens för att lungfunktionen ökar och att symptomen och antal exacerbationer minskar i jämförelse med enbart LABA+LAMA, LABA+ICS eller LAMA  </w:t>
      </w:r>
    </w:p>
    <w:p w14:paraId="05A1CC93" w14:textId="77777777" w:rsidR="00EC79BD" w:rsidRPr="00C63DF2" w:rsidRDefault="00EC79BD" w:rsidP="00EC79BD">
      <w:pPr>
        <w:pStyle w:val="Normal4"/>
        <w:numPr>
          <w:ilvl w:val="0"/>
          <w:numId w:val="97"/>
        </w:numPr>
        <w:spacing w:before="0" w:beforeAutospacing="0" w:after="0" w:afterAutospacing="0"/>
        <w:rPr>
          <w:rFonts w:asciiTheme="minorHAnsi" w:eastAsiaTheme="majorEastAsia" w:hAnsiTheme="minorHAnsi"/>
          <w:bCs/>
          <w:iCs/>
          <w:lang w:eastAsia="en-US"/>
        </w:rPr>
      </w:pPr>
      <w:r w:rsidRPr="000C17EB">
        <w:rPr>
          <w:rFonts w:asciiTheme="minorHAnsi" w:eastAsiaTheme="majorEastAsia" w:hAnsiTheme="minorHAnsi"/>
          <w:bCs/>
          <w:iCs/>
          <w:lang w:eastAsia="en-US"/>
        </w:rPr>
        <w:t>Vid jämförelse mellan olika trippelbehandlingar finns det inte tillräckligt med evidens för att avgöra om någon är bättre eller sämre, fler jämförande studier behöver genomföras</w:t>
      </w:r>
    </w:p>
    <w:p w14:paraId="2B31CE7D" w14:textId="77777777" w:rsidR="00EC79BD" w:rsidRPr="000C17EB" w:rsidRDefault="00EC79BD" w:rsidP="00EC79BD">
      <w:pPr>
        <w:pStyle w:val="Normal4"/>
        <w:numPr>
          <w:ilvl w:val="0"/>
          <w:numId w:val="97"/>
        </w:numPr>
        <w:spacing w:before="0" w:beforeAutospacing="0" w:after="0" w:afterAutospacing="0"/>
        <w:rPr>
          <w:rFonts w:asciiTheme="minorHAnsi" w:eastAsiaTheme="majorEastAsia" w:hAnsiTheme="minorHAnsi"/>
          <w:bCs/>
          <w:iCs/>
          <w:lang w:eastAsia="en-US"/>
        </w:rPr>
      </w:pPr>
      <w:r w:rsidRPr="000C17EB">
        <w:rPr>
          <w:rFonts w:asciiTheme="minorHAnsi" w:eastAsiaTheme="majorEastAsia" w:hAnsiTheme="minorHAnsi"/>
          <w:bCs/>
          <w:iCs/>
          <w:lang w:eastAsia="en-US"/>
        </w:rPr>
        <w:t xml:space="preserve">Samtliga läkemedelsgrupper förbättrar FEV1 </w:t>
      </w:r>
    </w:p>
    <w:p w14:paraId="30CB55E5" w14:textId="77777777" w:rsidR="00EC79BD" w:rsidRPr="000C17EB" w:rsidRDefault="00EC79BD" w:rsidP="00EC79BD">
      <w:pPr>
        <w:pStyle w:val="Normal4"/>
        <w:numPr>
          <w:ilvl w:val="0"/>
          <w:numId w:val="97"/>
        </w:numPr>
        <w:spacing w:before="0" w:beforeAutospacing="0" w:after="0" w:afterAutospacing="0"/>
        <w:rPr>
          <w:rFonts w:asciiTheme="minorHAnsi" w:eastAsiaTheme="majorEastAsia" w:hAnsiTheme="minorHAnsi"/>
          <w:bCs/>
          <w:iCs/>
          <w:lang w:eastAsia="en-US"/>
        </w:rPr>
      </w:pPr>
      <w:r w:rsidRPr="000C17EB">
        <w:rPr>
          <w:rFonts w:asciiTheme="minorHAnsi" w:eastAsiaTheme="majorEastAsia" w:hAnsiTheme="minorHAnsi"/>
          <w:bCs/>
          <w:iCs/>
          <w:lang w:eastAsia="en-US"/>
        </w:rPr>
        <w:t xml:space="preserve">LABA och SABA har plana dos-responskurvor vilket innebär att för stabila patienter hjälper det oftast inte så mycket att enbart höja dosen av LABA/SABA vid försämring av sjukdomen </w:t>
      </w:r>
    </w:p>
    <w:p w14:paraId="03AB0CC9" w14:textId="77777777" w:rsidR="00EC79BD" w:rsidRPr="000C17EB" w:rsidRDefault="00EC79BD" w:rsidP="00EC79BD">
      <w:pPr>
        <w:pStyle w:val="Normal4"/>
        <w:numPr>
          <w:ilvl w:val="0"/>
          <w:numId w:val="97"/>
        </w:numPr>
        <w:spacing w:before="0" w:beforeAutospacing="0" w:after="0" w:afterAutospacing="0"/>
        <w:rPr>
          <w:rFonts w:asciiTheme="minorHAnsi" w:eastAsiaTheme="majorEastAsia" w:hAnsiTheme="minorHAnsi"/>
          <w:bCs/>
          <w:iCs/>
          <w:lang w:eastAsia="en-US"/>
        </w:rPr>
      </w:pPr>
      <w:r w:rsidRPr="000C17EB">
        <w:rPr>
          <w:rFonts w:asciiTheme="minorHAnsi" w:eastAsiaTheme="majorEastAsia" w:hAnsiTheme="minorHAnsi"/>
          <w:bCs/>
          <w:iCs/>
          <w:lang w:eastAsia="en-US"/>
        </w:rPr>
        <w:t>LABA förbättrar FEV1, minskar antalet exacerbationer och sjukhusinläggningar</w:t>
      </w:r>
    </w:p>
    <w:p w14:paraId="54161F49" w14:textId="77777777" w:rsidR="00EC79BD" w:rsidRPr="000C17EB" w:rsidRDefault="00EC79BD" w:rsidP="00EC79BD">
      <w:pPr>
        <w:pStyle w:val="Normal4"/>
        <w:numPr>
          <w:ilvl w:val="0"/>
          <w:numId w:val="97"/>
        </w:numPr>
        <w:spacing w:before="0" w:beforeAutospacing="0" w:after="0" w:afterAutospacing="0"/>
        <w:rPr>
          <w:rFonts w:asciiTheme="minorHAnsi" w:eastAsiaTheme="majorEastAsia" w:hAnsiTheme="minorHAnsi"/>
          <w:bCs/>
          <w:iCs/>
          <w:lang w:eastAsia="en-US"/>
        </w:rPr>
      </w:pPr>
      <w:r w:rsidRPr="000C17EB">
        <w:rPr>
          <w:rFonts w:asciiTheme="minorHAnsi" w:eastAsiaTheme="majorEastAsia" w:hAnsiTheme="minorHAnsi"/>
          <w:bCs/>
          <w:iCs/>
          <w:lang w:eastAsia="en-US"/>
        </w:rPr>
        <w:t>LAMA förbättrar FEV1, minskar antal sjukhusinläggningar och förbättrar symptom</w:t>
      </w:r>
    </w:p>
    <w:p w14:paraId="6FBB0A0F" w14:textId="77777777" w:rsidR="00EC79BD" w:rsidRPr="000C17EB" w:rsidRDefault="00EC79BD" w:rsidP="00EC79BD">
      <w:pPr>
        <w:pStyle w:val="Normal4"/>
        <w:numPr>
          <w:ilvl w:val="0"/>
          <w:numId w:val="97"/>
        </w:numPr>
        <w:spacing w:before="0" w:beforeAutospacing="0" w:after="0" w:afterAutospacing="0"/>
        <w:rPr>
          <w:rFonts w:asciiTheme="minorHAnsi" w:eastAsiaTheme="majorEastAsia" w:hAnsiTheme="minorHAnsi"/>
          <w:bCs/>
          <w:iCs/>
          <w:lang w:eastAsia="en-US"/>
        </w:rPr>
      </w:pPr>
      <w:r w:rsidRPr="000C17EB">
        <w:rPr>
          <w:rFonts w:asciiTheme="minorHAnsi" w:eastAsiaTheme="majorEastAsia" w:hAnsiTheme="minorHAnsi"/>
          <w:bCs/>
          <w:iCs/>
          <w:lang w:eastAsia="en-US"/>
        </w:rPr>
        <w:t>LABA har bättre effekt på dyspné än LAMA, men LAMA har bättre effekt på att förebygga exacerbationer</w:t>
      </w:r>
    </w:p>
    <w:p w14:paraId="757DD9C8" w14:textId="77777777" w:rsidR="00EC79BD" w:rsidRPr="000C17EB" w:rsidRDefault="00EC79BD" w:rsidP="00EC79BD">
      <w:pPr>
        <w:pStyle w:val="Normal4"/>
        <w:numPr>
          <w:ilvl w:val="0"/>
          <w:numId w:val="97"/>
        </w:numPr>
        <w:spacing w:before="0" w:beforeAutospacing="0" w:after="0" w:afterAutospacing="0"/>
        <w:rPr>
          <w:rFonts w:asciiTheme="minorHAnsi" w:eastAsiaTheme="majorEastAsia" w:hAnsiTheme="minorHAnsi"/>
          <w:bCs/>
          <w:iCs/>
          <w:lang w:eastAsia="en-US"/>
        </w:rPr>
      </w:pPr>
      <w:r w:rsidRPr="000C17EB">
        <w:rPr>
          <w:rFonts w:asciiTheme="minorHAnsi" w:eastAsiaTheme="majorEastAsia" w:hAnsiTheme="minorHAnsi"/>
          <w:bCs/>
          <w:iCs/>
          <w:lang w:eastAsia="en-US"/>
        </w:rPr>
        <w:t>Kombinationen LABA och LAMA minskar symptom, exacerbationer och förbättrar FEV1 i jämförelse med monoterapi av respektive</w:t>
      </w:r>
    </w:p>
    <w:p w14:paraId="7818C311" w14:textId="77777777" w:rsidR="00EC79BD" w:rsidRPr="000C17EB" w:rsidRDefault="00EC79BD" w:rsidP="00EC79BD">
      <w:pPr>
        <w:pStyle w:val="Normal4"/>
        <w:numPr>
          <w:ilvl w:val="0"/>
          <w:numId w:val="97"/>
        </w:numPr>
        <w:spacing w:before="0" w:beforeAutospacing="0" w:after="0" w:afterAutospacing="0"/>
        <w:rPr>
          <w:rFonts w:asciiTheme="minorHAnsi" w:eastAsiaTheme="majorEastAsia" w:hAnsiTheme="minorHAnsi"/>
          <w:bCs/>
          <w:iCs/>
          <w:lang w:eastAsia="en-US"/>
        </w:rPr>
      </w:pPr>
      <w:r w:rsidRPr="000C17EB">
        <w:rPr>
          <w:rFonts w:asciiTheme="minorHAnsi" w:eastAsiaTheme="majorEastAsia" w:hAnsiTheme="minorHAnsi"/>
          <w:bCs/>
          <w:iCs/>
          <w:lang w:eastAsia="en-US"/>
        </w:rPr>
        <w:t>ICS som monoterapi påverkar inte FEV1 eller mortaliteten hos KOL-patienter</w:t>
      </w:r>
    </w:p>
    <w:p w14:paraId="6900554A" w14:textId="77777777" w:rsidR="00EC79BD" w:rsidRDefault="00EC79BD" w:rsidP="00EC79BD"/>
    <w:p w14:paraId="1F2D4D76" w14:textId="3C3F865D" w:rsidR="00EC79BD" w:rsidRPr="002A27EE" w:rsidRDefault="00EC79BD" w:rsidP="002A27EE">
      <w:pPr>
        <w:tabs>
          <w:tab w:val="clear" w:pos="284"/>
        </w:tabs>
        <w:spacing w:after="120" w:line="260" w:lineRule="atLeast"/>
      </w:pPr>
      <w:r>
        <w:br w:type="page"/>
      </w:r>
      <w:hyperlink w:anchor="_KÄLLOR:" w:history="1">
        <w:r w:rsidRPr="009476C2">
          <w:rPr>
            <w:rStyle w:val="Hyperlnk"/>
            <w:rFonts w:asciiTheme="minorHAnsi" w:hAnsiTheme="minorHAnsi" w:cs="Calibri"/>
            <w:b/>
            <w:bCs/>
            <w:u w:val="none"/>
          </w:rPr>
          <w:t>Källor</w:t>
        </w:r>
      </w:hyperlink>
    </w:p>
    <w:p w14:paraId="28017844" w14:textId="77777777" w:rsidR="00EC79BD" w:rsidRPr="001F551E" w:rsidRDefault="00EC79BD" w:rsidP="00EC79BD">
      <w:pPr>
        <w:rPr>
          <w:rStyle w:val="Stark"/>
        </w:rPr>
      </w:pPr>
    </w:p>
    <w:p w14:paraId="5B6F9EB8" w14:textId="77777777" w:rsidR="00EC79BD" w:rsidRPr="000C17EB" w:rsidRDefault="00EC79BD" w:rsidP="00EC79BD">
      <w:pPr>
        <w:pStyle w:val="Normal4"/>
        <w:spacing w:before="0" w:beforeAutospacing="0" w:after="0" w:afterAutospacing="0"/>
        <w:rPr>
          <w:rStyle w:val="Hyperlnk"/>
          <w:rFonts w:asciiTheme="minorHAnsi" w:hAnsiTheme="minorHAnsi" w:cs="Calibri"/>
          <w:color w:val="00A6E2" w:themeColor="accent1"/>
        </w:rPr>
      </w:pPr>
      <w:r w:rsidRPr="004A7BCE">
        <w:rPr>
          <w:rFonts w:asciiTheme="minorHAnsi" w:hAnsiTheme="minorHAnsi" w:cs="Calibri"/>
        </w:rPr>
        <w:t>Kroniskt obstruktiv lungsjukdom (KOL) – behandlings</w:t>
      </w:r>
      <w:r w:rsidRPr="004A7BCE">
        <w:rPr>
          <w:rFonts w:asciiTheme="minorHAnsi" w:hAnsiTheme="minorHAnsi" w:cs="Calibri"/>
        </w:rPr>
        <w:softHyphen/>
        <w:t xml:space="preserve">rekommendation | </w:t>
      </w:r>
      <w:r>
        <w:rPr>
          <w:rFonts w:asciiTheme="minorHAnsi" w:hAnsiTheme="minorHAnsi" w:cs="Calibri"/>
        </w:rPr>
        <w:br/>
      </w:r>
      <w:r w:rsidRPr="004A7BCE">
        <w:rPr>
          <w:rFonts w:asciiTheme="minorHAnsi" w:hAnsiTheme="minorHAnsi" w:cs="Calibri"/>
        </w:rPr>
        <w:t>Läkemedelsverket (lakemedelsverket.se)</w:t>
      </w:r>
    </w:p>
    <w:p w14:paraId="6428E6C3" w14:textId="77777777" w:rsidR="00EC79BD" w:rsidRPr="000C17EB" w:rsidRDefault="00EC79BD" w:rsidP="00EC79BD">
      <w:pPr>
        <w:pStyle w:val="Normal4"/>
        <w:spacing w:before="0" w:beforeAutospacing="0" w:after="0" w:afterAutospacing="0"/>
        <w:rPr>
          <w:rFonts w:asciiTheme="minorHAnsi" w:hAnsiTheme="minorHAnsi" w:cs="Calibri"/>
          <w:color w:val="00A6E2" w:themeColor="accent1"/>
        </w:rPr>
      </w:pPr>
    </w:p>
    <w:p w14:paraId="1029B297" w14:textId="77777777" w:rsidR="00EC79BD" w:rsidRPr="000C17EB" w:rsidRDefault="00EC79BD" w:rsidP="00EC79BD">
      <w:pPr>
        <w:pStyle w:val="Normal4"/>
        <w:spacing w:before="0" w:beforeAutospacing="0" w:after="0" w:afterAutospacing="0"/>
        <w:rPr>
          <w:rStyle w:val="Hyperlnk"/>
          <w:rFonts w:asciiTheme="minorHAnsi" w:hAnsiTheme="minorHAnsi" w:cs="Calibri"/>
          <w:color w:val="00A6E2" w:themeColor="accent1"/>
        </w:rPr>
      </w:pPr>
      <w:r w:rsidRPr="004A7BCE">
        <w:rPr>
          <w:rFonts w:asciiTheme="minorHAnsi" w:hAnsiTheme="minorHAnsi" w:cs="Calibri"/>
        </w:rPr>
        <w:t>Astma hos barn och vuxna - behandlings</w:t>
      </w:r>
      <w:r w:rsidRPr="004A7BCE">
        <w:rPr>
          <w:rFonts w:asciiTheme="minorHAnsi" w:hAnsiTheme="minorHAnsi" w:cs="Calibri"/>
        </w:rPr>
        <w:softHyphen/>
        <w:t xml:space="preserve">rekommendation | </w:t>
      </w:r>
      <w:r>
        <w:rPr>
          <w:rFonts w:asciiTheme="minorHAnsi" w:hAnsiTheme="minorHAnsi" w:cs="Calibri"/>
        </w:rPr>
        <w:br/>
      </w:r>
      <w:r w:rsidRPr="004A7BCE">
        <w:rPr>
          <w:rFonts w:asciiTheme="minorHAnsi" w:hAnsiTheme="minorHAnsi" w:cs="Calibri"/>
        </w:rPr>
        <w:t>Läkemedelsverket (lakemedelsverket.se)</w:t>
      </w:r>
    </w:p>
    <w:p w14:paraId="2AB505FA" w14:textId="77777777" w:rsidR="00EC79BD" w:rsidRPr="000C17EB" w:rsidRDefault="00EC79BD" w:rsidP="00EC79BD">
      <w:pPr>
        <w:pStyle w:val="Normal4"/>
        <w:spacing w:before="0" w:beforeAutospacing="0" w:after="0" w:afterAutospacing="0"/>
        <w:rPr>
          <w:rStyle w:val="Hyperlnk"/>
          <w:rFonts w:asciiTheme="minorHAnsi" w:hAnsiTheme="minorHAnsi" w:cs="Calibri"/>
          <w:color w:val="00A6E2" w:themeColor="accent1"/>
        </w:rPr>
      </w:pPr>
    </w:p>
    <w:p w14:paraId="7DB3075B" w14:textId="77777777" w:rsidR="00EC79BD" w:rsidRPr="000C17EB" w:rsidRDefault="00EC79BD" w:rsidP="00EC79BD">
      <w:pPr>
        <w:pStyle w:val="Normal4"/>
        <w:spacing w:before="0" w:beforeAutospacing="0" w:after="0" w:afterAutospacing="0"/>
        <w:rPr>
          <w:rStyle w:val="Hyperlnk"/>
          <w:rFonts w:asciiTheme="minorHAnsi" w:hAnsiTheme="minorHAnsi" w:cs="Calibri"/>
          <w:color w:val="00A6E2" w:themeColor="accent1"/>
        </w:rPr>
      </w:pPr>
      <w:r w:rsidRPr="004A7BCE">
        <w:rPr>
          <w:rFonts w:asciiTheme="minorHAnsi" w:hAnsiTheme="minorHAnsi" w:cs="Calibri"/>
        </w:rPr>
        <w:t>GOLD</w:t>
      </w:r>
      <w:r w:rsidRPr="000C17EB">
        <w:rPr>
          <w:rStyle w:val="Hyperlnk"/>
          <w:rFonts w:asciiTheme="minorHAnsi" w:hAnsiTheme="minorHAnsi" w:cs="Calibri"/>
          <w:color w:val="00A6E2" w:themeColor="accent1"/>
        </w:rPr>
        <w:t xml:space="preserve"> </w:t>
      </w:r>
    </w:p>
    <w:p w14:paraId="582E2F75" w14:textId="77777777" w:rsidR="00EC79BD" w:rsidRPr="000C17EB" w:rsidRDefault="00EC79BD" w:rsidP="00EC79BD">
      <w:pPr>
        <w:pStyle w:val="Normal4"/>
        <w:spacing w:before="0" w:beforeAutospacing="0" w:after="0" w:afterAutospacing="0"/>
        <w:rPr>
          <w:rStyle w:val="Hyperlnk"/>
          <w:rFonts w:asciiTheme="minorHAnsi" w:hAnsiTheme="minorHAnsi" w:cs="Calibri"/>
          <w:color w:val="00A6E2" w:themeColor="accent1"/>
          <w:highlight w:val="yellow"/>
        </w:rPr>
      </w:pPr>
    </w:p>
    <w:p w14:paraId="7EDF9004" w14:textId="77777777" w:rsidR="00EC79BD" w:rsidRPr="000C17EB" w:rsidRDefault="00EC79BD" w:rsidP="00EC79BD">
      <w:pPr>
        <w:pStyle w:val="Normal4"/>
        <w:spacing w:before="0" w:beforeAutospacing="0" w:after="0" w:afterAutospacing="0"/>
        <w:rPr>
          <w:rStyle w:val="Hyperlnk"/>
          <w:rFonts w:asciiTheme="minorHAnsi" w:hAnsiTheme="minorHAnsi" w:cs="Calibri"/>
          <w:color w:val="00A6E2" w:themeColor="accent1"/>
        </w:rPr>
      </w:pPr>
      <w:r w:rsidRPr="004A7BCE">
        <w:rPr>
          <w:rFonts w:asciiTheme="minorHAnsi" w:hAnsiTheme="minorHAnsi" w:cs="Calibri"/>
        </w:rPr>
        <w:t>GINA</w:t>
      </w:r>
    </w:p>
    <w:p w14:paraId="61A4D499" w14:textId="77777777" w:rsidR="00EC79BD" w:rsidRPr="000C17EB" w:rsidRDefault="00EC79BD" w:rsidP="00EC79BD">
      <w:pPr>
        <w:pStyle w:val="Normal4"/>
        <w:spacing w:before="0" w:beforeAutospacing="0" w:after="0" w:afterAutospacing="0"/>
        <w:rPr>
          <w:rFonts w:asciiTheme="minorHAnsi" w:hAnsiTheme="minorHAnsi" w:cs="Calibri"/>
          <w:color w:val="00A6E2" w:themeColor="accent1"/>
        </w:rPr>
      </w:pPr>
    </w:p>
    <w:p w14:paraId="0B7CE832" w14:textId="77777777" w:rsidR="00EC79BD" w:rsidRPr="000C17EB" w:rsidRDefault="00EC79BD" w:rsidP="00EC79BD">
      <w:pPr>
        <w:pStyle w:val="Normal4"/>
        <w:spacing w:before="0" w:beforeAutospacing="0" w:after="0" w:afterAutospacing="0"/>
        <w:rPr>
          <w:rFonts w:asciiTheme="minorHAnsi" w:hAnsiTheme="minorHAnsi" w:cs="Calibri"/>
          <w:color w:val="00A6E2" w:themeColor="accent1"/>
        </w:rPr>
      </w:pPr>
      <w:r w:rsidRPr="004A7BCE">
        <w:rPr>
          <w:rFonts w:asciiTheme="minorHAnsi" w:hAnsiTheme="minorHAnsi" w:cs="Calibri"/>
        </w:rPr>
        <w:t>Barnläkarföreningen</w:t>
      </w:r>
      <w:r w:rsidRPr="000C17EB">
        <w:rPr>
          <w:rFonts w:asciiTheme="minorHAnsi" w:hAnsiTheme="minorHAnsi" w:cs="Calibri"/>
          <w:color w:val="00A6E2" w:themeColor="accent1"/>
        </w:rPr>
        <w:t xml:space="preserve"> </w:t>
      </w:r>
      <w:r w:rsidRPr="000C17EB">
        <w:rPr>
          <w:rFonts w:asciiTheme="minorHAnsi" w:hAnsiTheme="minorHAnsi" w:cs="Calibri"/>
          <w:color w:val="00A6E2" w:themeColor="accent1"/>
        </w:rPr>
        <w:br/>
      </w:r>
    </w:p>
    <w:p w14:paraId="51E48E3F" w14:textId="77777777" w:rsidR="00EC79BD" w:rsidRPr="000C17EB" w:rsidRDefault="00EC79BD" w:rsidP="00EC79BD">
      <w:pPr>
        <w:pStyle w:val="Normal4"/>
        <w:spacing w:before="0" w:beforeAutospacing="0" w:after="0" w:afterAutospacing="0"/>
        <w:rPr>
          <w:rStyle w:val="Hyperlnk"/>
          <w:rFonts w:asciiTheme="minorHAnsi" w:hAnsiTheme="minorHAnsi" w:cs="Calibri"/>
          <w:color w:val="00A6E2" w:themeColor="accent1"/>
        </w:rPr>
      </w:pPr>
      <w:r w:rsidRPr="004A7BCE">
        <w:rPr>
          <w:rFonts w:asciiTheme="minorHAnsi" w:hAnsiTheme="minorHAnsi" w:cs="Calibri"/>
        </w:rPr>
        <w:t>Svenska föreningen för allergologi</w:t>
      </w:r>
    </w:p>
    <w:p w14:paraId="4831D6AF" w14:textId="77777777" w:rsidR="00EC79BD" w:rsidRPr="000C17EB" w:rsidRDefault="00EC79BD" w:rsidP="00EC79BD">
      <w:pPr>
        <w:pStyle w:val="Normal4"/>
        <w:spacing w:before="0" w:beforeAutospacing="0" w:after="0" w:afterAutospacing="0"/>
        <w:rPr>
          <w:rFonts w:asciiTheme="minorHAnsi" w:hAnsiTheme="minorHAnsi" w:cs="Calibri"/>
          <w:color w:val="00A6E2" w:themeColor="accent1"/>
        </w:rPr>
      </w:pPr>
    </w:p>
    <w:p w14:paraId="3B05E293" w14:textId="77777777" w:rsidR="00EC79BD" w:rsidRPr="000C17EB" w:rsidRDefault="00EC79BD" w:rsidP="00EC79BD">
      <w:pPr>
        <w:pStyle w:val="Normal4"/>
        <w:spacing w:before="0" w:beforeAutospacing="0" w:after="0" w:afterAutospacing="0"/>
        <w:rPr>
          <w:rFonts w:asciiTheme="minorHAnsi" w:hAnsiTheme="minorHAnsi" w:cs="Calibri"/>
          <w:color w:val="00A6E2" w:themeColor="accent1"/>
        </w:rPr>
      </w:pPr>
      <w:r w:rsidRPr="004A7BCE">
        <w:rPr>
          <w:rFonts w:asciiTheme="minorHAnsi" w:hAnsiTheme="minorHAnsi" w:cs="Calibri"/>
        </w:rPr>
        <w:t>Vårdprogram astma – allergi</w:t>
      </w:r>
      <w:r>
        <w:rPr>
          <w:rFonts w:asciiTheme="minorHAnsi" w:hAnsiTheme="minorHAnsi" w:cs="Calibri"/>
        </w:rPr>
        <w:t xml:space="preserve">, </w:t>
      </w:r>
      <w:r w:rsidRPr="004A7BCE">
        <w:rPr>
          <w:rFonts w:asciiTheme="minorHAnsi" w:hAnsiTheme="minorHAnsi" w:cs="Calibri"/>
        </w:rPr>
        <w:t>barn och ungdomskliniken Blekinge</w:t>
      </w:r>
      <w:r w:rsidRPr="000C17EB">
        <w:rPr>
          <w:rFonts w:asciiTheme="minorHAnsi" w:hAnsiTheme="minorHAnsi" w:cs="Calibri"/>
          <w:color w:val="00A6E2" w:themeColor="accent1"/>
        </w:rPr>
        <w:t xml:space="preserve"> </w:t>
      </w:r>
      <w:r w:rsidRPr="000C17EB">
        <w:rPr>
          <w:rFonts w:asciiTheme="minorHAnsi" w:hAnsiTheme="minorHAnsi" w:cs="Calibri"/>
          <w:color w:val="000000" w:themeColor="text1"/>
        </w:rPr>
        <w:br/>
      </w:r>
    </w:p>
    <w:p w14:paraId="6BD1E390" w14:textId="77777777" w:rsidR="00EC79BD" w:rsidRDefault="00EC79BD" w:rsidP="00EC79BD">
      <w:pPr>
        <w:pStyle w:val="Normal4"/>
        <w:spacing w:before="0" w:beforeAutospacing="0" w:after="0" w:afterAutospacing="0"/>
        <w:rPr>
          <w:rFonts w:asciiTheme="minorHAnsi" w:hAnsiTheme="minorHAnsi" w:cs="Calibri"/>
        </w:rPr>
      </w:pPr>
      <w:r w:rsidRPr="004A7BCE">
        <w:rPr>
          <w:rFonts w:asciiTheme="minorHAnsi" w:hAnsiTheme="minorHAnsi" w:cs="Calibri"/>
        </w:rPr>
        <w:t>Akut-PM nära vård Blekinge</w:t>
      </w:r>
    </w:p>
    <w:p w14:paraId="6E13F40F" w14:textId="77777777" w:rsidR="00EC79BD" w:rsidRDefault="00EC79BD" w:rsidP="00EC79BD">
      <w:pPr>
        <w:pStyle w:val="Normal4"/>
        <w:spacing w:before="0" w:beforeAutospacing="0" w:after="0" w:afterAutospacing="0"/>
        <w:rPr>
          <w:rFonts w:asciiTheme="minorHAnsi" w:hAnsiTheme="minorHAnsi" w:cs="Calibri"/>
        </w:rPr>
      </w:pPr>
    </w:p>
    <w:p w14:paraId="0E86E142" w14:textId="77777777" w:rsidR="00EC79BD" w:rsidRPr="000C17EB" w:rsidRDefault="00EC79BD" w:rsidP="00EC79BD">
      <w:pPr>
        <w:pStyle w:val="Normal4"/>
        <w:spacing w:before="0" w:beforeAutospacing="0" w:after="0" w:afterAutospacing="0"/>
        <w:rPr>
          <w:rFonts w:asciiTheme="minorHAnsi" w:hAnsiTheme="minorHAnsi" w:cs="Calibri"/>
          <w:color w:val="000000" w:themeColor="text1"/>
        </w:rPr>
      </w:pPr>
      <w:r>
        <w:rPr>
          <w:rFonts w:asciiTheme="minorHAnsi" w:hAnsiTheme="minorHAnsi" w:cs="Calibri"/>
          <w:color w:val="000000" w:themeColor="text1"/>
        </w:rPr>
        <w:t xml:space="preserve">Icke göra i Socialstyrelsens nationella riktlinjer- vård som inte bör erbjudas </w:t>
      </w:r>
      <w:hyperlink r:id="rId39" w:history="1">
        <w:r w:rsidRPr="00A00720">
          <w:rPr>
            <w:rStyle w:val="Hyperlnk"/>
            <w:rFonts w:asciiTheme="minorHAnsi" w:hAnsiTheme="minorHAnsi" w:cs="Calibri"/>
          </w:rPr>
          <w:t>https://www.socialstyrelsen.se/globalassets/sharepoint-dokument/artikelkatalog/nationella-riktlinjer/2020-11-7008.pdf</w:t>
        </w:r>
      </w:hyperlink>
      <w:r>
        <w:rPr>
          <w:rFonts w:asciiTheme="minorHAnsi" w:hAnsiTheme="minorHAnsi" w:cs="Calibri"/>
          <w:color w:val="000000" w:themeColor="text1"/>
        </w:rPr>
        <w:t xml:space="preserve"> </w:t>
      </w:r>
    </w:p>
    <w:p w14:paraId="677C538D" w14:textId="77777777" w:rsidR="00EC79BD" w:rsidRPr="000C17EB" w:rsidRDefault="00EC79BD" w:rsidP="00EC79BD">
      <w:pPr>
        <w:pStyle w:val="Normal4"/>
        <w:spacing w:before="0" w:beforeAutospacing="0" w:after="0" w:afterAutospacing="0"/>
        <w:rPr>
          <w:rFonts w:asciiTheme="minorHAnsi" w:hAnsiTheme="minorHAnsi" w:cs="Calibri"/>
          <w:color w:val="00A6E2" w:themeColor="accent1"/>
        </w:rPr>
      </w:pPr>
    </w:p>
    <w:p w14:paraId="279E395E" w14:textId="77777777" w:rsidR="00EC79BD" w:rsidRPr="00BA13AD" w:rsidRDefault="00EC79BD" w:rsidP="00EC79BD">
      <w:pPr>
        <w:pStyle w:val="Normal4"/>
        <w:spacing w:before="0" w:beforeAutospacing="0" w:after="0" w:afterAutospacing="0"/>
        <w:rPr>
          <w:rFonts w:asciiTheme="minorHAnsi" w:hAnsiTheme="minorHAnsi"/>
          <w:lang w:val="en-US"/>
        </w:rPr>
      </w:pPr>
      <w:r w:rsidRPr="00BA13AD">
        <w:rPr>
          <w:rFonts w:asciiTheme="minorHAnsi" w:hAnsiTheme="minorHAnsi"/>
          <w:lang w:val="en-US"/>
        </w:rPr>
        <w:t>Efficacy and safety of once-daily single-inhaler triple therapy (FF/UMEC/VI) versus FF/VI in patients with inadequately controlled asthma (CAPTAIN): a double-blind, randomised, phase 3A trial - PubMed (nih.gov)</w:t>
      </w:r>
      <w:r>
        <w:rPr>
          <w:rFonts w:asciiTheme="minorHAnsi" w:hAnsiTheme="minorHAnsi"/>
          <w:lang w:val="en-US"/>
        </w:rPr>
        <w:br/>
      </w:r>
    </w:p>
    <w:p w14:paraId="7C0B8943" w14:textId="77777777" w:rsidR="00EC79BD" w:rsidRPr="00BA13AD" w:rsidRDefault="00EC79BD" w:rsidP="00EC79BD">
      <w:pPr>
        <w:pStyle w:val="Normal4"/>
        <w:spacing w:before="0" w:beforeAutospacing="0" w:after="240" w:afterAutospacing="0"/>
        <w:rPr>
          <w:rFonts w:asciiTheme="minorHAnsi" w:hAnsiTheme="minorHAnsi"/>
          <w:lang w:val="en-US"/>
        </w:rPr>
      </w:pPr>
      <w:r w:rsidRPr="00BA13AD">
        <w:rPr>
          <w:rFonts w:asciiTheme="minorHAnsi" w:hAnsiTheme="minorHAnsi"/>
          <w:lang w:val="en-US"/>
        </w:rPr>
        <w:t xml:space="preserve">Reduction in All-Cause Mortality with Fluticasone Furoate/Umeclidinium/ Vilanterol in Patients with Chronic Obstructive Pulmonary Disease. Am J Respir Crit Care Med. 2020 Jun 15;201(12):1508-1516 </w:t>
      </w:r>
    </w:p>
    <w:p w14:paraId="619DBF6E" w14:textId="77777777" w:rsidR="00EC79BD" w:rsidRDefault="00EC79BD" w:rsidP="00EC79BD">
      <w:pPr>
        <w:pStyle w:val="Normal4"/>
        <w:spacing w:before="0" w:beforeAutospacing="0" w:after="240" w:afterAutospacing="0"/>
        <w:rPr>
          <w:rFonts w:asciiTheme="minorHAnsi" w:hAnsiTheme="minorHAnsi"/>
        </w:rPr>
      </w:pPr>
      <w:r w:rsidRPr="00BA13AD">
        <w:rPr>
          <w:rFonts w:asciiTheme="minorHAnsi" w:hAnsiTheme="minorHAnsi"/>
          <w:lang w:val="en-US"/>
        </w:rPr>
        <w:t xml:space="preserve">Triple Inhaled Therapy at Two Glucocorticoid Doses in Moderate-to-Very-Severe COPD. </w:t>
      </w:r>
      <w:r w:rsidRPr="008C5A96">
        <w:rPr>
          <w:rFonts w:asciiTheme="minorHAnsi" w:hAnsiTheme="minorHAnsi"/>
        </w:rPr>
        <w:t>N Engl J Med. 2020 Jul 2;383(1):35-48</w:t>
      </w:r>
      <w:r>
        <w:rPr>
          <w:rFonts w:asciiTheme="minorHAnsi" w:hAnsiTheme="minorHAnsi"/>
        </w:rPr>
        <w:t>)</w:t>
      </w:r>
    </w:p>
    <w:p w14:paraId="6174AC8C" w14:textId="04845E45" w:rsidR="00EC79BD" w:rsidRPr="00702C15" w:rsidRDefault="00EC79BD" w:rsidP="00702C15">
      <w:pPr>
        <w:pStyle w:val="Normal4"/>
        <w:spacing w:before="0" w:beforeAutospacing="0" w:after="240" w:afterAutospacing="0"/>
        <w:rPr>
          <w:rFonts w:asciiTheme="minorHAnsi" w:hAnsiTheme="minorHAnsi" w:cs="Calibri"/>
          <w:b/>
          <w:bCs/>
          <w:color w:val="404040"/>
        </w:rPr>
      </w:pPr>
      <w:r w:rsidRPr="00F44954">
        <w:rPr>
          <w:rFonts w:asciiTheme="minorHAnsi" w:hAnsiTheme="minorHAnsi" w:cs="Calibri"/>
          <w:color w:val="404040"/>
          <w:lang w:val="en-GB"/>
        </w:rPr>
        <w:t xml:space="preserve">Ofori S, Lu C, Olasupo OO, et al. Cytisine for smoking cessation: A systematic review and meta-analysis. </w:t>
      </w:r>
      <w:r w:rsidRPr="00396A1D">
        <w:rPr>
          <w:rFonts w:asciiTheme="minorHAnsi" w:hAnsiTheme="minorHAnsi" w:cs="Calibri"/>
          <w:color w:val="404040"/>
          <w:lang w:val="en-GB"/>
        </w:rPr>
        <w:t xml:space="preserve">Drug Alcohol Depend. 2023 Oct 1;251:110936. </w:t>
      </w:r>
      <w:bookmarkStart w:id="73" w:name="_Toc164686702"/>
      <w:bookmarkStart w:id="74" w:name="_Hlk101247706"/>
      <w:bookmarkStart w:id="75" w:name="_Hlk225235324"/>
    </w:p>
    <w:p w14:paraId="4419A423" w14:textId="77777777" w:rsidR="00702C15" w:rsidRDefault="00702C15" w:rsidP="00EC79BD">
      <w:pPr>
        <w:pStyle w:val="Rubrik1"/>
      </w:pPr>
    </w:p>
    <w:p w14:paraId="17FA8F8A" w14:textId="77777777" w:rsidR="002A27EE" w:rsidRDefault="002A27EE" w:rsidP="00EC79BD">
      <w:pPr>
        <w:pStyle w:val="Rubrik1"/>
      </w:pPr>
    </w:p>
    <w:p w14:paraId="2E225350" w14:textId="6C126005" w:rsidR="00EC79BD" w:rsidRPr="00ED06D6" w:rsidRDefault="00EC79BD" w:rsidP="00EC79BD">
      <w:pPr>
        <w:pStyle w:val="Rubrik1"/>
      </w:pPr>
      <w:r w:rsidRPr="00700533">
        <w:t>Diabetes</w:t>
      </w:r>
      <w:bookmarkEnd w:id="73"/>
      <w:r>
        <w:t xml:space="preserve"> </w:t>
      </w:r>
      <w:r>
        <w:rPr>
          <w:sz w:val="24"/>
          <w:szCs w:val="24"/>
        </w:rPr>
        <w:br/>
      </w:r>
      <w:r w:rsidRPr="00454713">
        <w:rPr>
          <w:sz w:val="24"/>
          <w:szCs w:val="24"/>
        </w:rPr>
        <w:t xml:space="preserve">Senast uppdaterad </w:t>
      </w:r>
      <w:r>
        <w:rPr>
          <w:sz w:val="24"/>
          <w:szCs w:val="24"/>
        </w:rPr>
        <w:t>2026-04-24</w:t>
      </w:r>
    </w:p>
    <w:p w14:paraId="75E2DE34" w14:textId="77777777" w:rsidR="00EC79BD" w:rsidRPr="00454713" w:rsidRDefault="00EC79BD" w:rsidP="00EC79BD">
      <w:pPr>
        <w:pStyle w:val="Rubrik2"/>
      </w:pPr>
      <w:r w:rsidRPr="00454713">
        <w:t xml:space="preserve">Terapigruppsmedlemmar </w:t>
      </w:r>
    </w:p>
    <w:p w14:paraId="1B736F4C" w14:textId="77777777" w:rsidR="00EC79BD" w:rsidRDefault="00EC79BD" w:rsidP="00EC79BD">
      <w:pPr>
        <w:rPr>
          <w:rFonts w:eastAsia="Garamond" w:cs="Garamond"/>
          <w:sz w:val="24"/>
          <w:szCs w:val="24"/>
        </w:rPr>
      </w:pPr>
      <w:r>
        <w:rPr>
          <w:rFonts w:asciiTheme="minorHAnsi" w:eastAsia="Times New Roman" w:hAnsiTheme="minorHAnsi" w:cs="Open Sans"/>
          <w:color w:val="404040"/>
          <w:sz w:val="24"/>
          <w:szCs w:val="24"/>
          <w:lang w:eastAsia="sv-SE"/>
        </w:rPr>
        <w:t>Barbara Jasna</w:t>
      </w:r>
      <w:r w:rsidRPr="00700533">
        <w:rPr>
          <w:rFonts w:asciiTheme="minorHAnsi" w:eastAsia="Times New Roman" w:hAnsiTheme="minorHAnsi" w:cs="Open Sans"/>
          <w:color w:val="404040"/>
          <w:sz w:val="24"/>
          <w:szCs w:val="24"/>
          <w:lang w:eastAsia="sv-SE"/>
        </w:rPr>
        <w:t>, överläkare Medicinkliniken</w:t>
      </w:r>
      <w:r w:rsidRPr="00700533">
        <w:rPr>
          <w:rFonts w:asciiTheme="minorHAnsi" w:eastAsia="Times New Roman" w:hAnsiTheme="minorHAnsi" w:cs="Open Sans"/>
          <w:color w:val="404040"/>
          <w:sz w:val="24"/>
          <w:szCs w:val="24"/>
          <w:lang w:eastAsia="sv-SE"/>
        </w:rPr>
        <w:br/>
        <w:t>Bela Cseke, överläkare Medicinkliniken</w:t>
      </w:r>
      <w:r w:rsidRPr="00700533">
        <w:rPr>
          <w:rFonts w:asciiTheme="minorHAnsi" w:eastAsia="Times New Roman" w:hAnsiTheme="minorHAnsi" w:cs="Open Sans"/>
          <w:color w:val="404040"/>
          <w:sz w:val="24"/>
          <w:szCs w:val="24"/>
          <w:lang w:eastAsia="sv-SE"/>
        </w:rPr>
        <w:br/>
      </w:r>
      <w:r>
        <w:rPr>
          <w:rFonts w:asciiTheme="minorHAnsi" w:eastAsia="Times New Roman" w:hAnsiTheme="minorHAnsi" w:cs="Open Sans"/>
          <w:color w:val="404040"/>
          <w:sz w:val="24"/>
          <w:szCs w:val="24"/>
          <w:lang w:eastAsia="sv-SE"/>
        </w:rPr>
        <w:t>Kitti Barta Csekene, överläkare,</w:t>
      </w:r>
      <w:r w:rsidRPr="00700533">
        <w:rPr>
          <w:rFonts w:asciiTheme="minorHAnsi" w:eastAsia="Times New Roman" w:hAnsiTheme="minorHAnsi" w:cs="Open Sans"/>
          <w:color w:val="404040"/>
          <w:sz w:val="24"/>
          <w:szCs w:val="24"/>
          <w:lang w:eastAsia="sv-SE"/>
        </w:rPr>
        <w:t xml:space="preserve"> Medicinkliniken</w:t>
      </w:r>
      <w:r>
        <w:rPr>
          <w:rFonts w:asciiTheme="minorHAnsi" w:eastAsia="Times New Roman" w:hAnsiTheme="minorHAnsi" w:cs="Open Sans"/>
          <w:color w:val="404040"/>
          <w:sz w:val="24"/>
          <w:szCs w:val="24"/>
          <w:lang w:eastAsia="sv-SE"/>
        </w:rPr>
        <w:br/>
        <w:t>Rebecca Ruben, specialist i allmänmedicin, Jämjö vårdcentral</w:t>
      </w:r>
      <w:r>
        <w:rPr>
          <w:rFonts w:asciiTheme="minorHAnsi" w:eastAsia="Times New Roman" w:hAnsiTheme="minorHAnsi" w:cs="Open Sans"/>
          <w:color w:val="404040"/>
          <w:sz w:val="24"/>
          <w:szCs w:val="24"/>
          <w:lang w:eastAsia="sv-SE"/>
        </w:rPr>
        <w:br/>
      </w:r>
      <w:r w:rsidRPr="00F76E29">
        <w:rPr>
          <w:rFonts w:asciiTheme="minorHAnsi" w:eastAsia="Times New Roman" w:hAnsiTheme="minorHAnsi" w:cs="Open Sans"/>
          <w:color w:val="404040"/>
          <w:sz w:val="24"/>
          <w:szCs w:val="24"/>
          <w:lang w:eastAsia="sv-SE"/>
        </w:rPr>
        <w:t>Julia Andersson, diabetessjuksköterska, Medicinkliniken</w:t>
      </w:r>
      <w:r>
        <w:rPr>
          <w:rFonts w:asciiTheme="minorHAnsi" w:eastAsia="Times New Roman" w:hAnsiTheme="minorHAnsi" w:cs="Open Sans"/>
          <w:color w:val="404040"/>
          <w:sz w:val="24"/>
          <w:szCs w:val="24"/>
          <w:lang w:eastAsia="sv-SE"/>
        </w:rPr>
        <w:br/>
        <w:t>Titti Mattsson, specialistläkare, Valjehälsan</w:t>
      </w:r>
      <w:r>
        <w:rPr>
          <w:rFonts w:asciiTheme="minorHAnsi" w:eastAsia="Times New Roman" w:hAnsiTheme="minorHAnsi" w:cs="Open Sans"/>
          <w:color w:val="404040"/>
          <w:sz w:val="24"/>
          <w:szCs w:val="24"/>
          <w:lang w:eastAsia="sv-SE"/>
        </w:rPr>
        <w:br/>
        <w:t>Martina Björkhem, diabetessjuksköterska, Valjehälsan</w:t>
      </w:r>
      <w:r w:rsidRPr="00700533">
        <w:rPr>
          <w:rFonts w:asciiTheme="minorHAnsi" w:eastAsia="Times New Roman" w:hAnsiTheme="minorHAnsi" w:cs="Open Sans"/>
          <w:color w:val="404040"/>
          <w:sz w:val="24"/>
          <w:szCs w:val="24"/>
          <w:lang w:eastAsia="sv-SE"/>
        </w:rPr>
        <w:br/>
      </w:r>
      <w:r w:rsidRPr="00EA4E79">
        <w:rPr>
          <w:rFonts w:asciiTheme="minorHAnsi" w:eastAsia="Times New Roman" w:hAnsiTheme="minorHAnsi" w:cs="Open Sans"/>
          <w:color w:val="404040" w:themeColor="text1" w:themeTint="BF"/>
          <w:sz w:val="24"/>
          <w:szCs w:val="24"/>
          <w:lang w:eastAsia="sv-SE"/>
        </w:rPr>
        <w:t>Hanna Justad, apotekare</w:t>
      </w:r>
      <w:r>
        <w:rPr>
          <w:rFonts w:asciiTheme="minorHAnsi" w:eastAsia="Times New Roman" w:hAnsiTheme="minorHAnsi" w:cs="Open Sans"/>
          <w:color w:val="404040" w:themeColor="text1" w:themeTint="BF"/>
          <w:sz w:val="24"/>
          <w:szCs w:val="24"/>
          <w:lang w:eastAsia="sv-SE"/>
        </w:rPr>
        <w:t>, Läkemedelsenheten</w:t>
      </w:r>
    </w:p>
    <w:p w14:paraId="36817A92" w14:textId="77777777" w:rsidR="00EC79BD" w:rsidRPr="00700533" w:rsidRDefault="00EC79BD" w:rsidP="00EC79BD">
      <w:pPr>
        <w:pStyle w:val="Rubrik2"/>
      </w:pPr>
      <w:r w:rsidRPr="00700533">
        <w:t>Typ 2-diabetes</w:t>
      </w:r>
    </w:p>
    <w:p w14:paraId="20480337" w14:textId="77777777" w:rsidR="00EC79BD" w:rsidRPr="00193004" w:rsidRDefault="00EC79BD" w:rsidP="00EC79BD">
      <w:r w:rsidRPr="00193004">
        <w:rPr>
          <w:rStyle w:val="A5"/>
          <w:rFonts w:eastAsia="Garamond" w:cs="Garamond"/>
          <w:sz w:val="24"/>
          <w:szCs w:val="24"/>
        </w:rPr>
        <w:t>Råd om kost, fysisk aktivitet och övriga levnadsvanor är viktigt vid typ 2-diabetes.</w:t>
      </w:r>
      <w:r>
        <w:rPr>
          <w:rStyle w:val="A5"/>
          <w:rFonts w:eastAsia="Garamond" w:cs="Garamond"/>
          <w:sz w:val="24"/>
          <w:szCs w:val="24"/>
        </w:rPr>
        <w:t xml:space="preserve"> </w:t>
      </w:r>
      <w:r>
        <w:rPr>
          <w:rStyle w:val="A5"/>
          <w:rFonts w:eastAsia="Garamond" w:cs="Garamond"/>
          <w:sz w:val="24"/>
          <w:szCs w:val="24"/>
        </w:rPr>
        <w:br/>
      </w:r>
      <w:r w:rsidRPr="007D1098">
        <w:rPr>
          <w:rStyle w:val="A5"/>
          <w:rFonts w:cs="Garamond"/>
          <w:sz w:val="24"/>
          <w:szCs w:val="24"/>
        </w:rPr>
        <w:t>Preparat lämpliga vid:</w:t>
      </w:r>
      <w:r w:rsidRPr="00193004">
        <w:rPr>
          <w:rFonts w:eastAsia="Garamond"/>
          <w:color w:val="000000" w:themeColor="text1"/>
        </w:rPr>
        <w:t xml:space="preserve"> </w:t>
      </w:r>
      <w:r w:rsidRPr="00193004">
        <w:rPr>
          <w:i/>
        </w:rPr>
        <w:t xml:space="preserve">                                                                            </w:t>
      </w:r>
    </w:p>
    <w:p w14:paraId="05B01619" w14:textId="2DC3CAEC" w:rsidR="00EC79BD" w:rsidRDefault="00EC79BD" w:rsidP="00EC79BD">
      <w:pPr>
        <w:rPr>
          <w:rFonts w:cstheme="minorHAnsi"/>
          <w:i/>
          <w:sz w:val="24"/>
          <w:szCs w:val="24"/>
        </w:rPr>
      </w:pPr>
      <w:r>
        <w:rPr>
          <w:b/>
          <w:bCs/>
          <w:sz w:val="24"/>
          <w:szCs w:val="24"/>
        </w:rPr>
        <w:t>(N)</w:t>
      </w:r>
      <w:r>
        <w:rPr>
          <w:i/>
          <w:iCs/>
          <w:sz w:val="24"/>
          <w:szCs w:val="24"/>
        </w:rPr>
        <w:t xml:space="preserve"> </w:t>
      </w:r>
      <w:r w:rsidRPr="00B25139">
        <w:rPr>
          <w:sz w:val="24"/>
          <w:szCs w:val="24"/>
        </w:rPr>
        <w:t>njursvikt</w:t>
      </w:r>
      <w:r w:rsidRPr="00193004">
        <w:rPr>
          <w:i/>
          <w:iCs/>
          <w:sz w:val="24"/>
          <w:szCs w:val="24"/>
        </w:rPr>
        <w:t xml:space="preserve">         </w:t>
      </w:r>
      <w:r w:rsidR="00C136C8" w:rsidRPr="00C136C8">
        <w:rPr>
          <w:b/>
          <w:bCs/>
          <w:sz w:val="24"/>
          <w:szCs w:val="24"/>
        </w:rPr>
        <w:t>(</w:t>
      </w:r>
      <w:r>
        <w:rPr>
          <w:b/>
          <w:bCs/>
          <w:sz w:val="24"/>
          <w:szCs w:val="24"/>
        </w:rPr>
        <w:t>H)</w:t>
      </w:r>
      <w:r>
        <w:rPr>
          <w:i/>
          <w:iCs/>
          <w:sz w:val="24"/>
          <w:szCs w:val="24"/>
        </w:rPr>
        <w:t xml:space="preserve"> </w:t>
      </w:r>
      <w:r w:rsidRPr="00B25139">
        <w:rPr>
          <w:sz w:val="24"/>
          <w:szCs w:val="24"/>
        </w:rPr>
        <w:t>hjärtkärlsjukdom</w:t>
      </w:r>
      <w:r w:rsidRPr="00193004">
        <w:rPr>
          <w:b/>
          <w:bCs/>
          <w:noProof/>
          <w:sz w:val="24"/>
          <w:szCs w:val="24"/>
          <w:lang w:eastAsia="sv-SE"/>
        </w:rPr>
        <w:t xml:space="preserve"> </w:t>
      </w:r>
      <w:r w:rsidRPr="00193004">
        <w:rPr>
          <w:i/>
          <w:iCs/>
          <w:sz w:val="24"/>
          <w:szCs w:val="24"/>
        </w:rPr>
        <w:t xml:space="preserve">           </w:t>
      </w:r>
      <w:r>
        <w:rPr>
          <w:b/>
          <w:bCs/>
          <w:sz w:val="24"/>
          <w:szCs w:val="24"/>
        </w:rPr>
        <w:t>(F)</w:t>
      </w:r>
      <w:r>
        <w:rPr>
          <w:i/>
          <w:iCs/>
          <w:sz w:val="24"/>
          <w:szCs w:val="24"/>
        </w:rPr>
        <w:t xml:space="preserve"> </w:t>
      </w:r>
      <w:r w:rsidRPr="00B25139">
        <w:rPr>
          <w:sz w:val="24"/>
          <w:szCs w:val="24"/>
        </w:rPr>
        <w:t>fetma</w:t>
      </w:r>
      <w:r w:rsidRPr="00193004">
        <w:rPr>
          <w:i/>
          <w:iCs/>
          <w:sz w:val="24"/>
          <w:szCs w:val="24"/>
        </w:rPr>
        <w:t xml:space="preserve">            </w:t>
      </w:r>
      <w:r w:rsidRPr="00193004">
        <w:rPr>
          <w:rFonts w:cstheme="minorHAnsi"/>
          <w:i/>
          <w:sz w:val="24"/>
          <w:szCs w:val="24"/>
        </w:rPr>
        <w:br/>
      </w:r>
    </w:p>
    <w:tbl>
      <w:tblPr>
        <w:tblStyle w:val="Tabellrutnt"/>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805"/>
        <w:gridCol w:w="4961"/>
      </w:tblGrid>
      <w:tr w:rsidR="00EC79BD" w:rsidRPr="00193004" w14:paraId="3B69AD4D" w14:textId="77777777" w:rsidTr="00632FCC">
        <w:trPr>
          <w:trHeight w:val="112"/>
        </w:trPr>
        <w:tc>
          <w:tcPr>
            <w:tcW w:w="4805" w:type="dxa"/>
            <w:tcBorders>
              <w:top w:val="single" w:sz="12" w:space="0" w:color="auto"/>
              <w:bottom w:val="single" w:sz="12" w:space="0" w:color="auto"/>
              <w:right w:val="single" w:sz="12" w:space="0" w:color="auto"/>
            </w:tcBorders>
          </w:tcPr>
          <w:p w14:paraId="4F4C6AA3" w14:textId="77777777" w:rsidR="00EC79BD" w:rsidRPr="00193004" w:rsidRDefault="00EC79BD" w:rsidP="00632FCC">
            <w:pPr>
              <w:rPr>
                <w:rFonts w:cstheme="minorHAnsi"/>
                <w:b/>
                <w:bCs/>
              </w:rPr>
            </w:pPr>
            <w:r>
              <w:rPr>
                <w:rFonts w:cstheme="minorHAnsi"/>
                <w:b/>
                <w:bCs/>
              </w:rPr>
              <w:t>Basbehandling</w:t>
            </w:r>
          </w:p>
          <w:p w14:paraId="41A3D9D7" w14:textId="77777777" w:rsidR="00EC79BD" w:rsidRDefault="00EC79BD" w:rsidP="00632FCC">
            <w:pPr>
              <w:rPr>
                <w:b/>
                <w:bCs/>
              </w:rPr>
            </w:pPr>
            <w:r w:rsidRPr="54140ACE">
              <w:rPr>
                <w:b/>
                <w:bCs/>
              </w:rPr>
              <w:t>Metformin</w:t>
            </w:r>
            <w:r>
              <w:t xml:space="preserve">  </w:t>
            </w:r>
            <w:r w:rsidRPr="54140ACE">
              <w:rPr>
                <w:i/>
                <w:iCs/>
              </w:rPr>
              <w:t xml:space="preserve">                             </w:t>
            </w:r>
            <w:r>
              <w:rPr>
                <w:i/>
                <w:iCs/>
              </w:rPr>
              <w:t xml:space="preserve">           </w:t>
            </w:r>
            <w:r>
              <w:t>Metformin</w:t>
            </w:r>
            <w:r w:rsidRPr="54140ACE">
              <w:rPr>
                <w:b/>
                <w:bCs/>
              </w:rPr>
              <w:t xml:space="preserve">  </w:t>
            </w:r>
          </w:p>
          <w:p w14:paraId="45E8D2CA" w14:textId="77777777" w:rsidR="00EC79BD" w:rsidRDefault="00EC79BD" w:rsidP="00632FCC">
            <w:pPr>
              <w:rPr>
                <w:b/>
                <w:bCs/>
              </w:rPr>
            </w:pPr>
          </w:p>
          <w:p w14:paraId="0FEB6661" w14:textId="77777777" w:rsidR="00EC79BD" w:rsidRPr="00193004" w:rsidRDefault="00EC79BD" w:rsidP="00632FCC">
            <w:pPr>
              <w:rPr>
                <w:rFonts w:cstheme="minorHAnsi"/>
                <w:b/>
                <w:bCs/>
              </w:rPr>
            </w:pPr>
            <w:r>
              <w:rPr>
                <w:rFonts w:cstheme="minorHAnsi"/>
                <w:b/>
                <w:bCs/>
              </w:rPr>
              <w:t>Tilläggsbehandling</w:t>
            </w:r>
          </w:p>
          <w:p w14:paraId="54C3464B" w14:textId="77777777" w:rsidR="00EC79BD" w:rsidRPr="00193004" w:rsidRDefault="00EC79BD" w:rsidP="00632FCC">
            <w:pPr>
              <w:rPr>
                <w:b/>
                <w:bCs/>
              </w:rPr>
            </w:pPr>
            <w:r w:rsidRPr="35DAB240">
              <w:rPr>
                <w:b/>
                <w:bCs/>
              </w:rPr>
              <w:t>SGLT-2 – hämmare</w:t>
            </w:r>
            <w:r>
              <w:rPr>
                <w:b/>
                <w:bCs/>
              </w:rPr>
              <w:t xml:space="preserve"> (H</w:t>
            </w:r>
            <w:r w:rsidRPr="35DAB240">
              <w:rPr>
                <w:b/>
                <w:bCs/>
              </w:rPr>
              <w:t xml:space="preserve"> </w:t>
            </w:r>
            <w:r>
              <w:rPr>
                <w:b/>
                <w:bCs/>
              </w:rPr>
              <w:t>&amp; F)</w:t>
            </w:r>
            <w:r w:rsidRPr="35DAB240">
              <w:rPr>
                <w:b/>
                <w:bCs/>
              </w:rPr>
              <w:t xml:space="preserve">            </w:t>
            </w:r>
          </w:p>
          <w:p w14:paraId="626C87C8" w14:textId="77777777" w:rsidR="00EC79BD" w:rsidRDefault="00EC79BD" w:rsidP="00632FCC">
            <w:r w:rsidRPr="35DAB240">
              <w:rPr>
                <w:b/>
                <w:bCs/>
              </w:rPr>
              <w:t>dapagliflozin</w:t>
            </w:r>
            <w:r w:rsidRPr="54140ACE">
              <w:t xml:space="preserve">    </w:t>
            </w:r>
            <w:r w:rsidRPr="00193004">
              <w:rPr>
                <w:rFonts w:cstheme="minorHAnsi"/>
              </w:rPr>
              <w:tab/>
            </w:r>
            <w:r w:rsidRPr="54140ACE">
              <w:t xml:space="preserve">                </w:t>
            </w:r>
            <w:r>
              <w:t xml:space="preserve">  </w:t>
            </w:r>
            <w:r w:rsidRPr="00193004">
              <w:t>Forxig</w:t>
            </w:r>
            <w:r>
              <w:t>a</w:t>
            </w:r>
            <w:r>
              <w:br/>
            </w:r>
            <w:r w:rsidRPr="35DAB240">
              <w:rPr>
                <w:b/>
                <w:bCs/>
              </w:rPr>
              <w:t xml:space="preserve">empagliflozin </w:t>
            </w:r>
            <w:r w:rsidRPr="54140ACE">
              <w:t xml:space="preserve"> </w:t>
            </w:r>
            <w:r w:rsidRPr="54140ACE">
              <w:rPr>
                <w:i/>
                <w:iCs/>
              </w:rPr>
              <w:t xml:space="preserve"> </w:t>
            </w:r>
            <w:r w:rsidRPr="00193004">
              <w:rPr>
                <w:rFonts w:cstheme="minorHAnsi"/>
                <w:i/>
              </w:rPr>
              <w:tab/>
            </w:r>
            <w:r w:rsidRPr="54140ACE">
              <w:rPr>
                <w:i/>
                <w:iCs/>
              </w:rPr>
              <w:t xml:space="preserve">                </w:t>
            </w:r>
            <w:r w:rsidRPr="00193004">
              <w:t>Jardiance</w:t>
            </w:r>
          </w:p>
          <w:p w14:paraId="78A1EA01" w14:textId="77777777" w:rsidR="00EC79BD" w:rsidRPr="00193004" w:rsidRDefault="00EC79BD" w:rsidP="00632FCC">
            <w:pPr>
              <w:rPr>
                <w:b/>
                <w:bCs/>
                <w:i/>
                <w:iCs/>
              </w:rPr>
            </w:pPr>
            <w:r w:rsidRPr="54140ACE">
              <w:rPr>
                <w:b/>
                <w:bCs/>
                <w:i/>
                <w:iCs/>
              </w:rPr>
              <w:t xml:space="preserve">  </w:t>
            </w:r>
          </w:p>
          <w:p w14:paraId="769B2D35" w14:textId="6A64C2DC" w:rsidR="00EC79BD" w:rsidRPr="00866185" w:rsidRDefault="00EC79BD" w:rsidP="00632FCC">
            <w:pPr>
              <w:rPr>
                <w:b/>
                <w:bCs/>
              </w:rPr>
            </w:pPr>
            <w:r w:rsidRPr="35DAB240">
              <w:rPr>
                <w:b/>
                <w:bCs/>
              </w:rPr>
              <w:t xml:space="preserve">GLP-1-analog </w:t>
            </w:r>
            <w:r>
              <w:rPr>
                <w:b/>
                <w:bCs/>
              </w:rPr>
              <w:t>(</w:t>
            </w:r>
            <w:r w:rsidR="00C136C8">
              <w:rPr>
                <w:b/>
                <w:bCs/>
              </w:rPr>
              <w:t>N)</w:t>
            </w:r>
            <w:r w:rsidR="00C136C8" w:rsidRPr="35DAB240">
              <w:rPr>
                <w:b/>
                <w:bCs/>
              </w:rPr>
              <w:t xml:space="preserve"> </w:t>
            </w:r>
            <w:r w:rsidR="00C136C8" w:rsidRPr="00866185">
              <w:rPr>
                <w:b/>
                <w:bCs/>
              </w:rPr>
              <w:t xml:space="preserve"> </w:t>
            </w:r>
            <w:r w:rsidRPr="00866185">
              <w:rPr>
                <w:b/>
                <w:bCs/>
              </w:rPr>
              <w:t xml:space="preserve">                                    </w:t>
            </w:r>
            <w:r w:rsidRPr="00866185">
              <w:rPr>
                <w:b/>
                <w:bCs/>
                <w:i/>
                <w:iCs/>
              </w:rPr>
              <w:t xml:space="preserve">   </w:t>
            </w:r>
            <w:r w:rsidRPr="00866185">
              <w:rPr>
                <w:i/>
                <w:iCs/>
              </w:rPr>
              <w:t xml:space="preserve">                          </w:t>
            </w:r>
            <w:r w:rsidRPr="00866185">
              <w:rPr>
                <w:b/>
                <w:bCs/>
              </w:rPr>
              <w:t xml:space="preserve">semaglutid       </w:t>
            </w:r>
            <w:r w:rsidRPr="00866185">
              <w:rPr>
                <w:rFonts w:cstheme="minorHAnsi"/>
                <w:b/>
              </w:rPr>
              <w:tab/>
            </w:r>
            <w:r w:rsidRPr="00866185">
              <w:rPr>
                <w:b/>
                <w:bCs/>
              </w:rPr>
              <w:t xml:space="preserve">                </w:t>
            </w:r>
            <w:r w:rsidRPr="00866185">
              <w:t>Ozempic</w:t>
            </w:r>
          </w:p>
          <w:p w14:paraId="3A224C68" w14:textId="77777777" w:rsidR="00EC79BD" w:rsidRPr="00866185" w:rsidRDefault="00EC79BD" w:rsidP="00632FCC">
            <w:pPr>
              <w:rPr>
                <w:b/>
                <w:bCs/>
                <w:i/>
                <w:iCs/>
              </w:rPr>
            </w:pPr>
            <w:r w:rsidRPr="00866185">
              <w:rPr>
                <w:b/>
                <w:bCs/>
              </w:rPr>
              <w:t>dulaglutid</w:t>
            </w:r>
            <w:r w:rsidRPr="00866185">
              <w:rPr>
                <w:b/>
                <w:bCs/>
                <w:i/>
                <w:iCs/>
              </w:rPr>
              <w:t xml:space="preserve">                                             </w:t>
            </w:r>
            <w:r w:rsidRPr="00866185">
              <w:t>Trulicity*</w:t>
            </w:r>
          </w:p>
          <w:p w14:paraId="50D9F8E3" w14:textId="77777777" w:rsidR="00EC79BD" w:rsidRPr="00866185" w:rsidRDefault="00EC79BD" w:rsidP="00632FCC">
            <w:pPr>
              <w:rPr>
                <w:rFonts w:cstheme="minorHAnsi"/>
                <w:b/>
              </w:rPr>
            </w:pPr>
            <w:r w:rsidRPr="00866185">
              <w:rPr>
                <w:rFonts w:cstheme="minorHAnsi"/>
                <w:b/>
              </w:rPr>
              <w:t xml:space="preserve"> </w:t>
            </w:r>
          </w:p>
          <w:p w14:paraId="552E04C4" w14:textId="77777777" w:rsidR="00EC79BD" w:rsidRPr="00193004" w:rsidRDefault="00EC79BD" w:rsidP="00632FCC">
            <w:pPr>
              <w:rPr>
                <w:b/>
                <w:bCs/>
              </w:rPr>
            </w:pPr>
            <w:r w:rsidRPr="35DAB240">
              <w:rPr>
                <w:b/>
                <w:bCs/>
              </w:rPr>
              <w:t xml:space="preserve">DPP-4-hämmare </w:t>
            </w:r>
            <w:r>
              <w:rPr>
                <w:b/>
                <w:bCs/>
              </w:rPr>
              <w:t>(N)</w:t>
            </w:r>
            <w:r w:rsidRPr="35DAB240">
              <w:rPr>
                <w:b/>
                <w:bCs/>
              </w:rPr>
              <w:t xml:space="preserve">     </w:t>
            </w:r>
          </w:p>
          <w:p w14:paraId="6179A70C" w14:textId="77777777" w:rsidR="00EC79BD" w:rsidRDefault="00EC79BD" w:rsidP="00632FCC">
            <w:r w:rsidRPr="54140ACE">
              <w:rPr>
                <w:b/>
                <w:bCs/>
              </w:rPr>
              <w:t xml:space="preserve">sitagliptin                                           </w:t>
            </w:r>
            <w:r>
              <w:rPr>
                <w:b/>
                <w:bCs/>
              </w:rPr>
              <w:t xml:space="preserve">   </w:t>
            </w:r>
            <w:r w:rsidRPr="54140ACE">
              <w:rPr>
                <w:b/>
                <w:bCs/>
              </w:rPr>
              <w:t xml:space="preserve"> </w:t>
            </w:r>
            <w:r w:rsidRPr="00EA4E79">
              <w:t>Sitaglipin</w:t>
            </w:r>
          </w:p>
          <w:p w14:paraId="130A5B04" w14:textId="77777777" w:rsidR="00EC79BD" w:rsidRPr="00BE19BE" w:rsidRDefault="00EC79BD" w:rsidP="00632FCC">
            <w:r>
              <w:rPr>
                <w:b/>
                <w:bCs/>
              </w:rPr>
              <w:t xml:space="preserve">linagliptin                                               </w:t>
            </w:r>
            <w:r>
              <w:t>Trajenta</w:t>
            </w:r>
          </w:p>
          <w:p w14:paraId="0F527243" w14:textId="77777777" w:rsidR="00EC79BD" w:rsidRPr="00193004" w:rsidRDefault="00EC79BD" w:rsidP="00632FCC">
            <w:pPr>
              <w:rPr>
                <w:b/>
                <w:iCs/>
              </w:rPr>
            </w:pPr>
          </w:p>
          <w:p w14:paraId="68F62497" w14:textId="77777777" w:rsidR="00EC79BD" w:rsidRPr="00193004" w:rsidRDefault="00EC79BD" w:rsidP="00632FCC">
            <w:pPr>
              <w:rPr>
                <w:b/>
                <w:bCs/>
              </w:rPr>
            </w:pPr>
            <w:r w:rsidRPr="35DAB240">
              <w:rPr>
                <w:b/>
                <w:bCs/>
              </w:rPr>
              <w:t xml:space="preserve">Insulinfrisättare    </w:t>
            </w:r>
          </w:p>
          <w:p w14:paraId="45E6B429" w14:textId="77777777" w:rsidR="00EC79BD" w:rsidRPr="00193004" w:rsidRDefault="00EC79BD" w:rsidP="00632FCC">
            <w:pPr>
              <w:rPr>
                <w:b/>
                <w:bCs/>
              </w:rPr>
            </w:pPr>
            <w:r w:rsidRPr="54140ACE">
              <w:rPr>
                <w:b/>
                <w:bCs/>
              </w:rPr>
              <w:t xml:space="preserve">glimepiryd                                     </w:t>
            </w:r>
            <w:r>
              <w:rPr>
                <w:b/>
                <w:bCs/>
              </w:rPr>
              <w:t xml:space="preserve">      </w:t>
            </w:r>
            <w:r>
              <w:t>Glimepirid</w:t>
            </w:r>
            <w:r w:rsidRPr="54140ACE">
              <w:rPr>
                <w:b/>
                <w:bCs/>
              </w:rPr>
              <w:t xml:space="preserve"> </w:t>
            </w:r>
          </w:p>
          <w:p w14:paraId="3E9A53AC" w14:textId="3BDA427E" w:rsidR="00EC79BD" w:rsidRPr="00193004" w:rsidRDefault="00EC79BD" w:rsidP="00632FCC">
            <w:r w:rsidRPr="35DAB240">
              <w:rPr>
                <w:b/>
                <w:bCs/>
              </w:rPr>
              <w:lastRenderedPageBreak/>
              <w:t>repaglinid</w:t>
            </w:r>
            <w:r w:rsidR="002A27EE" w:rsidRPr="54140ACE">
              <w:t xml:space="preserve"> </w:t>
            </w:r>
            <w:r w:rsidR="002A27EE" w:rsidRPr="35DAB240">
              <w:rPr>
                <w:b/>
                <w:bCs/>
              </w:rPr>
              <w:t xml:space="preserve"> (</w:t>
            </w:r>
            <w:r>
              <w:rPr>
                <w:b/>
                <w:bCs/>
              </w:rPr>
              <w:t>N)</w:t>
            </w:r>
            <w:r w:rsidRPr="35DAB240">
              <w:rPr>
                <w:b/>
                <w:bCs/>
              </w:rPr>
              <w:t xml:space="preserve">                                   </w:t>
            </w:r>
            <w:r w:rsidRPr="00193004">
              <w:t>Repaglinid</w:t>
            </w:r>
          </w:p>
          <w:p w14:paraId="4188D1F7" w14:textId="77777777" w:rsidR="00EC79BD" w:rsidRPr="00193004" w:rsidRDefault="00EC79BD" w:rsidP="00632FCC">
            <w:pPr>
              <w:rPr>
                <w:rFonts w:cs="Arial"/>
              </w:rPr>
            </w:pPr>
            <w:r w:rsidRPr="00193004">
              <w:rPr>
                <w:iCs/>
              </w:rPr>
              <w:t xml:space="preserve">        </w:t>
            </w:r>
            <w:r w:rsidRPr="00193004">
              <w:rPr>
                <w:b/>
                <w:iCs/>
              </w:rPr>
              <w:t xml:space="preserve">                    </w:t>
            </w:r>
            <w:r w:rsidRPr="00193004">
              <w:rPr>
                <w:rFonts w:cstheme="minorHAnsi"/>
                <w:b/>
                <w:iCs/>
              </w:rPr>
              <w:t xml:space="preserve">                              </w:t>
            </w:r>
          </w:p>
        </w:tc>
        <w:tc>
          <w:tcPr>
            <w:tcW w:w="4961" w:type="dxa"/>
            <w:tcBorders>
              <w:left w:val="single" w:sz="12" w:space="0" w:color="auto"/>
            </w:tcBorders>
          </w:tcPr>
          <w:p w14:paraId="38EBBA76" w14:textId="77777777" w:rsidR="00EC79BD" w:rsidRPr="00193004" w:rsidRDefault="00EC79BD" w:rsidP="00632FCC">
            <w:pPr>
              <w:rPr>
                <w:b/>
                <w:bCs/>
              </w:rPr>
            </w:pPr>
            <w:r w:rsidRPr="35DAB240">
              <w:rPr>
                <w:b/>
                <w:bCs/>
              </w:rPr>
              <w:lastRenderedPageBreak/>
              <w:t xml:space="preserve">Insulin </w:t>
            </w:r>
            <w:r>
              <w:rPr>
                <w:b/>
                <w:bCs/>
              </w:rPr>
              <w:t>(N)</w:t>
            </w:r>
          </w:p>
          <w:p w14:paraId="465D1084" w14:textId="77777777" w:rsidR="00EC79BD" w:rsidRPr="00193004" w:rsidRDefault="00EC79BD" w:rsidP="00632FCC">
            <w:pPr>
              <w:rPr>
                <w:b/>
                <w:bCs/>
              </w:rPr>
            </w:pPr>
            <w:r>
              <w:rPr>
                <w:b/>
                <w:bCs/>
              </w:rPr>
              <w:t>M</w:t>
            </w:r>
            <w:r w:rsidRPr="35DAB240">
              <w:rPr>
                <w:b/>
                <w:bCs/>
              </w:rPr>
              <w:t>åltidsinsulin</w:t>
            </w:r>
          </w:p>
          <w:p w14:paraId="7B4F7503" w14:textId="77777777" w:rsidR="00EC79BD" w:rsidRPr="00866185" w:rsidRDefault="00EC79BD" w:rsidP="00632FCC">
            <w:r w:rsidRPr="00866185">
              <w:rPr>
                <w:b/>
                <w:bCs/>
              </w:rPr>
              <w:t>insulin lispro</w:t>
            </w:r>
            <w:r w:rsidRPr="00866185">
              <w:t xml:space="preserve">              Insulin Lispro Sanofi 100E/ml</w:t>
            </w:r>
          </w:p>
          <w:p w14:paraId="3248E4DC" w14:textId="77777777" w:rsidR="00EC79BD" w:rsidRDefault="00EC79BD" w:rsidP="00632FCC">
            <w:r w:rsidRPr="00866185">
              <w:t xml:space="preserve">                                                      </w:t>
            </w:r>
            <w:r>
              <w:t>Humalog 200E/ml</w:t>
            </w:r>
          </w:p>
          <w:p w14:paraId="31808DA3" w14:textId="77777777" w:rsidR="00EC79BD" w:rsidRPr="00193004" w:rsidRDefault="00EC79BD" w:rsidP="00632FCC">
            <w:r>
              <w:t xml:space="preserve">                                                      Humalog 100E/ ml</w:t>
            </w:r>
            <w:r>
              <w:br/>
              <w:t xml:space="preserve"> </w:t>
            </w:r>
          </w:p>
          <w:p w14:paraId="2BC66528" w14:textId="77777777" w:rsidR="00EC79BD" w:rsidRPr="00866185" w:rsidRDefault="00EC79BD" w:rsidP="00632FCC">
            <w:pPr>
              <w:rPr>
                <w:b/>
                <w:bCs/>
              </w:rPr>
            </w:pPr>
            <w:r w:rsidRPr="00866185">
              <w:rPr>
                <w:b/>
                <w:bCs/>
              </w:rPr>
              <w:t xml:space="preserve">insulin aspart             </w:t>
            </w:r>
            <w:r w:rsidRPr="00866185">
              <w:t>Insulin Aspart Sanofi 100E/ml</w:t>
            </w:r>
          </w:p>
          <w:p w14:paraId="7523792F" w14:textId="77777777" w:rsidR="00EC79BD" w:rsidRPr="00F006FC" w:rsidRDefault="00EC79BD" w:rsidP="00632FCC">
            <w:pPr>
              <w:rPr>
                <w:rFonts w:cstheme="minorHAnsi"/>
              </w:rPr>
            </w:pPr>
            <w:r w:rsidRPr="00866185">
              <w:rPr>
                <w:rFonts w:cstheme="minorHAnsi"/>
                <w:bCs/>
                <w:iCs/>
              </w:rPr>
              <w:t xml:space="preserve">                  </w:t>
            </w:r>
            <w:r w:rsidRPr="00866185">
              <w:rPr>
                <w:rFonts w:cstheme="minorHAnsi"/>
              </w:rPr>
              <w:br/>
            </w:r>
            <w:r w:rsidRPr="35DAB240">
              <w:rPr>
                <w:b/>
                <w:bCs/>
              </w:rPr>
              <w:t>Medellångverkande</w:t>
            </w:r>
          </w:p>
          <w:p w14:paraId="6CECEF1E" w14:textId="77777777" w:rsidR="00EC79BD" w:rsidRDefault="00EC79BD" w:rsidP="00632FCC">
            <w:pPr>
              <w:rPr>
                <w:lang w:val="en-US"/>
              </w:rPr>
            </w:pPr>
            <w:r w:rsidRPr="00CF2B7D">
              <w:rPr>
                <w:b/>
                <w:bCs/>
                <w:lang w:val="en-US"/>
              </w:rPr>
              <w:t xml:space="preserve">humant insulinNPH                          </w:t>
            </w:r>
            <w:r w:rsidRPr="00CF2B7D">
              <w:rPr>
                <w:lang w:val="en-US"/>
              </w:rPr>
              <w:t>HumulinNPH</w:t>
            </w:r>
          </w:p>
          <w:p w14:paraId="589E333B" w14:textId="77777777" w:rsidR="00EC79BD" w:rsidRPr="00CF0AD4" w:rsidRDefault="00EC79BD" w:rsidP="00632FCC">
            <w:pPr>
              <w:rPr>
                <w:rFonts w:cstheme="minorHAnsi"/>
                <w:bCs/>
                <w:iCs/>
                <w:lang w:val="en-US"/>
              </w:rPr>
            </w:pPr>
            <w:r w:rsidRPr="00CF2B7D">
              <w:rPr>
                <w:i/>
                <w:iCs/>
                <w:lang w:val="en-US"/>
              </w:rPr>
              <w:t xml:space="preserve">                                  </w:t>
            </w:r>
            <w:r w:rsidRPr="00CF2B7D">
              <w:rPr>
                <w:rFonts w:cstheme="minorHAnsi"/>
                <w:i/>
                <w:lang w:val="en-US"/>
              </w:rPr>
              <w:tab/>
            </w:r>
            <w:r w:rsidRPr="00CF2B7D">
              <w:rPr>
                <w:rFonts w:cstheme="minorHAnsi"/>
                <w:i/>
                <w:lang w:val="en-US"/>
              </w:rPr>
              <w:tab/>
            </w:r>
            <w:r w:rsidRPr="00CF2B7D">
              <w:rPr>
                <w:i/>
                <w:iCs/>
                <w:lang w:val="en-US"/>
              </w:rPr>
              <w:t xml:space="preserve">                                       </w:t>
            </w:r>
            <w:r w:rsidRPr="00CF2B7D">
              <w:rPr>
                <w:b/>
                <w:bCs/>
                <w:lang w:val="en-US"/>
              </w:rPr>
              <w:t>Kombinationsinsuliner</w:t>
            </w:r>
          </w:p>
          <w:p w14:paraId="48203679" w14:textId="77777777" w:rsidR="00EC79BD" w:rsidRPr="00CF2B7D" w:rsidRDefault="00EC79BD" w:rsidP="00632FCC">
            <w:pPr>
              <w:rPr>
                <w:lang w:val="en-US"/>
              </w:rPr>
            </w:pPr>
            <w:r w:rsidRPr="00CF2B7D">
              <w:rPr>
                <w:b/>
                <w:bCs/>
                <w:lang w:val="en-US"/>
              </w:rPr>
              <w:t>insulin lispro + insulin lispro protamin</w:t>
            </w:r>
            <w:r w:rsidRPr="00CF2B7D">
              <w:rPr>
                <w:lang w:val="en-US"/>
              </w:rPr>
              <w:t xml:space="preserve"> </w:t>
            </w:r>
          </w:p>
          <w:p w14:paraId="16D6AA35" w14:textId="77777777" w:rsidR="00EC79BD" w:rsidRPr="00193004" w:rsidRDefault="00EC79BD" w:rsidP="00632FCC">
            <w:r w:rsidRPr="00CF2B7D">
              <w:rPr>
                <w:lang w:val="en-US"/>
              </w:rPr>
              <w:t xml:space="preserve">                                                     </w:t>
            </w:r>
            <w:r>
              <w:t>Humalog Mix 25,50</w:t>
            </w:r>
          </w:p>
          <w:p w14:paraId="444C7C75" w14:textId="77777777" w:rsidR="00EC79BD" w:rsidRPr="00193004" w:rsidRDefault="00EC79BD" w:rsidP="00632FCC">
            <w:r>
              <w:rPr>
                <w:b/>
                <w:bCs/>
              </w:rPr>
              <w:t>i</w:t>
            </w:r>
            <w:r w:rsidRPr="54140ACE">
              <w:rPr>
                <w:b/>
                <w:bCs/>
              </w:rPr>
              <w:t>nsulin aspart + insulin aspart protamin</w:t>
            </w:r>
            <w:r>
              <w:t xml:space="preserve">  </w:t>
            </w:r>
          </w:p>
          <w:p w14:paraId="454F801A" w14:textId="77777777" w:rsidR="00EC79BD" w:rsidRPr="0040703D" w:rsidRDefault="00EC79BD" w:rsidP="00632FCC">
            <w:r>
              <w:t xml:space="preserve">                                                                NovoMix 30</w:t>
            </w:r>
          </w:p>
          <w:p w14:paraId="15F238FE" w14:textId="77777777" w:rsidR="00EC79BD" w:rsidRPr="00193004" w:rsidRDefault="00EC79BD" w:rsidP="00632FCC">
            <w:r w:rsidRPr="54140ACE">
              <w:rPr>
                <w:b/>
                <w:bCs/>
              </w:rPr>
              <w:t>Långverkande insulinanalog</w:t>
            </w:r>
            <w:r>
              <w:br/>
            </w:r>
            <w:r w:rsidRPr="54140ACE">
              <w:rPr>
                <w:b/>
                <w:bCs/>
              </w:rPr>
              <w:t>insulin glargin</w:t>
            </w:r>
            <w:r w:rsidRPr="54140ACE">
              <w:rPr>
                <w:i/>
                <w:iCs/>
              </w:rPr>
              <w:t xml:space="preserve">        </w:t>
            </w:r>
            <w:r>
              <w:t xml:space="preserve">                     Abasaglar 100E/ml </w:t>
            </w:r>
          </w:p>
          <w:p w14:paraId="0881300F" w14:textId="77777777" w:rsidR="00EC79BD" w:rsidRDefault="00EC79BD" w:rsidP="00632FCC">
            <w:r>
              <w:lastRenderedPageBreak/>
              <w:t xml:space="preserve">                                                      Toujeo 300E/ml</w:t>
            </w:r>
          </w:p>
          <w:p w14:paraId="5F1D635F" w14:textId="77777777" w:rsidR="00EC79BD" w:rsidRPr="00193004" w:rsidRDefault="00EC79BD" w:rsidP="00632FCC">
            <w:r>
              <w:t xml:space="preserve">                                                      Tresiba (insulin degludek) – 100E/ml eller 200E/ml</w:t>
            </w:r>
          </w:p>
          <w:p w14:paraId="057A2EFF" w14:textId="77777777" w:rsidR="00EC79BD" w:rsidRPr="00080144" w:rsidRDefault="00EC79BD" w:rsidP="00632FCC">
            <w:pPr>
              <w:rPr>
                <w:rFonts w:cstheme="minorHAnsi"/>
                <w:bCs/>
                <w:iCs/>
              </w:rPr>
            </w:pPr>
            <w:r w:rsidRPr="00193004">
              <w:rPr>
                <w:rFonts w:cstheme="minorHAnsi"/>
                <w:bCs/>
                <w:iCs/>
              </w:rPr>
              <w:t xml:space="preserve"> </w:t>
            </w:r>
          </w:p>
        </w:tc>
      </w:tr>
    </w:tbl>
    <w:p w14:paraId="602A3372" w14:textId="77777777" w:rsidR="00EC79BD" w:rsidRDefault="00EC79BD" w:rsidP="00EC79BD">
      <w:pPr>
        <w:rPr>
          <w:lang w:val="en-US"/>
        </w:rPr>
      </w:pPr>
      <w:r w:rsidRPr="00080144">
        <w:rPr>
          <w:lang w:val="en-US"/>
        </w:rPr>
        <w:lastRenderedPageBreak/>
        <w:t>Källa: Nationella riktlinjer för diabetes</w:t>
      </w:r>
      <w:r>
        <w:rPr>
          <w:lang w:val="en-US"/>
        </w:rPr>
        <w:t xml:space="preserve">, </w:t>
      </w:r>
      <w:r w:rsidRPr="00EA4E79">
        <w:rPr>
          <w:lang w:val="en-US"/>
        </w:rPr>
        <w:t>SFD</w:t>
      </w:r>
      <w:r>
        <w:rPr>
          <w:lang w:val="en-US"/>
        </w:rPr>
        <w:t xml:space="preserve">, </w:t>
      </w:r>
      <w:r w:rsidRPr="00080144">
        <w:rPr>
          <w:lang w:val="en-US"/>
        </w:rPr>
        <w:t xml:space="preserve">ESC Guidelines on cardiovascular disease prevention in clinical </w:t>
      </w:r>
      <w:r w:rsidRPr="00EA4E79">
        <w:rPr>
          <w:lang w:val="en-US"/>
        </w:rPr>
        <w:t>practice 2021-2023,</w:t>
      </w:r>
      <w:r w:rsidRPr="00080144">
        <w:rPr>
          <w:lang w:val="en-US"/>
        </w:rPr>
        <w:t xml:space="preserve"> Standards of Medical Care in Diabetes –202</w:t>
      </w:r>
      <w:r>
        <w:rPr>
          <w:lang w:val="en-US"/>
        </w:rPr>
        <w:t>5</w:t>
      </w:r>
      <w:r w:rsidRPr="00080144">
        <w:rPr>
          <w:lang w:val="en-US"/>
        </w:rPr>
        <w:t xml:space="preserve"> (ADA+EASD)</w:t>
      </w:r>
    </w:p>
    <w:p w14:paraId="4E047966" w14:textId="77777777" w:rsidR="00EC79BD" w:rsidRDefault="00EC79BD" w:rsidP="00EC79BD">
      <w:pPr>
        <w:tabs>
          <w:tab w:val="clear" w:pos="284"/>
        </w:tabs>
        <w:spacing w:after="120" w:line="260" w:lineRule="atLeast"/>
        <w:rPr>
          <w:lang w:val="en-US"/>
        </w:rPr>
      </w:pPr>
      <w:r>
        <w:rPr>
          <w:lang w:val="en-US"/>
        </w:rPr>
        <w:br w:type="page"/>
      </w:r>
    </w:p>
    <w:p w14:paraId="1CB227DB" w14:textId="77777777" w:rsidR="00EC79BD" w:rsidRPr="00A87961" w:rsidRDefault="00EC79BD" w:rsidP="00EC79BD">
      <w:pPr>
        <w:pStyle w:val="Rubrik2"/>
      </w:pPr>
      <w:r w:rsidRPr="00A87961">
        <w:lastRenderedPageBreak/>
        <w:t>Behandlingsmål – att förebygga diabeteskomplikationer</w:t>
      </w:r>
    </w:p>
    <w:p w14:paraId="79AFC250" w14:textId="77777777" w:rsidR="00EC79BD" w:rsidRPr="00CF2B7D" w:rsidRDefault="00EC79BD" w:rsidP="00EC79BD"/>
    <w:p w14:paraId="66BE7B62" w14:textId="77777777" w:rsidR="00EC79BD" w:rsidRPr="000508ED" w:rsidRDefault="00EC79BD" w:rsidP="00EC79BD">
      <w:pPr>
        <w:rPr>
          <w:sz w:val="24"/>
          <w:szCs w:val="24"/>
        </w:rPr>
      </w:pPr>
      <w:r w:rsidRPr="29610C94">
        <w:rPr>
          <w:sz w:val="24"/>
          <w:szCs w:val="24"/>
        </w:rPr>
        <w:t xml:space="preserve">Diabetes orsakar höga samhällskostnader, vilket framför allt beror på de komplikationer som är förknippade med sjukdomen, så som nervskador, njurskador, förändringar i ögonbotten och hjärt- och kärlsjukdomar. Risken för mikrovaskulära händelser korrelerar till HbA1c-nivån. Dessa förändringar kan påverka synen, ge njurskador som leder till behov av dialys eller njurtransplantation samt nervskador som bland annat kan leda till svårläkta fotsår, som i värsta hand kan leda till amputation. Åderförkalkning i stora kärl (makrovaskulära komplikationer) leder till fördubblad risk för stroke, hjärtinfarkt och nedsatt cirkulation i benen. Andra faktorer som påverkar risken för hjärt- och kärlsjukdomar är högt blodtryck, blodfettsrubbningar och rökning. Stora variationer i p-glukos samt upprepade hypoglykemiepisoder ökar risken för potentiellt farliga hjärtrytmrubbningar. Livsstilsförändringar, utbildning, effektiv diabetes-blodtryck-lipid-behandling samt mediciner som visar </w:t>
      </w:r>
      <w:r w:rsidRPr="00CF2B7D">
        <w:rPr>
          <w:sz w:val="24"/>
          <w:szCs w:val="24"/>
        </w:rPr>
        <w:t>behandlingsnytta för hjärta, kärl och njurar reducerar diabeteskomplikationer. Det rekommenderas minst årliga kontroller av vikt, blodtryck, njurfunktion, albuminuri, blodfetter, fotstatus samt förekomst av rökning. Ögonbottenkontroller görs enligt gällande rutiner där remiss skickas till ögonmottagning vid diagnos. HbA1c ska kontrolleras minst 2 ggr/år och vid behov.</w:t>
      </w:r>
    </w:p>
    <w:p w14:paraId="3490566A" w14:textId="77777777" w:rsidR="00EC79BD" w:rsidRPr="0088387D" w:rsidRDefault="00EC79BD" w:rsidP="00EC79BD">
      <w:pPr>
        <w:pStyle w:val="Rubrik2"/>
      </w:pPr>
      <w:r w:rsidRPr="3C344A4E">
        <w:rPr>
          <w:rStyle w:val="Stark"/>
          <w:b/>
        </w:rPr>
        <w:t>Prediabetes</w:t>
      </w:r>
    </w:p>
    <w:p w14:paraId="204FE4FF" w14:textId="77777777" w:rsidR="00EC79BD" w:rsidRDefault="00EC79BD" w:rsidP="00EC79BD">
      <w:pPr>
        <w:rPr>
          <w:sz w:val="24"/>
          <w:szCs w:val="24"/>
        </w:rPr>
      </w:pPr>
      <w:r w:rsidRPr="00CF2B7D">
        <w:rPr>
          <w:sz w:val="24"/>
          <w:szCs w:val="24"/>
        </w:rPr>
        <w:t xml:space="preserve">Prediabetes inkluderar alla med förhöjt fasteglukos (enl. WHO 6,1 - 6,9 mmol/L), nedsatt glukostolerans vid oral glukosbelastning (8,9–12,1 mmol/L kapillärt; 7,8–11,0 venöst) eller HbA1c mellan 42-47 mmol/mol. Rekommenderad behandling är livsstilsåtgärder med exempelvis viktnedgång, ökad fysisk aktivitet samt rökstopp. </w:t>
      </w:r>
      <w:r w:rsidRPr="009A6195">
        <w:rPr>
          <w:sz w:val="24"/>
          <w:szCs w:val="24"/>
        </w:rPr>
        <w:t xml:space="preserve">Det saknas råd om farmakologisk behandling som skyddar mot utveckling till diabetes mellitus typ 2. Inget läkemedel i Sverige har prediabetes som godkänd indikation. Dock </w:t>
      </w:r>
      <w:r>
        <w:rPr>
          <w:sz w:val="24"/>
          <w:szCs w:val="24"/>
        </w:rPr>
        <w:t>kan, om</w:t>
      </w:r>
      <w:r w:rsidRPr="009A6195">
        <w:rPr>
          <w:sz w:val="24"/>
          <w:szCs w:val="24"/>
        </w:rPr>
        <w:t xml:space="preserve"> livsstilsåtgärder efter 3-6 månader inte räcker</w:t>
      </w:r>
      <w:r>
        <w:rPr>
          <w:sz w:val="24"/>
          <w:szCs w:val="24"/>
        </w:rPr>
        <w:t>,</w:t>
      </w:r>
      <w:r w:rsidRPr="009A6195">
        <w:rPr>
          <w:sz w:val="24"/>
          <w:szCs w:val="24"/>
        </w:rPr>
        <w:t xml:space="preserve"> Metformin sättas in hos högriskpatienter: uttalad övervikt, tidigare graviditetsdiabetes, snabbt stigande HbA1C eller glukos, diabetes i familjen (1:a gradens släkting), andra metabola riskfaktorer (hypertoni, dyslipidemi).</w:t>
      </w:r>
    </w:p>
    <w:p w14:paraId="3410BEDD" w14:textId="77777777" w:rsidR="00EC79BD" w:rsidRDefault="00EC79BD" w:rsidP="00EC79BD">
      <w:pPr>
        <w:rPr>
          <w:sz w:val="24"/>
          <w:szCs w:val="24"/>
        </w:rPr>
      </w:pPr>
    </w:p>
    <w:p w14:paraId="0176EEEB" w14:textId="77777777" w:rsidR="00EC79BD" w:rsidRPr="003A4EB2" w:rsidRDefault="00EC79BD" w:rsidP="00EC79BD">
      <w:pPr>
        <w:rPr>
          <w:rFonts w:ascii="Corbel" w:hAnsi="Corbel"/>
          <w:b/>
          <w:bCs/>
          <w:sz w:val="28"/>
          <w:szCs w:val="28"/>
        </w:rPr>
      </w:pPr>
      <w:r w:rsidRPr="3C344A4E">
        <w:rPr>
          <w:rFonts w:ascii="Corbel" w:hAnsi="Corbel"/>
          <w:b/>
          <w:bCs/>
          <w:sz w:val="28"/>
          <w:szCs w:val="28"/>
        </w:rPr>
        <w:t>Screening</w:t>
      </w:r>
    </w:p>
    <w:p w14:paraId="4AB85D8D" w14:textId="77777777" w:rsidR="00EC79BD" w:rsidRPr="00D469E8" w:rsidRDefault="00EC79BD" w:rsidP="00EC79BD">
      <w:pPr>
        <w:rPr>
          <w:rFonts w:asciiTheme="minorHAnsi" w:hAnsiTheme="minorHAnsi"/>
          <w:sz w:val="24"/>
          <w:szCs w:val="24"/>
        </w:rPr>
      </w:pPr>
      <w:r w:rsidRPr="00CF2B7D">
        <w:rPr>
          <w:rFonts w:asciiTheme="minorHAnsi" w:hAnsiTheme="minorHAnsi"/>
          <w:sz w:val="24"/>
          <w:szCs w:val="24"/>
        </w:rPr>
        <w:t>Det rekommenderas riktad screening för diabetes hos personer med: prediabetes, tidigare graviditetsdiabetes ärftlighet, kardiovaskulär sjukdom, hypertoni, obesitas, hyperlipidemi.</w:t>
      </w:r>
    </w:p>
    <w:p w14:paraId="1DE9BC33" w14:textId="77777777" w:rsidR="00EC79BD" w:rsidRDefault="00EC79BD" w:rsidP="00EC79BD">
      <w:pPr>
        <w:pStyle w:val="Rubrik2"/>
      </w:pPr>
      <w:r>
        <w:t>Riktvärden för behandlingsmål</w:t>
      </w:r>
    </w:p>
    <w:p w14:paraId="2AE5A487" w14:textId="77777777" w:rsidR="00EC79BD" w:rsidRPr="00C136C8" w:rsidRDefault="00EC79BD" w:rsidP="00EC79BD">
      <w:pPr>
        <w:rPr>
          <w:rStyle w:val="Stark"/>
          <w:rFonts w:asciiTheme="minorHAnsi" w:hAnsiTheme="minorHAnsi"/>
          <w:sz w:val="24"/>
          <w:szCs w:val="24"/>
        </w:rPr>
      </w:pPr>
      <w:r w:rsidRPr="00C136C8">
        <w:rPr>
          <w:rStyle w:val="Stark"/>
          <w:rFonts w:asciiTheme="minorHAnsi" w:hAnsiTheme="minorHAnsi"/>
          <w:sz w:val="24"/>
          <w:szCs w:val="24"/>
        </w:rPr>
        <w:t>Blodtryck</w:t>
      </w:r>
    </w:p>
    <w:p w14:paraId="46E5AB21" w14:textId="77777777" w:rsidR="00EC79BD" w:rsidRDefault="00EC79BD" w:rsidP="00EC79BD">
      <w:pPr>
        <w:rPr>
          <w:rStyle w:val="Stark"/>
          <w:rFonts w:asciiTheme="minorHAnsi" w:hAnsiTheme="minorHAnsi"/>
        </w:rPr>
      </w:pPr>
      <w:r w:rsidRPr="29610C94">
        <w:rPr>
          <w:rFonts w:asciiTheme="minorHAnsi" w:hAnsiTheme="minorHAnsi"/>
          <w:sz w:val="24"/>
          <w:szCs w:val="24"/>
        </w:rPr>
        <w:t xml:space="preserve">Målet bör utformas utifrån en individuell bedömning av nytta/risk. Lägre blodtrycksmål är önskvärt för unga patienter och för patienter med förhöjd albuminutsöndring i urinen, nefropati, retinopati, hög </w:t>
      </w:r>
      <w:r w:rsidRPr="00CF2B7D">
        <w:rPr>
          <w:rFonts w:asciiTheme="minorHAnsi" w:hAnsiTheme="minorHAnsi"/>
          <w:sz w:val="24"/>
          <w:szCs w:val="24"/>
        </w:rPr>
        <w:t>kardiovaskulär risk (</w:t>
      </w:r>
      <w:r w:rsidRPr="00CF2B7D">
        <w:rPr>
          <w:rStyle w:val="Stark"/>
          <w:rFonts w:asciiTheme="minorHAnsi" w:hAnsiTheme="minorHAnsi" w:cs="Open Sans"/>
          <w:color w:val="000000" w:themeColor="text1"/>
          <w:sz w:val="24"/>
          <w:szCs w:val="24"/>
        </w:rPr>
        <w:t>&lt;130/80</w:t>
      </w:r>
      <w:r w:rsidRPr="00CF2B7D">
        <w:rPr>
          <w:rFonts w:asciiTheme="minorHAnsi" w:hAnsiTheme="minorHAnsi"/>
          <w:sz w:val="24"/>
          <w:szCs w:val="24"/>
        </w:rPr>
        <w:t xml:space="preserve">). För patienter med lägre kardiovaskulär risk är målet </w:t>
      </w:r>
      <w:r w:rsidRPr="00CF2B7D">
        <w:rPr>
          <w:rStyle w:val="Stark"/>
          <w:rFonts w:asciiTheme="minorHAnsi" w:hAnsiTheme="minorHAnsi" w:cs="Open Sans"/>
          <w:color w:val="000000" w:themeColor="text1"/>
          <w:sz w:val="24"/>
          <w:szCs w:val="24"/>
        </w:rPr>
        <w:t>&lt;140/</w:t>
      </w:r>
      <w:r>
        <w:rPr>
          <w:rStyle w:val="Stark"/>
          <w:rFonts w:asciiTheme="minorHAnsi" w:hAnsiTheme="minorHAnsi" w:cs="Open Sans"/>
          <w:color w:val="000000" w:themeColor="text1"/>
          <w:sz w:val="24"/>
          <w:szCs w:val="24"/>
        </w:rPr>
        <w:t>90</w:t>
      </w:r>
      <w:r w:rsidRPr="00CF2B7D">
        <w:rPr>
          <w:rFonts w:asciiTheme="minorHAnsi" w:hAnsiTheme="minorHAnsi"/>
          <w:sz w:val="24"/>
          <w:szCs w:val="24"/>
        </w:rPr>
        <w:t xml:space="preserve">. </w:t>
      </w:r>
      <w:r>
        <w:rPr>
          <w:rFonts w:asciiTheme="minorHAnsi" w:hAnsiTheme="minorHAnsi"/>
          <w:sz w:val="24"/>
          <w:szCs w:val="24"/>
        </w:rPr>
        <w:t xml:space="preserve">För äldre och sköra patienter rekommenderas inte lägre än </w:t>
      </w:r>
      <w:r w:rsidRPr="0083775F">
        <w:rPr>
          <w:rFonts w:asciiTheme="minorHAnsi" w:hAnsiTheme="minorHAnsi"/>
          <w:b/>
          <w:bCs/>
          <w:sz w:val="24"/>
          <w:szCs w:val="24"/>
        </w:rPr>
        <w:t>120/80</w:t>
      </w:r>
      <w:r>
        <w:rPr>
          <w:rFonts w:asciiTheme="minorHAnsi" w:hAnsiTheme="minorHAnsi"/>
          <w:sz w:val="24"/>
          <w:szCs w:val="24"/>
        </w:rPr>
        <w:t xml:space="preserve">. </w:t>
      </w:r>
      <w:r w:rsidRPr="00CF2B7D">
        <w:rPr>
          <w:rFonts w:asciiTheme="minorHAnsi" w:hAnsiTheme="minorHAnsi"/>
          <w:sz w:val="24"/>
          <w:szCs w:val="24"/>
        </w:rPr>
        <w:t xml:space="preserve">För val av blodtrycksbehandling hänvisas till behandlingsrekommendationer vid hypertoni i Hjärt-kärlkapitlet. </w:t>
      </w:r>
      <w:r>
        <w:br/>
      </w:r>
    </w:p>
    <w:p w14:paraId="73E2F3E4" w14:textId="77777777" w:rsidR="00EC79BD" w:rsidRPr="00F475ED" w:rsidRDefault="00EC79BD" w:rsidP="00EC79BD">
      <w:pPr>
        <w:rPr>
          <w:rFonts w:asciiTheme="minorHAnsi" w:hAnsiTheme="minorHAnsi"/>
          <w:b/>
          <w:bCs/>
        </w:rPr>
      </w:pPr>
      <w:r w:rsidRPr="3C344A4E">
        <w:rPr>
          <w:rStyle w:val="Stark"/>
          <w:rFonts w:asciiTheme="minorHAnsi" w:hAnsiTheme="minorHAnsi"/>
        </w:rPr>
        <w:t xml:space="preserve">LDL </w:t>
      </w:r>
    </w:p>
    <w:p w14:paraId="64B3690A" w14:textId="77777777" w:rsidR="00EC79BD" w:rsidRPr="00CF0AD4" w:rsidRDefault="00EC79BD" w:rsidP="00EC79BD">
      <w:pPr>
        <w:rPr>
          <w:sz w:val="24"/>
          <w:szCs w:val="24"/>
        </w:rPr>
      </w:pPr>
      <w:r w:rsidRPr="3C344A4E">
        <w:rPr>
          <w:sz w:val="24"/>
          <w:szCs w:val="24"/>
        </w:rPr>
        <w:t>Livsstilsförändringar, optimering av glukossänkandebehandling rekommenderas för alla patienter.</w:t>
      </w:r>
      <w:r w:rsidRPr="0083775F">
        <w:rPr>
          <w:sz w:val="28"/>
          <w:szCs w:val="28"/>
        </w:rPr>
        <w:t xml:space="preserve"> </w:t>
      </w:r>
      <w:r w:rsidRPr="00CF0AD4">
        <w:rPr>
          <w:sz w:val="24"/>
          <w:szCs w:val="24"/>
        </w:rPr>
        <w:t>Rekommenderat lipidsänkande behandling: Atorvastatin, Rosuvastatin, Ezetimib, PCSK-9-hämmare.</w:t>
      </w:r>
    </w:p>
    <w:p w14:paraId="51D17E2C" w14:textId="77777777" w:rsidR="00EC79BD" w:rsidRPr="00E44D89" w:rsidRDefault="00EC79BD" w:rsidP="00EC79BD">
      <w:pPr>
        <w:rPr>
          <w:sz w:val="28"/>
          <w:szCs w:val="28"/>
        </w:rPr>
      </w:pPr>
      <w:r w:rsidRPr="00E44D89">
        <w:rPr>
          <w:sz w:val="28"/>
          <w:szCs w:val="28"/>
        </w:rPr>
        <w:t>Riskvärdering enligt SCORE 2</w:t>
      </w:r>
      <w:r>
        <w:rPr>
          <w:sz w:val="28"/>
          <w:szCs w:val="28"/>
        </w:rPr>
        <w:t xml:space="preserve"> DIABETES</w:t>
      </w:r>
      <w:r w:rsidRPr="00E44D89">
        <w:rPr>
          <w:sz w:val="28"/>
          <w:szCs w:val="28"/>
        </w:rPr>
        <w:t>.</w:t>
      </w:r>
    </w:p>
    <w:p w14:paraId="6CE23A25" w14:textId="77777777" w:rsidR="00EC79BD" w:rsidRDefault="00EC79BD" w:rsidP="00EC79BD">
      <w:pPr>
        <w:rPr>
          <w:sz w:val="24"/>
          <w:szCs w:val="24"/>
        </w:rPr>
      </w:pPr>
    </w:p>
    <w:p w14:paraId="3DDD8751" w14:textId="77777777" w:rsidR="00EC79BD" w:rsidRPr="006762A0" w:rsidRDefault="00EC79BD" w:rsidP="00EC79BD">
      <w:pPr>
        <w:spacing w:before="375" w:after="45" w:line="312" w:lineRule="atLeast"/>
        <w:outlineLvl w:val="1"/>
        <w:rPr>
          <w:rFonts w:asciiTheme="majorHAnsi" w:eastAsia="Times New Roman" w:hAnsiTheme="majorHAnsi" w:cs="Arial"/>
          <w:b/>
          <w:bCs/>
          <w:color w:val="000000"/>
          <w:sz w:val="28"/>
          <w:szCs w:val="28"/>
          <w:lang w:eastAsia="sv-SE"/>
        </w:rPr>
      </w:pPr>
      <w:r w:rsidRPr="00CF0AD4">
        <w:rPr>
          <w:rFonts w:asciiTheme="majorHAnsi" w:eastAsia="Times New Roman" w:hAnsiTheme="majorHAnsi" w:cs="Arial"/>
          <w:b/>
          <w:bCs/>
          <w:color w:val="000000"/>
          <w:sz w:val="28"/>
          <w:szCs w:val="28"/>
          <w:lang w:eastAsia="sv-SE"/>
        </w:rPr>
        <w:t>Initiering och uppföljning av behandling med PCSK9-hämmare</w:t>
      </w:r>
      <w:r w:rsidRPr="00E44D89">
        <w:rPr>
          <w:rFonts w:ascii="Arial" w:eastAsia="Times New Roman" w:hAnsi="Arial" w:cs="Arial"/>
          <w:color w:val="000000"/>
          <w:sz w:val="28"/>
          <w:szCs w:val="28"/>
          <w:lang w:eastAsia="sv-SE"/>
        </w:rPr>
        <w:br/>
      </w:r>
      <w:r w:rsidRPr="00CF0AD4">
        <w:rPr>
          <w:rFonts w:asciiTheme="minorHAnsi" w:eastAsia="Times New Roman" w:hAnsiTheme="minorHAnsi" w:cs="Arial"/>
          <w:color w:val="000000"/>
          <w:sz w:val="24"/>
          <w:szCs w:val="24"/>
          <w:lang w:eastAsia="sv-SE"/>
        </w:rPr>
        <w:t>PCSK9-hämmarna evolokumab (Repatha) och alirokumab (Praluent) har i kliniska prövningar vid aterosklerotisk hjärt-kärlsjukdom visat mycket effektiv LDL-sänkning ovanpå statinbehandling i hög dos och mycket få biverkningar (huvudsakligen besvär vid injektionsstället). Studierna skiljer sig åt avseende upplägg och patienter som studerats, men visar båda en cirka 1,5 procent absolut riskreduktion av kombinerade kardiovaskulära händelser under 2,2–2,8 års behandling.</w:t>
      </w:r>
    </w:p>
    <w:p w14:paraId="769CFB39" w14:textId="77777777" w:rsidR="00EC79BD" w:rsidRPr="00CF0AD4" w:rsidRDefault="00EC79BD" w:rsidP="00EC79BD">
      <w:pPr>
        <w:spacing w:line="360" w:lineRule="atLeast"/>
        <w:rPr>
          <w:rFonts w:asciiTheme="minorHAnsi" w:eastAsia="Times New Roman" w:hAnsiTheme="minorHAnsi" w:cs="Arial"/>
          <w:color w:val="000000"/>
          <w:sz w:val="24"/>
          <w:szCs w:val="24"/>
          <w:lang w:eastAsia="sv-SE"/>
        </w:rPr>
      </w:pPr>
    </w:p>
    <w:p w14:paraId="7F5EC0E0" w14:textId="77777777" w:rsidR="00EC79BD" w:rsidRPr="00CF0AD4" w:rsidRDefault="00EC79BD" w:rsidP="00EC79BD">
      <w:pPr>
        <w:spacing w:line="360" w:lineRule="atLeast"/>
        <w:rPr>
          <w:rFonts w:asciiTheme="minorHAnsi" w:eastAsia="Times New Roman" w:hAnsiTheme="minorHAnsi" w:cs="Arial"/>
          <w:color w:val="000000"/>
          <w:sz w:val="24"/>
          <w:szCs w:val="24"/>
          <w:lang w:eastAsia="sv-SE"/>
        </w:rPr>
      </w:pPr>
      <w:r w:rsidRPr="00CF0AD4">
        <w:rPr>
          <w:rFonts w:asciiTheme="minorHAnsi" w:eastAsia="Times New Roman" w:hAnsiTheme="minorHAnsi" w:cs="Arial"/>
          <w:color w:val="000000"/>
          <w:sz w:val="24"/>
          <w:szCs w:val="24"/>
          <w:lang w:eastAsia="sv-SE"/>
        </w:rPr>
        <w:t>Enligt TLV subventioneras evolokumab (Repatha) och alirokumab (Praluent):</w:t>
      </w:r>
    </w:p>
    <w:p w14:paraId="711A4549" w14:textId="77777777" w:rsidR="00EC79BD" w:rsidRPr="00CF0AD4" w:rsidRDefault="00EC79BD" w:rsidP="00EC79BD">
      <w:pPr>
        <w:numPr>
          <w:ilvl w:val="0"/>
          <w:numId w:val="133"/>
        </w:numPr>
        <w:tabs>
          <w:tab w:val="clear" w:pos="284"/>
        </w:tabs>
        <w:spacing w:line="384" w:lineRule="atLeast"/>
        <w:rPr>
          <w:rFonts w:asciiTheme="minorHAnsi" w:eastAsia="Times New Roman" w:hAnsiTheme="minorHAnsi" w:cs="Arial"/>
          <w:color w:val="000000"/>
          <w:sz w:val="24"/>
          <w:szCs w:val="24"/>
          <w:lang w:eastAsia="sv-SE"/>
        </w:rPr>
      </w:pPr>
      <w:r w:rsidRPr="00CF0AD4">
        <w:rPr>
          <w:rFonts w:asciiTheme="minorHAnsi" w:eastAsia="Times New Roman" w:hAnsiTheme="minorHAnsi" w:cs="Arial"/>
          <w:color w:val="000000"/>
          <w:sz w:val="24"/>
          <w:szCs w:val="24"/>
          <w:lang w:eastAsia="sv-SE"/>
        </w:rPr>
        <w:t>Vid diagnostiserad aterosklerotisk hjärt- och kärlsjukdom som trots maximal tolererbar behandling med statin och ezetimib har kvarstående LDL-kolesterol ≥1,8 mmol/l.</w:t>
      </w:r>
    </w:p>
    <w:p w14:paraId="17E101BA" w14:textId="77777777" w:rsidR="00EC79BD" w:rsidRPr="00CF0AD4" w:rsidRDefault="00EC79BD" w:rsidP="00EC79BD">
      <w:pPr>
        <w:numPr>
          <w:ilvl w:val="0"/>
          <w:numId w:val="133"/>
        </w:numPr>
        <w:tabs>
          <w:tab w:val="clear" w:pos="284"/>
        </w:tabs>
        <w:spacing w:line="384" w:lineRule="atLeast"/>
        <w:rPr>
          <w:rFonts w:asciiTheme="minorHAnsi" w:eastAsia="Times New Roman" w:hAnsiTheme="minorHAnsi" w:cs="Arial"/>
          <w:color w:val="000000"/>
          <w:sz w:val="24"/>
          <w:szCs w:val="24"/>
          <w:lang w:eastAsia="sv-SE"/>
        </w:rPr>
      </w:pPr>
      <w:r w:rsidRPr="00CF0AD4">
        <w:rPr>
          <w:rFonts w:asciiTheme="minorHAnsi" w:eastAsia="Times New Roman" w:hAnsiTheme="minorHAnsi" w:cs="Arial"/>
          <w:color w:val="000000"/>
          <w:sz w:val="24"/>
          <w:szCs w:val="24"/>
          <w:lang w:eastAsia="sv-SE"/>
        </w:rPr>
        <w:t>Vid diagnostiserad heterozygot familjär hyperkolesterolemi som trots maximal tolererbar behandling med statin och ezetimib har kvarstående LDL-kolesterol ≥2,6 mmol/l.</w:t>
      </w:r>
    </w:p>
    <w:p w14:paraId="2E0BE7F5" w14:textId="77777777" w:rsidR="00EC79BD" w:rsidRPr="00CF0AD4" w:rsidRDefault="00EC79BD" w:rsidP="00EC79BD">
      <w:pPr>
        <w:numPr>
          <w:ilvl w:val="0"/>
          <w:numId w:val="133"/>
        </w:numPr>
        <w:tabs>
          <w:tab w:val="clear" w:pos="284"/>
        </w:tabs>
        <w:spacing w:line="384" w:lineRule="atLeast"/>
        <w:rPr>
          <w:rFonts w:asciiTheme="minorHAnsi" w:eastAsia="Times New Roman" w:hAnsiTheme="minorHAnsi" w:cs="Arial"/>
          <w:color w:val="000000"/>
          <w:sz w:val="24"/>
          <w:szCs w:val="24"/>
          <w:lang w:eastAsia="sv-SE"/>
        </w:rPr>
      </w:pPr>
      <w:r w:rsidRPr="00CF0AD4">
        <w:rPr>
          <w:rFonts w:asciiTheme="minorHAnsi" w:eastAsia="Times New Roman" w:hAnsiTheme="minorHAnsi" w:cs="Arial"/>
          <w:color w:val="000000"/>
          <w:sz w:val="24"/>
          <w:szCs w:val="24"/>
          <w:lang w:eastAsia="sv-SE"/>
        </w:rPr>
        <w:t>Vid homozygot familjär hyperkolesterolemi (Repatha).</w:t>
      </w:r>
    </w:p>
    <w:p w14:paraId="19CE5C00" w14:textId="77777777" w:rsidR="00EC79BD" w:rsidRPr="00CF0AD4" w:rsidRDefault="00EC79BD" w:rsidP="00EC79BD">
      <w:pPr>
        <w:numPr>
          <w:ilvl w:val="0"/>
          <w:numId w:val="133"/>
        </w:numPr>
        <w:tabs>
          <w:tab w:val="clear" w:pos="284"/>
        </w:tabs>
        <w:spacing w:line="384" w:lineRule="atLeast"/>
        <w:rPr>
          <w:rFonts w:asciiTheme="minorHAnsi" w:eastAsia="Times New Roman" w:hAnsiTheme="minorHAnsi" w:cs="Arial"/>
          <w:color w:val="000000"/>
          <w:sz w:val="24"/>
          <w:szCs w:val="24"/>
          <w:lang w:eastAsia="sv-SE"/>
        </w:rPr>
      </w:pPr>
      <w:r w:rsidRPr="00CF0AD4">
        <w:rPr>
          <w:rFonts w:asciiTheme="minorHAnsi" w:eastAsia="Times New Roman" w:hAnsiTheme="minorHAnsi" w:cs="Arial"/>
          <w:color w:val="000000"/>
          <w:sz w:val="24"/>
          <w:szCs w:val="24"/>
          <w:lang w:eastAsia="sv-SE"/>
        </w:rPr>
        <w:t>Vissa patienter med diagnostiserad diabetes mellitus och hög kardiovaskulär risk som trots maximal tolererbar behandling med statin och ezetimib har kvarstående LDL-kolesterol på ≥2,6 mmol/l.</w:t>
      </w:r>
    </w:p>
    <w:p w14:paraId="1CAC361B" w14:textId="77777777" w:rsidR="00EC79BD" w:rsidRPr="00E44D89" w:rsidRDefault="00EC79BD" w:rsidP="00EC79BD">
      <w:pPr>
        <w:spacing w:line="360" w:lineRule="atLeast"/>
        <w:rPr>
          <w:rFonts w:ascii="Arial" w:eastAsia="Times New Roman" w:hAnsi="Arial" w:cs="Arial"/>
          <w:b/>
          <w:bCs/>
          <w:color w:val="000000"/>
          <w:sz w:val="28"/>
          <w:szCs w:val="28"/>
          <w:lang w:eastAsia="sv-SE"/>
        </w:rPr>
      </w:pPr>
    </w:p>
    <w:p w14:paraId="15A475F0" w14:textId="77777777" w:rsidR="00EC79BD" w:rsidRPr="00D4016F" w:rsidRDefault="00EC79BD" w:rsidP="00EC79BD">
      <w:pPr>
        <w:spacing w:line="360" w:lineRule="atLeast"/>
        <w:jc w:val="both"/>
        <w:rPr>
          <w:rFonts w:asciiTheme="minorHAnsi" w:eastAsia="Times New Roman" w:hAnsiTheme="minorHAnsi" w:cs="Arial"/>
          <w:color w:val="000000"/>
          <w:sz w:val="24"/>
          <w:szCs w:val="24"/>
          <w:lang w:eastAsia="sv-SE"/>
        </w:rPr>
      </w:pPr>
      <w:r w:rsidRPr="00CF0AD4">
        <w:rPr>
          <w:rFonts w:asciiTheme="minorHAnsi" w:eastAsia="Times New Roman" w:hAnsiTheme="minorHAnsi" w:cs="Arial"/>
          <w:b/>
          <w:bCs/>
          <w:color w:val="000000"/>
          <w:sz w:val="24"/>
          <w:szCs w:val="24"/>
          <w:lang w:eastAsia="sv-SE"/>
        </w:rPr>
        <w:t>Behandlingen ska inledas på specialistmottagningar inom kardiologi, endokrinologi, neurologi eller internmedicin. Därefter uppföljning via primärvården. Injektioner subkutant av PCSK9-hämmare förväntas skötas av patienten själv.</w:t>
      </w:r>
    </w:p>
    <w:p w14:paraId="614D40A4" w14:textId="77777777" w:rsidR="00EC79BD" w:rsidRDefault="00EC79BD" w:rsidP="00EC79BD">
      <w:pPr>
        <w:pStyle w:val="Normal10"/>
        <w:spacing w:before="0" w:beforeAutospacing="0" w:after="240" w:afterAutospacing="0"/>
        <w:rPr>
          <w:noProof/>
          <w:color w:val="FF0000"/>
        </w:rPr>
      </w:pPr>
      <w:r>
        <w:rPr>
          <w:noProof/>
        </w:rPr>
        <w:drawing>
          <wp:inline distT="0" distB="0" distL="0" distR="0" wp14:anchorId="59ECFFEE" wp14:editId="74232E1E">
            <wp:extent cx="6479540" cy="3644900"/>
            <wp:effectExtent l="0" t="0" r="0" b="0"/>
            <wp:docPr id="54861843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18434"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6479540" cy="3644900"/>
                    </a:xfrm>
                    <a:prstGeom prst="rect">
                      <a:avLst/>
                    </a:prstGeom>
                  </pic:spPr>
                </pic:pic>
              </a:graphicData>
            </a:graphic>
          </wp:inline>
        </w:drawing>
      </w:r>
    </w:p>
    <w:p w14:paraId="6BB5C637" w14:textId="77777777" w:rsidR="00EC79BD" w:rsidRPr="00282BCB" w:rsidRDefault="00EC79BD" w:rsidP="00EC79BD">
      <w:pPr>
        <w:pStyle w:val="Normal10"/>
        <w:spacing w:before="0" w:beforeAutospacing="0" w:after="240" w:afterAutospacing="0"/>
        <w:rPr>
          <w:rFonts w:eastAsia="Garamond" w:cs="Garamond"/>
          <w:b/>
          <w:bCs/>
          <w:color w:val="FF0000"/>
        </w:rPr>
      </w:pPr>
      <w:r w:rsidRPr="00D4016F">
        <w:rPr>
          <w:rFonts w:eastAsia="Garamond" w:cs="Garamond"/>
          <w:b/>
          <w:bCs/>
          <w:noProof/>
          <w:color w:val="FF0000"/>
        </w:rPr>
        <w:lastRenderedPageBreak/>
        <w:drawing>
          <wp:inline distT="0" distB="0" distL="0" distR="0" wp14:anchorId="04AD1AE1" wp14:editId="7FECE574">
            <wp:extent cx="6479540" cy="4630420"/>
            <wp:effectExtent l="0" t="0" r="0" b="0"/>
            <wp:docPr id="1664701827" name="Bildobjekt 1"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01827" name="Bildobjekt 1" descr="En bild som visar text, skärmbild, Teckensnitt, nummer&#10;&#10;AI-genererat innehåll kan vara felaktig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79540" cy="4630420"/>
                    </a:xfrm>
                    <a:prstGeom prst="rect">
                      <a:avLst/>
                    </a:prstGeom>
                    <a:noFill/>
                    <a:ln>
                      <a:noFill/>
                    </a:ln>
                  </pic:spPr>
                </pic:pic>
              </a:graphicData>
            </a:graphic>
          </wp:inline>
        </w:drawing>
      </w:r>
    </w:p>
    <w:p w14:paraId="378228BD" w14:textId="77777777" w:rsidR="00EC79BD" w:rsidRPr="005200CA" w:rsidRDefault="00EC79BD" w:rsidP="00EC79BD">
      <w:pPr>
        <w:pStyle w:val="Rubrik2"/>
      </w:pPr>
      <w:r>
        <w:t xml:space="preserve">HbA1c </w:t>
      </w:r>
    </w:p>
    <w:p w14:paraId="17619EC6" w14:textId="77777777" w:rsidR="00EC79BD" w:rsidRDefault="00EC79BD" w:rsidP="00EC79BD">
      <w:pPr>
        <w:rPr>
          <w:sz w:val="24"/>
          <w:szCs w:val="24"/>
        </w:rPr>
      </w:pPr>
      <w:r w:rsidRPr="00CF2B7D">
        <w:rPr>
          <w:sz w:val="24"/>
          <w:szCs w:val="24"/>
        </w:rPr>
        <w:t>Behandlingsmål bör utformas utifrån en individuell bedömning av nyttan och eventuella risker med behandlingen. Nydiagnostiserad diabetes, debut i lägre åldrar och låg risk för oupptäckt hjärt-kärlsjukdom kan vara motiv för att eftersträva HbA1c-värden i nivå, eller nära värden för personer utan diabetes. En mer intensiv behandling lämpar sig för personer som har förmågan att ta till sig kunskaper för att uppnå en god glukoskontroll. Frekventa allvarliga hypoglykemier, svåra mikro- och makrovaskulära komplikationer inklusive hjärt-kärlsjukdom, annan allvarlig sjukdom, begränsad återstående livslängd på grund av sjukdom eller hög ålder kan vara motiv för en högre nivå. Ett övre riktvärde för HbA1c kan vara 70 mmol/mol eftersom värdet omkring och över denna nivå kraftigt ökar risken för diabeteskomplikationer. Dessa personer kan ha särskilda behov och behöva extra stöd i</w:t>
      </w:r>
      <w:r w:rsidRPr="29610C94">
        <w:rPr>
          <w:sz w:val="24"/>
          <w:szCs w:val="24"/>
        </w:rPr>
        <w:t xml:space="preserve"> form av tätare besök hos diabetessjuksköterskor och läkare, eller vid behov hos andra yrkesgrupper inom diabetesteamet</w:t>
      </w:r>
    </w:p>
    <w:p w14:paraId="1714C9AE" w14:textId="77777777" w:rsidR="00EC79BD" w:rsidRPr="001B07DF" w:rsidRDefault="00EC79BD" w:rsidP="00EC79BD">
      <w:pPr>
        <w:rPr>
          <w:sz w:val="24"/>
          <w:szCs w:val="24"/>
        </w:rPr>
      </w:pPr>
    </w:p>
    <w:p w14:paraId="1389D116" w14:textId="77777777" w:rsidR="00EC79BD" w:rsidRDefault="00EC79BD" w:rsidP="00EC79BD"/>
    <w:p w14:paraId="2926E74D" w14:textId="77777777" w:rsidR="00EC79BD" w:rsidRDefault="00EC79BD" w:rsidP="00EC79BD">
      <w:pPr>
        <w:shd w:val="clear" w:color="auto" w:fill="FFFFFF" w:themeFill="background2"/>
        <w:tabs>
          <w:tab w:val="clear" w:pos="284"/>
        </w:tabs>
        <w:spacing w:line="240" w:lineRule="auto"/>
        <w:rPr>
          <w:sz w:val="24"/>
          <w:szCs w:val="24"/>
        </w:rPr>
      </w:pPr>
    </w:p>
    <w:p w14:paraId="54843230" w14:textId="77777777" w:rsidR="00EC79BD" w:rsidRPr="005200CA" w:rsidRDefault="00EC79BD" w:rsidP="00EC79BD">
      <w:r w:rsidRPr="0071138D">
        <w:rPr>
          <w:noProof/>
        </w:rPr>
        <w:lastRenderedPageBreak/>
        <w:drawing>
          <wp:inline distT="0" distB="0" distL="0" distR="0" wp14:anchorId="3E2B8A6D" wp14:editId="0459858F">
            <wp:extent cx="5759450" cy="2879090"/>
            <wp:effectExtent l="0" t="0" r="0" b="0"/>
            <wp:docPr id="86" name="Bildobjekt 86"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Bildobjekt 86" descr="En bild som visar text, skärmbild, Teckensnitt, nummer&#10;&#10;AI-genererat innehåll kan vara felaktigt."/>
                    <pic:cNvPicPr/>
                  </pic:nvPicPr>
                  <pic:blipFill>
                    <a:blip r:embed="rId43"/>
                    <a:stretch>
                      <a:fillRect/>
                    </a:stretch>
                  </pic:blipFill>
                  <pic:spPr>
                    <a:xfrm>
                      <a:off x="0" y="0"/>
                      <a:ext cx="5759450" cy="2879090"/>
                    </a:xfrm>
                    <a:prstGeom prst="rect">
                      <a:avLst/>
                    </a:prstGeom>
                  </pic:spPr>
                </pic:pic>
              </a:graphicData>
            </a:graphic>
          </wp:inline>
        </w:drawing>
      </w:r>
    </w:p>
    <w:p w14:paraId="6E8644A2" w14:textId="77777777" w:rsidR="00EC79BD" w:rsidRPr="005200CA" w:rsidRDefault="00EC79BD" w:rsidP="00EC79BD">
      <w:r w:rsidRPr="6011B005">
        <w:rPr>
          <w:sz w:val="16"/>
          <w:szCs w:val="16"/>
        </w:rPr>
        <w:t xml:space="preserve">Källa </w:t>
      </w:r>
      <w:r w:rsidRPr="6011B005">
        <w:rPr>
          <w:color w:val="000000" w:themeColor="text1"/>
          <w:sz w:val="16"/>
          <w:szCs w:val="16"/>
        </w:rPr>
        <w:t>diabeteshandboken.se</w:t>
      </w:r>
    </w:p>
    <w:p w14:paraId="3003FBF4" w14:textId="77777777" w:rsidR="00EC79BD" w:rsidRDefault="00EC79BD" w:rsidP="00EC79BD">
      <w:pPr>
        <w:tabs>
          <w:tab w:val="clear" w:pos="284"/>
        </w:tabs>
        <w:spacing w:after="120" w:line="260" w:lineRule="atLeast"/>
        <w:rPr>
          <w:rFonts w:ascii="Open Sans" w:hAnsi="Open Sans" w:cs="Open Sans"/>
          <w:color w:val="404040"/>
        </w:rPr>
      </w:pPr>
    </w:p>
    <w:p w14:paraId="23E59848" w14:textId="77777777" w:rsidR="00EC79BD" w:rsidRPr="00097319" w:rsidRDefault="00EC79BD" w:rsidP="00EC79BD">
      <w:pPr>
        <w:tabs>
          <w:tab w:val="clear" w:pos="284"/>
        </w:tabs>
        <w:spacing w:after="120" w:line="260" w:lineRule="atLeast"/>
        <w:rPr>
          <w:rFonts w:asciiTheme="minorHAnsi" w:hAnsiTheme="minorHAnsi" w:cs="Open Sans"/>
          <w:color w:val="404040"/>
          <w:sz w:val="24"/>
          <w:szCs w:val="24"/>
        </w:rPr>
      </w:pPr>
      <w:r w:rsidRPr="00097319">
        <w:rPr>
          <w:rFonts w:asciiTheme="minorHAnsi" w:hAnsiTheme="minorHAnsi" w:cs="Open Sans"/>
          <w:color w:val="404040"/>
          <w:sz w:val="24"/>
          <w:szCs w:val="24"/>
        </w:rPr>
        <w:t>Oväntat lågt HbA1c kan förekomma bl.a. vid graviditet, postoperativt, behandling av anemi, erytropoetinbehandling, hemolys, uttalad hypertriglyceridemi, hemoglobinvarianter.</w:t>
      </w:r>
    </w:p>
    <w:p w14:paraId="3A0FD76D" w14:textId="77777777" w:rsidR="00EC79BD" w:rsidRDefault="00EC79BD" w:rsidP="00EC79BD">
      <w:pPr>
        <w:tabs>
          <w:tab w:val="clear" w:pos="284"/>
        </w:tabs>
        <w:spacing w:after="120" w:line="260" w:lineRule="atLeast"/>
        <w:rPr>
          <w:rFonts w:asciiTheme="minorHAnsi" w:hAnsiTheme="minorHAnsi" w:cs="Open Sans"/>
          <w:color w:val="404040"/>
          <w:sz w:val="24"/>
          <w:szCs w:val="24"/>
        </w:rPr>
      </w:pPr>
      <w:r w:rsidRPr="00097319">
        <w:rPr>
          <w:rFonts w:asciiTheme="minorHAnsi" w:hAnsiTheme="minorHAnsi" w:cs="Open Sans"/>
          <w:color w:val="404040"/>
          <w:sz w:val="24"/>
          <w:szCs w:val="24"/>
        </w:rPr>
        <w:t>Oväntat högt HbA1c – efter blodtransfusion, hög dos acetylsalicylsyra, hemoglobinvarianter.</w:t>
      </w:r>
    </w:p>
    <w:p w14:paraId="0CC83F33" w14:textId="77777777" w:rsidR="00EC79BD" w:rsidRDefault="00EC79BD" w:rsidP="00EC79BD">
      <w:pPr>
        <w:tabs>
          <w:tab w:val="clear" w:pos="284"/>
        </w:tabs>
        <w:spacing w:after="120" w:line="260" w:lineRule="atLeast"/>
        <w:rPr>
          <w:rFonts w:asciiTheme="minorHAnsi" w:hAnsiTheme="minorHAnsi" w:cs="Open Sans"/>
          <w:color w:val="404040"/>
          <w:sz w:val="24"/>
          <w:szCs w:val="24"/>
        </w:rPr>
      </w:pPr>
    </w:p>
    <w:p w14:paraId="792D4FC1" w14:textId="77777777" w:rsidR="00EC79BD" w:rsidRPr="002B303C" w:rsidRDefault="00EC79BD" w:rsidP="00EC79BD">
      <w:pPr>
        <w:tabs>
          <w:tab w:val="clear" w:pos="284"/>
        </w:tabs>
        <w:spacing w:after="120" w:line="260" w:lineRule="atLeast"/>
        <w:rPr>
          <w:rFonts w:ascii="Open Sans" w:hAnsi="Open Sans" w:cs="Open Sans"/>
          <w:color w:val="404040"/>
          <w:highlight w:val="yellow"/>
        </w:rPr>
      </w:pPr>
      <w:r>
        <w:rPr>
          <w:noProof/>
        </w:rPr>
        <w:drawing>
          <wp:inline distT="0" distB="0" distL="0" distR="0" wp14:anchorId="35BFFBFB" wp14:editId="3028C018">
            <wp:extent cx="6120765" cy="3629660"/>
            <wp:effectExtent l="0" t="0" r="0" b="8890"/>
            <wp:docPr id="478634139" name="picture"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34139" name="picture" descr="En bild som visar text, skärmbild, Teckensnitt, nummer&#10;&#10;AI-genererat innehåll kan vara felaktigt."/>
                    <pic:cNvPicPr/>
                  </pic:nvPicPr>
                  <pic:blipFill>
                    <a:blip r:embed="rId44">
                      <a:extLst>
                        <a:ext uri="{28A0092B-C50C-407E-A947-70E740481C1C}">
                          <a14:useLocalDpi xmlns:a14="http://schemas.microsoft.com/office/drawing/2010/main" val="0"/>
                        </a:ext>
                      </a:extLst>
                    </a:blip>
                    <a:stretch>
                      <a:fillRect/>
                    </a:stretch>
                  </pic:blipFill>
                  <pic:spPr>
                    <a:xfrm>
                      <a:off x="0" y="0"/>
                      <a:ext cx="6120765" cy="3629660"/>
                    </a:xfrm>
                    <a:prstGeom prst="rect">
                      <a:avLst/>
                    </a:prstGeom>
                  </pic:spPr>
                </pic:pic>
              </a:graphicData>
            </a:graphic>
          </wp:inline>
        </w:drawing>
      </w:r>
    </w:p>
    <w:p w14:paraId="5A59A336" w14:textId="77777777" w:rsidR="00EC79BD" w:rsidRPr="00A034E6" w:rsidRDefault="00EC79BD" w:rsidP="00EC79BD">
      <w:pPr>
        <w:tabs>
          <w:tab w:val="clear" w:pos="284"/>
        </w:tabs>
        <w:spacing w:after="120" w:line="260" w:lineRule="atLeast"/>
        <w:rPr>
          <w:rFonts w:asciiTheme="minorHAnsi" w:hAnsiTheme="minorHAnsi" w:cs="Open Sans"/>
          <w:color w:val="404040" w:themeColor="text1" w:themeTint="BF"/>
        </w:rPr>
      </w:pPr>
      <w:r w:rsidRPr="00CF0AD4">
        <w:rPr>
          <w:rFonts w:asciiTheme="minorHAnsi" w:hAnsiTheme="minorHAnsi" w:cs="Open Sans"/>
          <w:color w:val="404040" w:themeColor="text1" w:themeTint="BF"/>
        </w:rPr>
        <w:t>Källa</w:t>
      </w:r>
      <w:r>
        <w:rPr>
          <w:rFonts w:asciiTheme="minorHAnsi" w:hAnsiTheme="minorHAnsi" w:cs="Open Sans"/>
          <w:color w:val="404040" w:themeColor="text1" w:themeTint="BF"/>
        </w:rPr>
        <w:t>:</w:t>
      </w:r>
      <w:r w:rsidRPr="00CF0AD4">
        <w:rPr>
          <w:rFonts w:asciiTheme="minorHAnsi" w:hAnsiTheme="minorHAnsi" w:cs="Open Sans"/>
          <w:color w:val="404040" w:themeColor="text1" w:themeTint="BF"/>
        </w:rPr>
        <w:t xml:space="preserve"> Kliniskt kunskapsstöd 1177.se 2024</w:t>
      </w:r>
    </w:p>
    <w:p w14:paraId="3BD73173" w14:textId="77777777" w:rsidR="00EC79BD" w:rsidRPr="00127435" w:rsidRDefault="00EC79BD" w:rsidP="00EC79BD">
      <w:pPr>
        <w:tabs>
          <w:tab w:val="clear" w:pos="284"/>
        </w:tabs>
        <w:spacing w:line="240" w:lineRule="auto"/>
        <w:rPr>
          <w:rFonts w:asciiTheme="majorHAnsi" w:eastAsia="Times New Roman" w:hAnsiTheme="majorHAnsi" w:cs="Segoe UI"/>
          <w:b/>
          <w:bCs/>
          <w:color w:val="212121"/>
          <w:sz w:val="28"/>
          <w:szCs w:val="28"/>
          <w:lang w:eastAsia="sv-SE"/>
        </w:rPr>
      </w:pPr>
      <w:r w:rsidRPr="00127435">
        <w:rPr>
          <w:rFonts w:asciiTheme="majorHAnsi" w:eastAsia="Times New Roman" w:hAnsiTheme="majorHAnsi" w:cs="Segoe UI"/>
          <w:b/>
          <w:bCs/>
          <w:color w:val="212121"/>
          <w:sz w:val="28"/>
          <w:szCs w:val="28"/>
          <w:shd w:val="clear" w:color="auto" w:fill="FFFFFF"/>
          <w:lang w:eastAsia="sv-SE"/>
        </w:rPr>
        <w:t>C-peptid</w:t>
      </w:r>
    </w:p>
    <w:p w14:paraId="4990D2A8"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color w:val="333333"/>
          <w:sz w:val="24"/>
          <w:szCs w:val="24"/>
          <w:lang w:eastAsia="sv-SE"/>
        </w:rPr>
      </w:pPr>
      <w:r w:rsidRPr="00127435">
        <w:rPr>
          <w:rFonts w:asciiTheme="minorHAnsi" w:eastAsia="Times New Roman" w:hAnsiTheme="minorHAnsi" w:cs="Segoe UI"/>
          <w:color w:val="333333"/>
          <w:sz w:val="24"/>
          <w:szCs w:val="24"/>
          <w:lang w:eastAsia="sv-SE"/>
        </w:rPr>
        <w:lastRenderedPageBreak/>
        <w:t xml:space="preserve">C-peptid är ett mått på endogen insulinproduktion (exogen tillfört insulin innehåller inget </w:t>
      </w:r>
      <w:r w:rsidRPr="00127435">
        <w:rPr>
          <w:rFonts w:asciiTheme="minorHAnsi" w:eastAsia="Times New Roman" w:hAnsiTheme="minorHAnsi" w:cs="Segoe UI"/>
          <w:color w:val="333333"/>
          <w:sz w:val="24"/>
          <w:szCs w:val="24"/>
          <w:lang w:eastAsia="sv-SE"/>
        </w:rPr>
        <w:br/>
        <w:t xml:space="preserve">C-peptid). Resultatet tolkas bäst i relation till ett samtidigt taget P-Glukos; proverna kan med fördel tas icke-fastande (inom 5 timmar efter maten). </w:t>
      </w:r>
    </w:p>
    <w:p w14:paraId="53EE549E" w14:textId="77777777" w:rsidR="00EC79BD"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eastAsia="sv-SE"/>
        </w:rPr>
      </w:pPr>
      <w:r w:rsidRPr="00127435">
        <w:rPr>
          <w:rFonts w:asciiTheme="minorHAnsi" w:eastAsia="Times New Roman" w:hAnsiTheme="minorHAnsi" w:cs="Segoe UI"/>
          <w:color w:val="333333"/>
          <w:sz w:val="24"/>
          <w:szCs w:val="24"/>
          <w:lang w:eastAsia="sv-SE"/>
        </w:rPr>
        <w:t>Om resultatet är &lt; 0,</w:t>
      </w:r>
      <w:r>
        <w:rPr>
          <w:rFonts w:asciiTheme="minorHAnsi" w:eastAsia="Times New Roman" w:hAnsiTheme="minorHAnsi" w:cs="Segoe UI"/>
          <w:color w:val="333333"/>
          <w:sz w:val="24"/>
          <w:szCs w:val="24"/>
          <w:lang w:eastAsia="sv-SE"/>
        </w:rPr>
        <w:t>2</w:t>
      </w:r>
      <w:r w:rsidRPr="00127435">
        <w:rPr>
          <w:rFonts w:asciiTheme="minorHAnsi" w:eastAsia="Times New Roman" w:hAnsiTheme="minorHAnsi" w:cs="Segoe UI"/>
          <w:color w:val="333333"/>
          <w:sz w:val="24"/>
          <w:szCs w:val="24"/>
          <w:lang w:eastAsia="sv-SE"/>
        </w:rPr>
        <w:t xml:space="preserve"> nmol/L – bristande insulinproduktion; </w:t>
      </w:r>
      <w:r w:rsidRPr="00127435">
        <w:rPr>
          <w:rFonts w:asciiTheme="minorHAnsi" w:eastAsia="Times New Roman" w:hAnsiTheme="minorHAnsi" w:cs="Segoe UI"/>
          <w:color w:val="333333"/>
          <w:sz w:val="24"/>
          <w:szCs w:val="24"/>
          <w:lang w:eastAsia="sv-SE"/>
        </w:rPr>
        <w:br/>
        <w:t xml:space="preserve">om </w:t>
      </w:r>
      <w:r>
        <w:rPr>
          <w:rFonts w:asciiTheme="minorHAnsi" w:eastAsia="Times New Roman" w:hAnsiTheme="minorHAnsi" w:cs="Segoe UI"/>
          <w:color w:val="333333"/>
          <w:sz w:val="24"/>
          <w:szCs w:val="24"/>
          <w:lang w:eastAsia="sv-SE"/>
        </w:rPr>
        <w:t>värdet ligger mellan 0.2 och</w:t>
      </w:r>
      <w:r w:rsidRPr="00127435">
        <w:rPr>
          <w:rFonts w:asciiTheme="minorHAnsi" w:eastAsia="Times New Roman" w:hAnsiTheme="minorHAnsi" w:cs="Segoe UI"/>
          <w:color w:val="333333"/>
          <w:sz w:val="24"/>
          <w:szCs w:val="24"/>
          <w:lang w:eastAsia="sv-SE"/>
        </w:rPr>
        <w:t xml:space="preserve"> 0.6nmol/L </w:t>
      </w:r>
      <w:r>
        <w:rPr>
          <w:rFonts w:asciiTheme="minorHAnsi" w:eastAsia="Times New Roman" w:hAnsiTheme="minorHAnsi" w:cs="Segoe UI"/>
          <w:color w:val="333333"/>
          <w:sz w:val="24"/>
          <w:szCs w:val="24"/>
          <w:lang w:eastAsia="sv-SE"/>
        </w:rPr>
        <w:t>–</w:t>
      </w:r>
      <w:r w:rsidRPr="00127435">
        <w:rPr>
          <w:rFonts w:asciiTheme="minorHAnsi" w:eastAsia="Times New Roman" w:hAnsiTheme="minorHAnsi" w:cs="Segoe UI"/>
          <w:color w:val="333333"/>
          <w:sz w:val="24"/>
          <w:szCs w:val="24"/>
          <w:lang w:eastAsia="sv-SE"/>
        </w:rPr>
        <w:t xml:space="preserve"> </w:t>
      </w:r>
      <w:r>
        <w:rPr>
          <w:rFonts w:asciiTheme="minorHAnsi" w:eastAsia="Times New Roman" w:hAnsiTheme="minorHAnsi" w:cs="Segoe UI"/>
          <w:color w:val="333333"/>
          <w:sz w:val="24"/>
          <w:szCs w:val="24"/>
          <w:lang w:eastAsia="sv-SE"/>
        </w:rPr>
        <w:t>låg/normal</w:t>
      </w:r>
      <w:r w:rsidRPr="00127435">
        <w:rPr>
          <w:rFonts w:asciiTheme="minorHAnsi" w:eastAsia="Times New Roman" w:hAnsiTheme="minorHAnsi" w:cs="Segoe UI"/>
          <w:color w:val="333333"/>
          <w:sz w:val="24"/>
          <w:szCs w:val="24"/>
          <w:lang w:eastAsia="sv-SE"/>
        </w:rPr>
        <w:t xml:space="preserve"> insulinproduktion. </w:t>
      </w:r>
      <w:r>
        <w:rPr>
          <w:rFonts w:asciiTheme="minorHAnsi" w:eastAsia="Times New Roman" w:hAnsiTheme="minorHAnsi" w:cs="Segoe UI"/>
          <w:color w:val="333333"/>
          <w:sz w:val="24"/>
          <w:szCs w:val="24"/>
          <w:lang w:eastAsia="sv-SE"/>
        </w:rPr>
        <w:t>Värde mellan 0,6 och 1,5 är normalvärde. Över 1,5 betyder insulinresistens.</w:t>
      </w:r>
      <w:r w:rsidRPr="00127435">
        <w:rPr>
          <w:rFonts w:asciiTheme="minorHAnsi" w:eastAsia="Times New Roman" w:hAnsiTheme="minorHAnsi" w:cs="Segoe UI"/>
          <w:color w:val="333333"/>
          <w:sz w:val="24"/>
          <w:szCs w:val="24"/>
          <w:lang w:eastAsia="sv-SE"/>
        </w:rPr>
        <w:br/>
      </w:r>
    </w:p>
    <w:p w14:paraId="79310637" w14:textId="77777777" w:rsidR="00EC79BD" w:rsidRDefault="00EC79BD" w:rsidP="00EC79BD">
      <w:pPr>
        <w:shd w:val="clear" w:color="auto" w:fill="FFFFFF"/>
        <w:tabs>
          <w:tab w:val="clear" w:pos="284"/>
        </w:tabs>
        <w:spacing w:line="240" w:lineRule="auto"/>
        <w:rPr>
          <w:rFonts w:asciiTheme="minorHAnsi" w:eastAsia="Times New Roman" w:hAnsiTheme="minorHAnsi" w:cs="Segoe UI"/>
          <w:color w:val="212121"/>
          <w:sz w:val="24"/>
          <w:szCs w:val="24"/>
          <w:lang w:eastAsia="sv-SE"/>
        </w:rPr>
      </w:pPr>
    </w:p>
    <w:p w14:paraId="68C85D7F" w14:textId="77777777" w:rsidR="00EC79BD" w:rsidRPr="00127435" w:rsidRDefault="00EC79BD" w:rsidP="00EC79BD">
      <w:pPr>
        <w:tabs>
          <w:tab w:val="clear" w:pos="284"/>
        </w:tabs>
        <w:spacing w:line="240" w:lineRule="auto"/>
        <w:rPr>
          <w:rFonts w:asciiTheme="majorHAnsi" w:eastAsia="Times New Roman" w:hAnsiTheme="majorHAnsi" w:cs="Times New Roman"/>
          <w:b/>
          <w:bCs/>
          <w:sz w:val="28"/>
          <w:szCs w:val="28"/>
          <w:lang w:eastAsia="sv-SE"/>
        </w:rPr>
      </w:pPr>
      <w:r w:rsidRPr="00127435">
        <w:rPr>
          <w:rFonts w:asciiTheme="majorHAnsi" w:eastAsia="Times New Roman" w:hAnsiTheme="majorHAnsi" w:cs="Segoe UI"/>
          <w:b/>
          <w:bCs/>
          <w:color w:val="212121"/>
          <w:sz w:val="28"/>
          <w:szCs w:val="28"/>
          <w:shd w:val="clear" w:color="auto" w:fill="FFFFFF"/>
          <w:lang w:eastAsia="sv-SE"/>
        </w:rPr>
        <w:t>Klassifikation</w:t>
      </w:r>
    </w:p>
    <w:p w14:paraId="69B7B22B"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eastAsia="sv-SE"/>
        </w:rPr>
      </w:pPr>
      <w:r w:rsidRPr="00127435">
        <w:rPr>
          <w:rFonts w:asciiTheme="minorHAnsi" w:eastAsia="Times New Roman" w:hAnsiTheme="minorHAnsi" w:cs="Segoe UI"/>
          <w:color w:val="212121"/>
          <w:sz w:val="24"/>
          <w:szCs w:val="24"/>
          <w:lang w:eastAsia="sv-SE"/>
        </w:rPr>
        <w:t>Klassifikation är väldigt viktigt för behandlingsval:</w:t>
      </w:r>
    </w:p>
    <w:p w14:paraId="473AFE14"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eastAsia="sv-SE"/>
        </w:rPr>
      </w:pPr>
      <w:r w:rsidRPr="00127435">
        <w:rPr>
          <w:rFonts w:asciiTheme="minorHAnsi" w:eastAsia="Times New Roman" w:hAnsiTheme="minorHAnsi" w:cs="Segoe UI"/>
          <w:color w:val="212121"/>
          <w:sz w:val="24"/>
          <w:szCs w:val="24"/>
          <w:lang w:eastAsia="sv-SE"/>
        </w:rPr>
        <w:t>-typ 1 - autoimmun, inkl. LADA</w:t>
      </w:r>
    </w:p>
    <w:p w14:paraId="3D3212AB"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eastAsia="sv-SE"/>
        </w:rPr>
      </w:pPr>
      <w:r w:rsidRPr="00127435">
        <w:rPr>
          <w:rFonts w:asciiTheme="minorHAnsi" w:eastAsia="Times New Roman" w:hAnsiTheme="minorHAnsi" w:cs="Segoe UI"/>
          <w:color w:val="212121"/>
          <w:sz w:val="24"/>
          <w:szCs w:val="24"/>
          <w:lang w:eastAsia="sv-SE"/>
        </w:rPr>
        <w:t>-typ 2</w:t>
      </w:r>
    </w:p>
    <w:p w14:paraId="4502F5F3"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eastAsia="sv-SE"/>
        </w:rPr>
      </w:pPr>
      <w:r w:rsidRPr="00127435">
        <w:rPr>
          <w:rFonts w:asciiTheme="minorHAnsi" w:eastAsia="Times New Roman" w:hAnsiTheme="minorHAnsi" w:cs="Segoe UI"/>
          <w:color w:val="212121"/>
          <w:sz w:val="24"/>
          <w:szCs w:val="24"/>
          <w:lang w:eastAsia="sv-SE"/>
        </w:rPr>
        <w:t>-specifika typer - t.ex. MODY, läkemedel eller kemikalieutlöst, sekundär till pankreassjukdom, endokrina eller genetiska sjukdomar</w:t>
      </w:r>
    </w:p>
    <w:p w14:paraId="1DA23E3A"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strike/>
          <w:color w:val="212121"/>
          <w:sz w:val="24"/>
          <w:szCs w:val="24"/>
          <w:lang w:eastAsia="sv-SE"/>
        </w:rPr>
      </w:pPr>
      <w:r w:rsidRPr="00127435">
        <w:rPr>
          <w:rFonts w:asciiTheme="minorHAnsi" w:eastAsia="Times New Roman" w:hAnsiTheme="minorHAnsi" w:cs="Segoe UI"/>
          <w:color w:val="212121"/>
          <w:sz w:val="24"/>
          <w:szCs w:val="24"/>
          <w:lang w:eastAsia="sv-SE"/>
        </w:rPr>
        <w:t>-graviditetsdiabetes</w:t>
      </w:r>
    </w:p>
    <w:p w14:paraId="7439ED77" w14:textId="77777777" w:rsidR="00EC79BD" w:rsidRPr="00127435" w:rsidRDefault="00EC79BD" w:rsidP="00EC79BD">
      <w:pPr>
        <w:shd w:val="clear" w:color="auto" w:fill="FFFFFF"/>
        <w:tabs>
          <w:tab w:val="clear" w:pos="284"/>
        </w:tabs>
        <w:spacing w:line="240" w:lineRule="auto"/>
        <w:rPr>
          <w:rFonts w:asciiTheme="minorHAnsi" w:eastAsia="Times New Roman" w:hAnsiTheme="minorHAnsi" w:cs="Segoe UI"/>
          <w:color w:val="212121"/>
          <w:sz w:val="24"/>
          <w:szCs w:val="24"/>
          <w:lang w:eastAsia="sv-SE"/>
        </w:rPr>
      </w:pPr>
    </w:p>
    <w:p w14:paraId="6D57E97C"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eastAsia="sv-SE"/>
        </w:rPr>
      </w:pPr>
      <w:r w:rsidRPr="00127435">
        <w:rPr>
          <w:rFonts w:asciiTheme="minorHAnsi" w:eastAsia="Times New Roman" w:hAnsiTheme="minorHAnsi" w:cs="Segoe UI"/>
          <w:color w:val="212121"/>
          <w:sz w:val="24"/>
          <w:szCs w:val="24"/>
          <w:lang w:eastAsia="sv-SE"/>
        </w:rPr>
        <w:t>Det kan vara svårt att diagnostisera typ av diabetes. Ett användbart kliniskt verktyg för typ 1 diabetes: AABBCC:</w:t>
      </w:r>
    </w:p>
    <w:p w14:paraId="60A5329B"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eastAsia="sv-SE"/>
        </w:rPr>
      </w:pPr>
      <w:r w:rsidRPr="00127435">
        <w:rPr>
          <w:rFonts w:asciiTheme="minorHAnsi" w:eastAsia="Times New Roman" w:hAnsiTheme="minorHAnsi" w:cs="Segoe UI"/>
          <w:color w:val="212121"/>
          <w:sz w:val="24"/>
          <w:szCs w:val="24"/>
          <w:lang w:eastAsia="sv-SE"/>
        </w:rPr>
        <w:t>A - age (&lt;35 år överväg typ 1 diabetes)</w:t>
      </w:r>
    </w:p>
    <w:p w14:paraId="3C934830"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val="en-US" w:eastAsia="sv-SE"/>
        </w:rPr>
      </w:pPr>
      <w:r w:rsidRPr="00127435">
        <w:rPr>
          <w:rFonts w:asciiTheme="minorHAnsi" w:eastAsia="Times New Roman" w:hAnsiTheme="minorHAnsi" w:cs="Segoe UI"/>
          <w:color w:val="212121"/>
          <w:sz w:val="24"/>
          <w:szCs w:val="24"/>
          <w:lang w:val="en-US" w:eastAsia="sv-SE"/>
        </w:rPr>
        <w:t>A- autoimmunity (annan autoimmun sjukdom)</w:t>
      </w:r>
    </w:p>
    <w:p w14:paraId="79453825"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val="en-US" w:eastAsia="sv-SE"/>
        </w:rPr>
      </w:pPr>
      <w:r w:rsidRPr="00127435">
        <w:rPr>
          <w:rFonts w:asciiTheme="minorHAnsi" w:eastAsia="Times New Roman" w:hAnsiTheme="minorHAnsi" w:cs="Segoe UI"/>
          <w:color w:val="212121"/>
          <w:sz w:val="24"/>
          <w:szCs w:val="24"/>
          <w:lang w:val="en-US" w:eastAsia="sv-SE"/>
        </w:rPr>
        <w:t>B- body habitus (BMI&lt;25)</w:t>
      </w:r>
    </w:p>
    <w:p w14:paraId="6F87D40E"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eastAsia="sv-SE"/>
        </w:rPr>
      </w:pPr>
      <w:r w:rsidRPr="00127435">
        <w:rPr>
          <w:rFonts w:asciiTheme="minorHAnsi" w:eastAsia="Times New Roman" w:hAnsiTheme="minorHAnsi" w:cs="Segoe UI"/>
          <w:color w:val="212121"/>
          <w:sz w:val="24"/>
          <w:szCs w:val="24"/>
          <w:lang w:eastAsia="sv-SE"/>
        </w:rPr>
        <w:t>B - bakgrund (hereditet för typ 1 diabetes)</w:t>
      </w:r>
    </w:p>
    <w:p w14:paraId="48DF1D96"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eastAsia="sv-SE"/>
        </w:rPr>
      </w:pPr>
      <w:r w:rsidRPr="00127435">
        <w:rPr>
          <w:rFonts w:asciiTheme="minorHAnsi" w:eastAsia="Times New Roman" w:hAnsiTheme="minorHAnsi" w:cs="Segoe UI"/>
          <w:color w:val="212121"/>
          <w:sz w:val="24"/>
          <w:szCs w:val="24"/>
          <w:lang w:eastAsia="sv-SE"/>
        </w:rPr>
        <w:t>C - control (når inte målet utan insulinbehandling)</w:t>
      </w:r>
    </w:p>
    <w:p w14:paraId="327EF11D" w14:textId="77777777" w:rsidR="00EC79BD" w:rsidRPr="00127435"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eastAsia="sv-SE"/>
        </w:rPr>
      </w:pPr>
      <w:r w:rsidRPr="00127435">
        <w:rPr>
          <w:rFonts w:asciiTheme="minorHAnsi" w:eastAsia="Times New Roman" w:hAnsiTheme="minorHAnsi" w:cs="Segoe UI"/>
          <w:color w:val="212121"/>
          <w:sz w:val="24"/>
          <w:szCs w:val="24"/>
          <w:lang w:eastAsia="sv-SE"/>
        </w:rPr>
        <w:t>C - comorbidities (ex. behandling med checkpoint inhibitors kan framkalla autoimmun typ 1 diabetes)</w:t>
      </w:r>
    </w:p>
    <w:p w14:paraId="4AF4B569" w14:textId="77777777" w:rsidR="00EC79BD" w:rsidRPr="00A034E6" w:rsidRDefault="00EC79BD" w:rsidP="00EC79BD">
      <w:pPr>
        <w:shd w:val="clear" w:color="auto" w:fill="FFFFFF" w:themeFill="background2"/>
        <w:tabs>
          <w:tab w:val="clear" w:pos="284"/>
        </w:tabs>
        <w:spacing w:line="240" w:lineRule="auto"/>
        <w:rPr>
          <w:rFonts w:asciiTheme="minorHAnsi" w:eastAsia="Times New Roman" w:hAnsiTheme="minorHAnsi" w:cs="Segoe UI"/>
          <w:color w:val="212121"/>
          <w:sz w:val="24"/>
          <w:szCs w:val="24"/>
          <w:lang w:eastAsia="sv-SE"/>
        </w:rPr>
        <w:sectPr w:rsidR="00EC79BD" w:rsidRPr="00A034E6" w:rsidSect="00EC79BD">
          <w:headerReference w:type="default" r:id="rId45"/>
          <w:footerReference w:type="default" r:id="rId46"/>
          <w:headerReference w:type="first" r:id="rId47"/>
          <w:footerReference w:type="first" r:id="rId48"/>
          <w:pgSz w:w="11906" w:h="16838" w:code="9"/>
          <w:pgMar w:top="1701" w:right="993" w:bottom="1701" w:left="709" w:header="142" w:footer="1389" w:gutter="0"/>
          <w:cols w:space="284"/>
          <w:titlePg/>
          <w:docGrid w:linePitch="360"/>
        </w:sectPr>
      </w:pPr>
      <w:r w:rsidRPr="00127435">
        <w:rPr>
          <w:rFonts w:asciiTheme="minorHAnsi" w:eastAsia="Times New Roman" w:hAnsiTheme="minorHAnsi" w:cs="Segoe UI"/>
          <w:color w:val="212121"/>
          <w:sz w:val="24"/>
          <w:szCs w:val="24"/>
          <w:lang w:eastAsia="sv-SE"/>
        </w:rPr>
        <w:t>Dessutom - ofrivillig viktnedgång, ketos, akut insjuknande.</w:t>
      </w:r>
      <w:r w:rsidRPr="00A075A7">
        <w:t xml:space="preserve">                                     </w:t>
      </w:r>
    </w:p>
    <w:p w14:paraId="28E048C0" w14:textId="77777777" w:rsidR="00EC79BD" w:rsidRDefault="00EC79BD" w:rsidP="00EC79BD">
      <w:pPr>
        <w:pStyle w:val="Rubrik2"/>
      </w:pPr>
      <w:r w:rsidRPr="00127435">
        <w:lastRenderedPageBreak/>
        <w:t>Glukossänkande läkemedelsbehandling</w:t>
      </w:r>
    </w:p>
    <w:p w14:paraId="3F53ABCA" w14:textId="77777777" w:rsidR="00EC79BD" w:rsidRDefault="00EC79BD" w:rsidP="00EC79BD"/>
    <w:p w14:paraId="07F24D83" w14:textId="77777777" w:rsidR="00EC79BD" w:rsidRPr="00A83E37" w:rsidRDefault="00EC79BD" w:rsidP="00EC79BD">
      <w:r w:rsidRPr="00A83E37">
        <w:rPr>
          <w:noProof/>
        </w:rPr>
        <w:drawing>
          <wp:inline distT="0" distB="0" distL="0" distR="0" wp14:anchorId="2C6BE4A2" wp14:editId="422EE39B">
            <wp:extent cx="4944110" cy="6094095"/>
            <wp:effectExtent l="0" t="0" r="8890" b="1905"/>
            <wp:docPr id="2110449757" name="Bildobjekt 1" descr="En bild som visar text, skärmbild, Parallell,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49757" name="Bildobjekt 1" descr="En bild som visar text, skärmbild, Parallell, diagram&#10;&#10;AI-genererat innehåll kan vara felaktig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44110" cy="6094095"/>
                    </a:xfrm>
                    <a:prstGeom prst="rect">
                      <a:avLst/>
                    </a:prstGeom>
                    <a:noFill/>
                    <a:ln>
                      <a:noFill/>
                    </a:ln>
                  </pic:spPr>
                </pic:pic>
              </a:graphicData>
            </a:graphic>
          </wp:inline>
        </w:drawing>
      </w:r>
    </w:p>
    <w:p w14:paraId="759447FE" w14:textId="77777777" w:rsidR="00EC79BD" w:rsidRPr="00127435" w:rsidRDefault="00EC79BD" w:rsidP="00EC79BD">
      <w:pPr>
        <w:rPr>
          <w:sz w:val="24"/>
          <w:szCs w:val="24"/>
        </w:rPr>
      </w:pPr>
    </w:p>
    <w:p w14:paraId="549ADE52" w14:textId="77777777" w:rsidR="00EC79BD" w:rsidRPr="00127435" w:rsidRDefault="00EC79BD" w:rsidP="00EC79BD">
      <w:pPr>
        <w:ind w:left="-567"/>
        <w:rPr>
          <w:sz w:val="24"/>
          <w:szCs w:val="24"/>
        </w:rPr>
      </w:pPr>
      <w:r w:rsidRPr="00127435">
        <w:rPr>
          <w:sz w:val="24"/>
          <w:szCs w:val="24"/>
        </w:rPr>
        <w:t xml:space="preserve">Insulin bör användas vid symptomgivande hyperglykemi vid debut, annan akut sjukdom, högdos kortisonbehandling, terapisvikt på annan behandling, tecken på insulinbrist (viktnedgång + högt blodsocker). Vid kortisonbehandling i första hand NPH-insulin </w:t>
      </w:r>
      <w:r>
        <w:rPr>
          <w:sz w:val="24"/>
          <w:szCs w:val="24"/>
        </w:rPr>
        <w:t xml:space="preserve">eller mix-insulin </w:t>
      </w:r>
      <w:r w:rsidRPr="00127435">
        <w:rPr>
          <w:sz w:val="24"/>
          <w:szCs w:val="24"/>
        </w:rPr>
        <w:t xml:space="preserve">i anslutning till kortisondosen. </w:t>
      </w:r>
    </w:p>
    <w:p w14:paraId="544FE427" w14:textId="77777777" w:rsidR="00EC79BD" w:rsidRPr="00357C3B" w:rsidRDefault="00EC79BD" w:rsidP="00EC79BD">
      <w:pPr>
        <w:ind w:left="-567"/>
        <w:rPr>
          <w:strike/>
          <w:sz w:val="24"/>
          <w:szCs w:val="24"/>
        </w:rPr>
      </w:pPr>
      <w:r w:rsidRPr="00127435">
        <w:rPr>
          <w:sz w:val="24"/>
          <w:szCs w:val="24"/>
          <w:u w:val="single"/>
        </w:rPr>
        <w:t>Indikatorer för hög risk</w:t>
      </w:r>
      <w:r w:rsidRPr="00127435">
        <w:rPr>
          <w:sz w:val="24"/>
          <w:szCs w:val="24"/>
        </w:rPr>
        <w:t xml:space="preserve"> att utveckla hjärtkärlsjukdom: &gt;55 årsålder med minst 2 ytterligare risk faktorer –</w:t>
      </w:r>
      <w:r w:rsidRPr="29610C94">
        <w:rPr>
          <w:sz w:val="24"/>
          <w:szCs w:val="24"/>
        </w:rPr>
        <w:t xml:space="preserve"> fetma, hypertoni, rökning, dyslipidemi, albuminuri.</w:t>
      </w:r>
    </w:p>
    <w:p w14:paraId="17F08962" w14:textId="77777777" w:rsidR="00EC79BD" w:rsidRPr="00A1374B" w:rsidRDefault="00EC79BD" w:rsidP="00EC79BD">
      <w:pPr>
        <w:pStyle w:val="Rubrik2"/>
        <w:rPr>
          <w:sz w:val="24"/>
          <w:szCs w:val="24"/>
        </w:rPr>
      </w:pPr>
      <w:r w:rsidRPr="00A1374B">
        <w:rPr>
          <w:sz w:val="24"/>
          <w:szCs w:val="24"/>
        </w:rPr>
        <w:lastRenderedPageBreak/>
        <w:t>Rekommendationer</w:t>
      </w:r>
    </w:p>
    <w:p w14:paraId="01D32695" w14:textId="77777777" w:rsidR="00EC79BD" w:rsidRPr="001B07DF" w:rsidRDefault="00EC79BD" w:rsidP="00EC79BD">
      <w:pPr>
        <w:numPr>
          <w:ilvl w:val="0"/>
          <w:numId w:val="53"/>
        </w:numPr>
        <w:tabs>
          <w:tab w:val="clear" w:pos="284"/>
          <w:tab w:val="clear" w:pos="720"/>
          <w:tab w:val="num" w:pos="644"/>
        </w:tabs>
        <w:spacing w:before="100" w:beforeAutospacing="1" w:after="100" w:afterAutospacing="1" w:line="240" w:lineRule="auto"/>
        <w:ind w:left="644"/>
        <w:rPr>
          <w:rFonts w:asciiTheme="minorHAnsi" w:eastAsia="Times New Roman" w:hAnsiTheme="minorHAnsi" w:cs="Open Sans"/>
          <w:color w:val="404040" w:themeColor="text1" w:themeTint="BF"/>
          <w:sz w:val="24"/>
          <w:szCs w:val="24"/>
          <w:lang w:eastAsia="sv-SE"/>
        </w:rPr>
      </w:pPr>
      <w:r w:rsidRPr="3C344A4E">
        <w:rPr>
          <w:rFonts w:asciiTheme="minorHAnsi" w:eastAsia="Times New Roman" w:hAnsiTheme="minorHAnsi" w:cs="Open Sans"/>
          <w:color w:val="404040" w:themeColor="text1" w:themeTint="BF"/>
          <w:sz w:val="24"/>
          <w:szCs w:val="24"/>
          <w:lang w:eastAsia="sv-SE"/>
        </w:rPr>
        <w:t xml:space="preserve">Förstahandsbehandling ska </w:t>
      </w:r>
      <w:r w:rsidRPr="3C344A4E">
        <w:rPr>
          <w:rFonts w:asciiTheme="minorHAnsi" w:eastAsia="Times New Roman" w:hAnsiTheme="minorHAnsi" w:cs="Open Sans"/>
          <w:b/>
          <w:bCs/>
          <w:color w:val="404040" w:themeColor="text1" w:themeTint="BF"/>
          <w:sz w:val="24"/>
          <w:szCs w:val="24"/>
          <w:lang w:eastAsia="sv-SE"/>
        </w:rPr>
        <w:t>individualiseras</w:t>
      </w:r>
      <w:r w:rsidRPr="3C344A4E">
        <w:rPr>
          <w:rFonts w:asciiTheme="minorHAnsi" w:eastAsia="Times New Roman" w:hAnsiTheme="minorHAnsi" w:cs="Open Sans"/>
          <w:color w:val="404040" w:themeColor="text1" w:themeTint="BF"/>
          <w:sz w:val="24"/>
          <w:szCs w:val="24"/>
          <w:lang w:eastAsia="sv-SE"/>
        </w:rPr>
        <w:t xml:space="preserve"> beroende på komplikationer, andra sjukdomar, behandlingsmål, speciella motiv.</w:t>
      </w:r>
    </w:p>
    <w:p w14:paraId="1C7BDB87" w14:textId="77777777" w:rsidR="00EC79BD" w:rsidRPr="00127435" w:rsidRDefault="00EC79BD" w:rsidP="00EC79BD">
      <w:pPr>
        <w:numPr>
          <w:ilvl w:val="0"/>
          <w:numId w:val="53"/>
        </w:numPr>
        <w:tabs>
          <w:tab w:val="clear" w:pos="284"/>
          <w:tab w:val="clear" w:pos="720"/>
          <w:tab w:val="num" w:pos="644"/>
        </w:tabs>
        <w:spacing w:before="100" w:beforeAutospacing="1" w:after="100" w:afterAutospacing="1" w:line="240" w:lineRule="auto"/>
        <w:ind w:left="644" w:right="-143"/>
        <w:rPr>
          <w:rFonts w:asciiTheme="minorHAnsi" w:eastAsia="Times New Roman" w:hAnsiTheme="minorHAnsi" w:cs="Open Sans"/>
          <w:color w:val="000000" w:themeColor="text1"/>
          <w:sz w:val="24"/>
          <w:szCs w:val="24"/>
          <w:lang w:eastAsia="sv-SE"/>
        </w:rPr>
      </w:pPr>
      <w:r w:rsidRPr="29610C94">
        <w:rPr>
          <w:rFonts w:asciiTheme="minorHAnsi" w:eastAsia="Times New Roman" w:hAnsiTheme="minorHAnsi" w:cs="Open Sans"/>
          <w:color w:val="000000" w:themeColor="text1"/>
          <w:sz w:val="24"/>
          <w:szCs w:val="24"/>
          <w:lang w:eastAsia="sv-SE"/>
        </w:rPr>
        <w:t xml:space="preserve">För de flesta patienter är metformin förstahandsalternativet, förutsatt att det inte föreligger </w:t>
      </w:r>
      <w:r w:rsidRPr="00127435">
        <w:rPr>
          <w:rFonts w:asciiTheme="minorHAnsi" w:eastAsia="Times New Roman" w:hAnsiTheme="minorHAnsi" w:cs="Open Sans"/>
          <w:color w:val="000000" w:themeColor="text1"/>
          <w:sz w:val="24"/>
          <w:szCs w:val="24"/>
          <w:lang w:eastAsia="sv-SE"/>
        </w:rPr>
        <w:t>några kontraindikationer. Metformin bör sättas in tidigt i förloppet. Optimal dos av metformin anges till 2 gram per dag.</w:t>
      </w:r>
    </w:p>
    <w:p w14:paraId="56A182C4" w14:textId="77777777" w:rsidR="00EC79BD" w:rsidRPr="00127435" w:rsidRDefault="00EC79BD" w:rsidP="00EC79BD">
      <w:pPr>
        <w:numPr>
          <w:ilvl w:val="0"/>
          <w:numId w:val="53"/>
        </w:numPr>
        <w:tabs>
          <w:tab w:val="clear" w:pos="284"/>
          <w:tab w:val="clear" w:pos="720"/>
          <w:tab w:val="num" w:pos="644"/>
        </w:tabs>
        <w:spacing w:before="100" w:beforeAutospacing="1" w:after="100" w:afterAutospacing="1" w:line="240" w:lineRule="auto"/>
        <w:ind w:left="644" w:right="-143"/>
        <w:rPr>
          <w:rFonts w:asciiTheme="minorHAnsi" w:eastAsia="Times New Roman" w:hAnsiTheme="minorHAnsi" w:cs="Open Sans"/>
          <w:color w:val="404040" w:themeColor="text1" w:themeTint="BF"/>
          <w:sz w:val="24"/>
          <w:szCs w:val="24"/>
          <w:lang w:eastAsia="sv-SE"/>
        </w:rPr>
      </w:pPr>
      <w:r w:rsidRPr="00127435">
        <w:rPr>
          <w:rFonts w:asciiTheme="minorHAnsi" w:eastAsia="Times New Roman" w:hAnsiTheme="minorHAnsi" w:cs="Open Sans"/>
          <w:color w:val="404040" w:themeColor="text1" w:themeTint="BF"/>
          <w:sz w:val="24"/>
          <w:szCs w:val="24"/>
          <w:lang w:eastAsia="sv-SE"/>
        </w:rPr>
        <w:t>Kombinationsterapi kan övervägas redan vid diagnosen.</w:t>
      </w:r>
    </w:p>
    <w:p w14:paraId="0D2276F1" w14:textId="77777777" w:rsidR="00EC79BD" w:rsidRPr="00127435" w:rsidRDefault="00EC79BD" w:rsidP="00EC79BD">
      <w:pPr>
        <w:numPr>
          <w:ilvl w:val="0"/>
          <w:numId w:val="53"/>
        </w:numPr>
        <w:tabs>
          <w:tab w:val="clear" w:pos="284"/>
          <w:tab w:val="clear" w:pos="720"/>
          <w:tab w:val="num" w:pos="644"/>
        </w:tabs>
        <w:spacing w:before="100" w:beforeAutospacing="1" w:after="100" w:afterAutospacing="1" w:line="240" w:lineRule="auto"/>
        <w:ind w:left="644" w:right="-143"/>
        <w:rPr>
          <w:rFonts w:asciiTheme="minorHAnsi" w:eastAsia="Times New Roman" w:hAnsiTheme="minorHAnsi" w:cs="Open Sans"/>
          <w:color w:val="000000" w:themeColor="text1"/>
          <w:sz w:val="24"/>
          <w:szCs w:val="24"/>
          <w:lang w:eastAsia="sv-SE"/>
        </w:rPr>
      </w:pPr>
      <w:r w:rsidRPr="00127435">
        <w:rPr>
          <w:rFonts w:asciiTheme="minorHAnsi" w:hAnsiTheme="minorHAnsi" w:cs="Open Sans"/>
          <w:color w:val="353535"/>
          <w:sz w:val="24"/>
          <w:szCs w:val="24"/>
          <w:shd w:val="clear" w:color="auto" w:fill="FFFFFF"/>
        </w:rPr>
        <w:t xml:space="preserve">Alla patienter med typ 2-diabetes och </w:t>
      </w:r>
      <w:r w:rsidRPr="00127435">
        <w:rPr>
          <w:rFonts w:asciiTheme="minorHAnsi" w:hAnsiTheme="minorHAnsi" w:cs="Open Sans"/>
          <w:b/>
          <w:bCs/>
          <w:color w:val="353535"/>
          <w:sz w:val="24"/>
          <w:szCs w:val="24"/>
          <w:shd w:val="clear" w:color="auto" w:fill="FFFFFF"/>
        </w:rPr>
        <w:t>kardiovaskulär sjukdom</w:t>
      </w:r>
      <w:r w:rsidRPr="00127435">
        <w:rPr>
          <w:rFonts w:asciiTheme="minorHAnsi" w:hAnsiTheme="minorHAnsi" w:cs="Open Sans"/>
          <w:color w:val="353535"/>
          <w:sz w:val="24"/>
          <w:szCs w:val="24"/>
          <w:shd w:val="clear" w:color="auto" w:fill="FFFFFF"/>
        </w:rPr>
        <w:t xml:space="preserve"> </w:t>
      </w:r>
      <w:r w:rsidRPr="00127435">
        <w:rPr>
          <w:rFonts w:asciiTheme="minorHAnsi" w:hAnsiTheme="minorHAnsi" w:cs="Open Sans"/>
          <w:color w:val="353535"/>
          <w:sz w:val="24"/>
          <w:szCs w:val="24"/>
          <w:u w:val="single"/>
          <w:shd w:val="clear" w:color="auto" w:fill="FFFFFF"/>
        </w:rPr>
        <w:t>bör</w:t>
      </w:r>
      <w:r w:rsidRPr="00127435">
        <w:rPr>
          <w:rFonts w:asciiTheme="minorHAnsi" w:hAnsiTheme="minorHAnsi" w:cs="Open Sans"/>
          <w:color w:val="353535"/>
          <w:sz w:val="24"/>
          <w:szCs w:val="24"/>
          <w:shd w:val="clear" w:color="auto" w:fill="FFFFFF"/>
        </w:rPr>
        <w:t xml:space="preserve"> rekommenderas mediciner med bevisad kardiovaskulär skydd – i första hand SGLT-2 hämmare </w:t>
      </w:r>
      <w:r>
        <w:rPr>
          <w:rFonts w:asciiTheme="minorHAnsi" w:hAnsiTheme="minorHAnsi" w:cs="Open Sans"/>
          <w:color w:val="353535"/>
          <w:sz w:val="24"/>
          <w:szCs w:val="24"/>
          <w:shd w:val="clear" w:color="auto" w:fill="FFFFFF"/>
        </w:rPr>
        <w:t>och</w:t>
      </w:r>
      <w:r w:rsidRPr="00127435">
        <w:rPr>
          <w:rFonts w:asciiTheme="minorHAnsi" w:hAnsiTheme="minorHAnsi" w:cs="Open Sans"/>
          <w:color w:val="353535"/>
          <w:sz w:val="24"/>
          <w:szCs w:val="24"/>
          <w:shd w:val="clear" w:color="auto" w:fill="FFFFFF"/>
        </w:rPr>
        <w:t xml:space="preserve"> GLP-1 analoger</w:t>
      </w:r>
      <w:r w:rsidRPr="00127435">
        <w:rPr>
          <w:rFonts w:asciiTheme="minorHAnsi" w:eastAsia="Times New Roman" w:hAnsiTheme="minorHAnsi" w:cs="Open Sans"/>
          <w:color w:val="404040"/>
          <w:sz w:val="24"/>
          <w:szCs w:val="24"/>
          <w:lang w:eastAsia="sv-SE"/>
        </w:rPr>
        <w:t xml:space="preserve">. </w:t>
      </w:r>
      <w:r w:rsidRPr="00127435">
        <w:rPr>
          <w:rFonts w:asciiTheme="minorHAnsi" w:hAnsiTheme="minorHAnsi" w:cs="Open Sans"/>
          <w:color w:val="353535"/>
          <w:sz w:val="24"/>
          <w:szCs w:val="24"/>
          <w:shd w:val="clear" w:color="auto" w:fill="FFFFFF"/>
        </w:rPr>
        <w:t xml:space="preserve">Samma rekommendation gäller patienter med </w:t>
      </w:r>
      <w:r w:rsidRPr="00127435">
        <w:rPr>
          <w:rFonts w:asciiTheme="minorHAnsi" w:hAnsiTheme="minorHAnsi" w:cs="Open Sans"/>
          <w:b/>
          <w:bCs/>
          <w:color w:val="353535"/>
          <w:sz w:val="24"/>
          <w:szCs w:val="24"/>
          <w:shd w:val="clear" w:color="auto" w:fill="FFFFFF"/>
        </w:rPr>
        <w:t>hög risk</w:t>
      </w:r>
      <w:r w:rsidRPr="00127435">
        <w:rPr>
          <w:rFonts w:asciiTheme="minorHAnsi" w:hAnsiTheme="minorHAnsi" w:cs="Open Sans"/>
          <w:color w:val="353535"/>
          <w:sz w:val="24"/>
          <w:szCs w:val="24"/>
          <w:shd w:val="clear" w:color="auto" w:fill="FFFFFF"/>
        </w:rPr>
        <w:t xml:space="preserve"> för kardiovaskulär sjukdom och HbA1c över målet; GLP-1 analoger </w:t>
      </w:r>
      <w:r w:rsidRPr="00127435">
        <w:rPr>
          <w:rFonts w:asciiTheme="minorHAnsi" w:hAnsiTheme="minorHAnsi" w:cs="Open Sans"/>
          <w:color w:val="353535"/>
          <w:sz w:val="24"/>
          <w:szCs w:val="24"/>
          <w:u w:val="single"/>
          <w:shd w:val="clear" w:color="auto" w:fill="FFFFFF"/>
        </w:rPr>
        <w:t>kan</w:t>
      </w:r>
      <w:r w:rsidRPr="00127435">
        <w:rPr>
          <w:rFonts w:asciiTheme="minorHAnsi" w:hAnsiTheme="minorHAnsi" w:cs="Open Sans"/>
          <w:color w:val="353535"/>
          <w:sz w:val="24"/>
          <w:szCs w:val="24"/>
          <w:shd w:val="clear" w:color="auto" w:fill="FFFFFF"/>
        </w:rPr>
        <w:t xml:space="preserve"> övervägas före SGLT-2 hämmare om HbA1c över målet och BMI&gt;35.</w:t>
      </w:r>
    </w:p>
    <w:p w14:paraId="7E39B7F1" w14:textId="77777777" w:rsidR="00EC79BD" w:rsidRPr="00127435" w:rsidRDefault="00EC79BD" w:rsidP="00EC79BD">
      <w:pPr>
        <w:numPr>
          <w:ilvl w:val="0"/>
          <w:numId w:val="53"/>
        </w:numPr>
        <w:tabs>
          <w:tab w:val="clear" w:pos="284"/>
          <w:tab w:val="clear" w:pos="720"/>
          <w:tab w:val="num" w:pos="644"/>
        </w:tabs>
        <w:spacing w:before="100" w:beforeAutospacing="1" w:after="100" w:afterAutospacing="1" w:line="240" w:lineRule="auto"/>
        <w:ind w:left="644" w:right="-143"/>
        <w:rPr>
          <w:rFonts w:asciiTheme="minorHAnsi" w:eastAsia="Times New Roman" w:hAnsiTheme="minorHAnsi" w:cs="Open Sans"/>
          <w:color w:val="404040" w:themeColor="text1" w:themeTint="BF"/>
          <w:sz w:val="24"/>
          <w:szCs w:val="24"/>
          <w:lang w:eastAsia="sv-SE"/>
        </w:rPr>
      </w:pPr>
      <w:r w:rsidRPr="00127435">
        <w:rPr>
          <w:rFonts w:asciiTheme="minorHAnsi" w:hAnsiTheme="minorHAnsi" w:cs="Open Sans"/>
          <w:color w:val="353535"/>
          <w:sz w:val="24"/>
          <w:szCs w:val="24"/>
          <w:shd w:val="clear" w:color="auto" w:fill="FFFFFF"/>
        </w:rPr>
        <w:t xml:space="preserve">Vid </w:t>
      </w:r>
      <w:r w:rsidRPr="00127435">
        <w:rPr>
          <w:rFonts w:asciiTheme="minorHAnsi" w:hAnsiTheme="minorHAnsi" w:cs="Open Sans"/>
          <w:b/>
          <w:bCs/>
          <w:color w:val="353535"/>
          <w:sz w:val="24"/>
          <w:szCs w:val="24"/>
          <w:shd w:val="clear" w:color="auto" w:fill="FFFFFF"/>
        </w:rPr>
        <w:t>hög risk</w:t>
      </w:r>
      <w:r w:rsidRPr="00127435">
        <w:rPr>
          <w:rFonts w:asciiTheme="minorHAnsi" w:hAnsiTheme="minorHAnsi" w:cs="Open Sans"/>
          <w:color w:val="353535"/>
          <w:sz w:val="24"/>
          <w:szCs w:val="24"/>
          <w:shd w:val="clear" w:color="auto" w:fill="FFFFFF"/>
        </w:rPr>
        <w:t xml:space="preserve"> och optimalt HbA1c kan SGLT-2 hämmare </w:t>
      </w:r>
      <w:r>
        <w:rPr>
          <w:rFonts w:asciiTheme="minorHAnsi" w:hAnsiTheme="minorHAnsi" w:cs="Open Sans"/>
          <w:color w:val="353535"/>
          <w:sz w:val="24"/>
          <w:szCs w:val="24"/>
          <w:shd w:val="clear" w:color="auto" w:fill="FFFFFF"/>
        </w:rPr>
        <w:t xml:space="preserve">och/eller </w:t>
      </w:r>
      <w:r w:rsidRPr="00127435">
        <w:rPr>
          <w:rFonts w:asciiTheme="minorHAnsi" w:hAnsiTheme="minorHAnsi" w:cs="Open Sans"/>
          <w:color w:val="353535"/>
          <w:sz w:val="24"/>
          <w:szCs w:val="24"/>
          <w:shd w:val="clear" w:color="auto" w:fill="FFFFFF"/>
        </w:rPr>
        <w:t>GLP-1 analoger erbjudas.</w:t>
      </w:r>
    </w:p>
    <w:p w14:paraId="075281D4" w14:textId="77777777" w:rsidR="00EC79BD" w:rsidRPr="00127435" w:rsidRDefault="00EC79BD" w:rsidP="00EC79BD">
      <w:pPr>
        <w:numPr>
          <w:ilvl w:val="0"/>
          <w:numId w:val="53"/>
        </w:numPr>
        <w:tabs>
          <w:tab w:val="clear" w:pos="284"/>
          <w:tab w:val="clear" w:pos="720"/>
          <w:tab w:val="num" w:pos="644"/>
        </w:tabs>
        <w:spacing w:before="100" w:beforeAutospacing="1" w:after="100" w:afterAutospacing="1" w:line="240" w:lineRule="auto"/>
        <w:ind w:left="644" w:right="-143"/>
        <w:rPr>
          <w:rFonts w:asciiTheme="minorHAnsi" w:eastAsia="Times New Roman" w:hAnsiTheme="minorHAnsi" w:cs="Open Sans"/>
          <w:color w:val="000000" w:themeColor="text1"/>
          <w:sz w:val="24"/>
          <w:szCs w:val="24"/>
          <w:lang w:eastAsia="sv-SE"/>
        </w:rPr>
      </w:pPr>
      <w:r w:rsidRPr="00127435">
        <w:rPr>
          <w:rFonts w:asciiTheme="minorHAnsi" w:hAnsiTheme="minorHAnsi" w:cs="Open Sans"/>
          <w:color w:val="353535"/>
          <w:sz w:val="24"/>
          <w:szCs w:val="24"/>
          <w:shd w:val="clear" w:color="auto" w:fill="FFFFFF"/>
        </w:rPr>
        <w:t>Patienter med hjärtsvikt får SGLT-2 hämmare både för hjärtsvikt och som glukossänkandebehandling – OBS! glukossänkande effekt avtar vid GFR&lt;45-överväg kompletterande läkemedel .</w:t>
      </w:r>
    </w:p>
    <w:p w14:paraId="034B5D70" w14:textId="77777777" w:rsidR="00EC79BD" w:rsidRPr="00127435" w:rsidRDefault="00EC79BD" w:rsidP="00EC79BD">
      <w:pPr>
        <w:numPr>
          <w:ilvl w:val="0"/>
          <w:numId w:val="53"/>
        </w:numPr>
        <w:tabs>
          <w:tab w:val="clear" w:pos="284"/>
          <w:tab w:val="clear" w:pos="720"/>
          <w:tab w:val="num" w:pos="644"/>
        </w:tabs>
        <w:spacing w:before="100" w:beforeAutospacing="1" w:after="100" w:afterAutospacing="1" w:line="240" w:lineRule="auto"/>
        <w:ind w:left="644" w:right="-143"/>
        <w:rPr>
          <w:rFonts w:asciiTheme="minorHAnsi" w:eastAsia="Times New Roman" w:hAnsiTheme="minorHAnsi" w:cs="Open Sans"/>
          <w:color w:val="000000" w:themeColor="text1"/>
          <w:sz w:val="24"/>
          <w:szCs w:val="24"/>
          <w:lang w:eastAsia="sv-SE"/>
        </w:rPr>
      </w:pPr>
      <w:r w:rsidRPr="00127435">
        <w:rPr>
          <w:rFonts w:asciiTheme="minorHAnsi" w:eastAsia="Times New Roman" w:hAnsiTheme="minorHAnsi" w:cs="Open Sans"/>
          <w:color w:val="000000" w:themeColor="text1"/>
          <w:sz w:val="24"/>
          <w:szCs w:val="24"/>
          <w:lang w:eastAsia="sv-SE"/>
        </w:rPr>
        <w:t xml:space="preserve">De flesta patienter med </w:t>
      </w:r>
      <w:r w:rsidRPr="00127435">
        <w:rPr>
          <w:rFonts w:asciiTheme="minorHAnsi" w:eastAsia="Times New Roman" w:hAnsiTheme="minorHAnsi" w:cs="Open Sans"/>
          <w:b/>
          <w:bCs/>
          <w:color w:val="000000" w:themeColor="text1"/>
          <w:sz w:val="24"/>
          <w:szCs w:val="24"/>
          <w:lang w:eastAsia="sv-SE"/>
        </w:rPr>
        <w:t>CKD</w:t>
      </w:r>
      <w:r w:rsidRPr="00127435">
        <w:rPr>
          <w:rFonts w:asciiTheme="minorHAnsi" w:eastAsia="Times New Roman" w:hAnsiTheme="minorHAnsi" w:cs="Open Sans"/>
          <w:color w:val="000000" w:themeColor="text1"/>
          <w:sz w:val="24"/>
          <w:szCs w:val="24"/>
          <w:lang w:eastAsia="sv-SE"/>
        </w:rPr>
        <w:t xml:space="preserve"> (eGFR 20-60 ml/min/1.73 m2 och/eller albuminuri) bör behandlas med SGLT-2 hämmare </w:t>
      </w:r>
      <w:r>
        <w:rPr>
          <w:rFonts w:asciiTheme="minorHAnsi" w:eastAsia="Times New Roman" w:hAnsiTheme="minorHAnsi" w:cs="Open Sans"/>
          <w:color w:val="000000" w:themeColor="text1"/>
          <w:sz w:val="24"/>
          <w:szCs w:val="24"/>
          <w:lang w:eastAsia="sv-SE"/>
        </w:rPr>
        <w:t xml:space="preserve">och GLP-1-analoger </w:t>
      </w:r>
      <w:r w:rsidRPr="00127435">
        <w:rPr>
          <w:rFonts w:asciiTheme="minorHAnsi" w:eastAsia="Times New Roman" w:hAnsiTheme="minorHAnsi" w:cs="Open Sans"/>
          <w:color w:val="000000" w:themeColor="text1"/>
          <w:sz w:val="24"/>
          <w:szCs w:val="24"/>
          <w:lang w:eastAsia="sv-SE"/>
        </w:rPr>
        <w:t xml:space="preserve">oavsett HbA1c nivå (+ RAS-blockad, statiner, ev. icke-steroid mineralreceptorantagonist enl. indikationer) med reservation för minskad glukossänkande effekt vid sjunkande eGFR. </w:t>
      </w:r>
    </w:p>
    <w:p w14:paraId="7D4C46BC" w14:textId="77777777" w:rsidR="00EC79BD" w:rsidRPr="00127435" w:rsidRDefault="00EC79BD" w:rsidP="00EC79BD">
      <w:pPr>
        <w:numPr>
          <w:ilvl w:val="0"/>
          <w:numId w:val="53"/>
        </w:numPr>
        <w:tabs>
          <w:tab w:val="clear" w:pos="284"/>
          <w:tab w:val="clear" w:pos="720"/>
          <w:tab w:val="num" w:pos="644"/>
        </w:tabs>
        <w:spacing w:before="100" w:beforeAutospacing="1" w:after="100" w:afterAutospacing="1" w:line="240" w:lineRule="auto"/>
        <w:ind w:left="644" w:right="-143"/>
        <w:rPr>
          <w:rFonts w:asciiTheme="minorHAnsi" w:eastAsia="Times New Roman" w:hAnsiTheme="minorHAnsi" w:cs="Open Sans"/>
          <w:color w:val="404040"/>
          <w:sz w:val="24"/>
          <w:szCs w:val="24"/>
          <w:lang w:eastAsia="sv-SE"/>
        </w:rPr>
      </w:pPr>
      <w:r w:rsidRPr="00127435">
        <w:rPr>
          <w:rFonts w:asciiTheme="minorHAnsi" w:eastAsia="Times New Roman" w:hAnsiTheme="minorHAnsi" w:cs="Open Sans"/>
          <w:color w:val="000000" w:themeColor="text1"/>
          <w:sz w:val="24"/>
          <w:szCs w:val="24"/>
          <w:lang w:eastAsia="sv-SE"/>
        </w:rPr>
        <w:t xml:space="preserve">Patienter med </w:t>
      </w:r>
      <w:r w:rsidRPr="00127435">
        <w:rPr>
          <w:rFonts w:asciiTheme="minorHAnsi" w:eastAsia="Times New Roman" w:hAnsiTheme="minorHAnsi" w:cs="Open Sans"/>
          <w:b/>
          <w:bCs/>
          <w:color w:val="000000" w:themeColor="text1"/>
          <w:sz w:val="24"/>
          <w:szCs w:val="24"/>
          <w:lang w:eastAsia="sv-SE"/>
        </w:rPr>
        <w:t xml:space="preserve">leversteatos </w:t>
      </w:r>
      <w:r w:rsidRPr="00127435">
        <w:rPr>
          <w:rFonts w:asciiTheme="minorHAnsi" w:eastAsia="Times New Roman" w:hAnsiTheme="minorHAnsi" w:cs="Open Sans"/>
          <w:color w:val="000000" w:themeColor="text1"/>
          <w:sz w:val="24"/>
          <w:szCs w:val="24"/>
          <w:lang w:eastAsia="sv-SE"/>
        </w:rPr>
        <w:t>och obesitas har starkare indikation till behandling med GLP-1 analog som tillägg till livsstilsförändringar; där kan man även överväga pioglitazon.</w:t>
      </w:r>
    </w:p>
    <w:p w14:paraId="72428B37" w14:textId="77777777" w:rsidR="00EC79BD" w:rsidRPr="00852A92" w:rsidRDefault="00EC79BD" w:rsidP="00EC79BD">
      <w:pPr>
        <w:pStyle w:val="Liststycke"/>
        <w:numPr>
          <w:ilvl w:val="0"/>
          <w:numId w:val="113"/>
        </w:numPr>
        <w:tabs>
          <w:tab w:val="clear" w:pos="284"/>
        </w:tabs>
        <w:spacing w:before="100" w:beforeAutospacing="1" w:after="100" w:afterAutospacing="1" w:line="240" w:lineRule="auto"/>
        <w:rPr>
          <w:rFonts w:asciiTheme="minorHAnsi" w:eastAsia="Times New Roman" w:hAnsiTheme="minorHAnsi" w:cs="Open Sans"/>
          <w:color w:val="000000" w:themeColor="text1"/>
          <w:sz w:val="24"/>
          <w:szCs w:val="24"/>
          <w:lang w:eastAsia="sv-SE"/>
        </w:rPr>
      </w:pPr>
      <w:r w:rsidRPr="29610C94">
        <w:rPr>
          <w:rFonts w:asciiTheme="minorHAnsi" w:eastAsia="Times New Roman" w:hAnsiTheme="minorHAnsi" w:cs="Open Sans"/>
          <w:color w:val="000000" w:themeColor="text1"/>
          <w:sz w:val="24"/>
          <w:szCs w:val="24"/>
          <w:lang w:eastAsia="sv-SE"/>
        </w:rPr>
        <w:t xml:space="preserve">Vid svikt på dubbelterapi rekommenderas trippelterapi. De flesta läkemedel kan kombineras med varandra. Olämplig kombination – DPP-4 hämmare med GLP-1 analoger och SU med repaglinid, </w:t>
      </w:r>
      <w:r>
        <w:br/>
      </w:r>
      <w:r w:rsidRPr="29610C94">
        <w:rPr>
          <w:rFonts w:asciiTheme="minorHAnsi" w:eastAsia="Times New Roman" w:hAnsiTheme="minorHAnsi" w:cs="Open Sans"/>
          <w:color w:val="000000" w:themeColor="text1"/>
          <w:sz w:val="24"/>
          <w:szCs w:val="24"/>
          <w:lang w:eastAsia="sv-SE"/>
        </w:rPr>
        <w:t>då de nyttjar samma mekanism. Kombinationen SU och insulin ger högst risk för hypoglykemi.</w:t>
      </w:r>
    </w:p>
    <w:p w14:paraId="7DE3A38E" w14:textId="77777777" w:rsidR="00EC79BD" w:rsidRPr="00A26137" w:rsidRDefault="00EC79BD" w:rsidP="00EC79BD">
      <w:pPr>
        <w:numPr>
          <w:ilvl w:val="0"/>
          <w:numId w:val="113"/>
        </w:numPr>
        <w:tabs>
          <w:tab w:val="clear" w:pos="284"/>
        </w:tabs>
        <w:spacing w:before="100" w:beforeAutospacing="1" w:after="120" w:afterAutospacing="1" w:line="260" w:lineRule="atLeast"/>
        <w:rPr>
          <w:rFonts w:asciiTheme="minorHAnsi" w:eastAsia="Times New Roman" w:hAnsiTheme="minorHAnsi" w:cs="Open Sans"/>
          <w:b/>
          <w:bCs/>
          <w:color w:val="000000" w:themeColor="text1"/>
          <w:lang w:eastAsia="sv-SE"/>
        </w:rPr>
      </w:pPr>
      <w:r w:rsidRPr="29610C94">
        <w:rPr>
          <w:rFonts w:asciiTheme="minorHAnsi" w:eastAsia="Times New Roman" w:hAnsiTheme="minorHAnsi" w:cs="Open Sans"/>
          <w:color w:val="000000" w:themeColor="text1"/>
          <w:sz w:val="24"/>
          <w:szCs w:val="24"/>
          <w:lang w:eastAsia="sv-SE"/>
        </w:rPr>
        <w:t xml:space="preserve">Om symptomgivande hyperglykemi, viktnedgång (katabolism), dålig diabeteskontroll (HbA1c&gt;86, p-glukos&gt;16,7) ge insulin (basal/bolus eller mixinsulin x 2 - 3). </w:t>
      </w:r>
      <w:r>
        <w:br/>
      </w:r>
      <w:r w:rsidRPr="29610C94">
        <w:rPr>
          <w:rFonts w:asciiTheme="minorHAnsi" w:eastAsia="Times New Roman" w:hAnsiTheme="minorHAnsi" w:cs="Open Sans"/>
          <w:color w:val="000000" w:themeColor="text1"/>
          <w:sz w:val="24"/>
          <w:szCs w:val="24"/>
          <w:lang w:eastAsia="sv-SE"/>
        </w:rPr>
        <w:t xml:space="preserve">Parallellt med detta titreras metformin upp. Vid uppnådd </w:t>
      </w:r>
      <w:r w:rsidRPr="00127435">
        <w:rPr>
          <w:rFonts w:asciiTheme="minorHAnsi" w:eastAsia="Times New Roman" w:hAnsiTheme="minorHAnsi" w:cs="Open Sans"/>
          <w:color w:val="000000" w:themeColor="text1"/>
          <w:sz w:val="24"/>
          <w:szCs w:val="24"/>
          <w:lang w:eastAsia="sv-SE"/>
        </w:rPr>
        <w:t>fulldos</w:t>
      </w:r>
      <w:r w:rsidRPr="29610C94">
        <w:rPr>
          <w:rFonts w:asciiTheme="minorHAnsi" w:eastAsia="Times New Roman" w:hAnsiTheme="minorHAnsi" w:cs="Open Sans"/>
          <w:color w:val="000000" w:themeColor="text1"/>
          <w:sz w:val="24"/>
          <w:szCs w:val="24"/>
          <w:lang w:eastAsia="sv-SE"/>
        </w:rPr>
        <w:t xml:space="preserve"> metformin kan ofta insulindosen reduceras och ibland seponeras. Redan metforminbehandlade fortsätter behandling vid insättning av insulin om kontraindikationer inte föreligger. </w:t>
      </w:r>
    </w:p>
    <w:p w14:paraId="2106720D" w14:textId="77777777" w:rsidR="00EC79BD" w:rsidRPr="004405B0" w:rsidRDefault="00EC79BD" w:rsidP="00EC79BD">
      <w:pPr>
        <w:pStyle w:val="Rubrik2"/>
      </w:pPr>
      <w:r w:rsidRPr="004405B0">
        <w:t>Äldre/multisjuka</w:t>
      </w:r>
    </w:p>
    <w:p w14:paraId="0F52331E" w14:textId="77777777" w:rsidR="00EC79BD" w:rsidRPr="00A26137" w:rsidRDefault="00EC79BD" w:rsidP="00EC79BD">
      <w:pPr>
        <w:tabs>
          <w:tab w:val="clear" w:pos="284"/>
        </w:tabs>
        <w:spacing w:after="240" w:line="240" w:lineRule="auto"/>
        <w:rPr>
          <w:rFonts w:asciiTheme="minorHAnsi" w:eastAsia="Times New Roman" w:hAnsiTheme="minorHAnsi" w:cs="Open Sans"/>
          <w:color w:val="404040"/>
          <w:sz w:val="24"/>
          <w:szCs w:val="24"/>
          <w:lang w:eastAsia="sv-SE"/>
        </w:rPr>
      </w:pPr>
      <w:r w:rsidRPr="001B07DF">
        <w:rPr>
          <w:rFonts w:asciiTheme="minorHAnsi" w:eastAsia="Times New Roman" w:hAnsiTheme="minorHAnsi" w:cs="Open Sans"/>
          <w:color w:val="404040"/>
          <w:sz w:val="24"/>
          <w:szCs w:val="24"/>
          <w:lang w:eastAsia="sv-SE"/>
        </w:rPr>
        <w:t xml:space="preserve">Det finns inga självklara målvärden för äldre/multisjuka med diabetes förutom symtomfrihet. </w:t>
      </w:r>
      <w:r w:rsidRPr="001B07DF">
        <w:rPr>
          <w:rFonts w:asciiTheme="minorHAnsi" w:eastAsia="Times New Roman" w:hAnsiTheme="minorHAnsi" w:cs="Open Sans"/>
          <w:color w:val="404040"/>
          <w:sz w:val="24"/>
          <w:szCs w:val="24"/>
          <w:lang w:eastAsia="sv-SE"/>
        </w:rPr>
        <w:br/>
        <w:t xml:space="preserve">Hyperglykemi försämrar kognition, vitalitet, sårläkning, </w:t>
      </w:r>
      <w:r>
        <w:rPr>
          <w:rFonts w:asciiTheme="minorHAnsi" w:eastAsia="Times New Roman" w:hAnsiTheme="minorHAnsi" w:cs="Open Sans"/>
          <w:color w:val="404040"/>
          <w:sz w:val="24"/>
          <w:szCs w:val="24"/>
          <w:lang w:eastAsia="sv-SE"/>
        </w:rPr>
        <w:t xml:space="preserve">och </w:t>
      </w:r>
      <w:r w:rsidRPr="001B07DF">
        <w:rPr>
          <w:rFonts w:asciiTheme="minorHAnsi" w:eastAsia="Times New Roman" w:hAnsiTheme="minorHAnsi" w:cs="Open Sans"/>
          <w:color w:val="404040"/>
          <w:sz w:val="24"/>
          <w:szCs w:val="24"/>
          <w:lang w:eastAsia="sv-SE"/>
        </w:rPr>
        <w:t xml:space="preserve">ökar infektionskänslighet. </w:t>
      </w:r>
      <w:r w:rsidRPr="001B07DF">
        <w:rPr>
          <w:rFonts w:asciiTheme="minorHAnsi" w:eastAsia="Times New Roman" w:hAnsiTheme="minorHAnsi" w:cs="Open Sans"/>
          <w:color w:val="404040"/>
          <w:sz w:val="24"/>
          <w:szCs w:val="24"/>
          <w:lang w:eastAsia="sv-SE"/>
        </w:rPr>
        <w:br/>
        <w:t>Hypoglykemi försämrar också kognition, ökar risken för falltrauma, konfusion, sannolikt även hjärtkärlmortalitet.</w:t>
      </w:r>
    </w:p>
    <w:p w14:paraId="5F7FC9EF" w14:textId="77777777" w:rsidR="00EC79BD" w:rsidRPr="001B07DF" w:rsidRDefault="00EC79BD" w:rsidP="00EC79BD">
      <w:pPr>
        <w:tabs>
          <w:tab w:val="clear" w:pos="284"/>
        </w:tabs>
        <w:spacing w:after="240" w:line="240" w:lineRule="auto"/>
        <w:rPr>
          <w:rFonts w:asciiTheme="minorHAnsi" w:eastAsia="Times New Roman" w:hAnsiTheme="minorHAnsi" w:cs="Open Sans"/>
          <w:b/>
          <w:bCs/>
          <w:color w:val="404040"/>
          <w:sz w:val="24"/>
          <w:szCs w:val="24"/>
          <w:lang w:eastAsia="sv-SE"/>
        </w:rPr>
      </w:pPr>
      <w:r w:rsidRPr="001B07DF">
        <w:rPr>
          <w:rFonts w:asciiTheme="minorHAnsi" w:eastAsia="Times New Roman" w:hAnsiTheme="minorHAnsi" w:cs="Open Sans"/>
          <w:b/>
          <w:bCs/>
          <w:color w:val="404040"/>
          <w:sz w:val="24"/>
          <w:szCs w:val="24"/>
          <w:lang w:eastAsia="sv-SE"/>
        </w:rPr>
        <w:t>Vid behandlingsval ska hänsyn tas till följande:</w:t>
      </w:r>
    </w:p>
    <w:p w14:paraId="4472ACF7" w14:textId="77777777" w:rsidR="00EC79BD" w:rsidRPr="001B07DF" w:rsidRDefault="00EC79BD" w:rsidP="00EC79BD">
      <w:pPr>
        <w:numPr>
          <w:ilvl w:val="0"/>
          <w:numId w:val="56"/>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1B07DF">
        <w:rPr>
          <w:rFonts w:asciiTheme="minorHAnsi" w:eastAsia="Times New Roman" w:hAnsiTheme="minorHAnsi" w:cs="Open Sans"/>
          <w:color w:val="404040"/>
          <w:sz w:val="24"/>
          <w:szCs w:val="24"/>
          <w:lang w:eastAsia="sv-SE"/>
        </w:rPr>
        <w:t>Typ 1- eller Typ 2 diabetes? Insulin ska aldrig avslutas vid Typ 1 diabetes</w:t>
      </w:r>
    </w:p>
    <w:p w14:paraId="7E626315" w14:textId="77777777" w:rsidR="00EC79BD" w:rsidRPr="001B07DF" w:rsidRDefault="00EC79BD" w:rsidP="00EC79BD">
      <w:pPr>
        <w:numPr>
          <w:ilvl w:val="0"/>
          <w:numId w:val="56"/>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1B07DF">
        <w:rPr>
          <w:rFonts w:asciiTheme="minorHAnsi" w:eastAsia="Times New Roman" w:hAnsiTheme="minorHAnsi" w:cs="Open Sans"/>
          <w:color w:val="404040"/>
          <w:sz w:val="24"/>
          <w:szCs w:val="24"/>
          <w:lang w:eastAsia="sv-SE"/>
        </w:rPr>
        <w:t>Långsammare läkemedelsmetabolism, minskad njurfunktion, mindre födointag (naturligt åldrande) kan leda till behov av dosreduktion.</w:t>
      </w:r>
    </w:p>
    <w:p w14:paraId="1F80174A" w14:textId="77777777" w:rsidR="00EC79BD" w:rsidRPr="001B07DF" w:rsidRDefault="00EC79BD" w:rsidP="00EC79BD">
      <w:pPr>
        <w:numPr>
          <w:ilvl w:val="0"/>
          <w:numId w:val="56"/>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1B07DF">
        <w:rPr>
          <w:rFonts w:asciiTheme="minorHAnsi" w:eastAsia="Times New Roman" w:hAnsiTheme="minorHAnsi" w:cs="Open Sans"/>
          <w:color w:val="404040"/>
          <w:sz w:val="24"/>
          <w:szCs w:val="24"/>
          <w:lang w:eastAsia="sv-SE"/>
        </w:rPr>
        <w:t>Försiktighet med metformin (eGFR &lt;45, dosminskning se Fass)</w:t>
      </w:r>
    </w:p>
    <w:p w14:paraId="100A32B3" w14:textId="77777777" w:rsidR="00EC79BD" w:rsidRPr="001B07DF" w:rsidRDefault="00EC79BD" w:rsidP="00EC79BD">
      <w:pPr>
        <w:numPr>
          <w:ilvl w:val="0"/>
          <w:numId w:val="56"/>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1B07DF">
        <w:rPr>
          <w:rFonts w:asciiTheme="minorHAnsi" w:eastAsia="Times New Roman" w:hAnsiTheme="minorHAnsi" w:cs="Open Sans"/>
          <w:color w:val="404040"/>
          <w:sz w:val="24"/>
          <w:szCs w:val="24"/>
          <w:lang w:eastAsia="sv-SE"/>
        </w:rPr>
        <w:t>Försiktighet med sulfonureid (hypoglykemirisk)– ett alternativ kan vara repaglinid.</w:t>
      </w:r>
    </w:p>
    <w:p w14:paraId="7247B512" w14:textId="77777777" w:rsidR="00EC79BD" w:rsidRPr="001B07DF" w:rsidRDefault="00EC79BD" w:rsidP="00EC79BD">
      <w:pPr>
        <w:numPr>
          <w:ilvl w:val="0"/>
          <w:numId w:val="56"/>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1B07DF">
        <w:rPr>
          <w:rFonts w:asciiTheme="minorHAnsi" w:eastAsia="Times New Roman" w:hAnsiTheme="minorHAnsi" w:cs="Open Sans"/>
          <w:color w:val="404040"/>
          <w:sz w:val="24"/>
          <w:szCs w:val="24"/>
          <w:lang w:eastAsia="sv-SE"/>
        </w:rPr>
        <w:lastRenderedPageBreak/>
        <w:t>Vem hanterar insulinbehandling? Injektionsteknik? Finns det risk för dubbel dos – behövs minnespenna? Undvik ”insulin vid behov”. Överväg basalinsulin på morgonen.</w:t>
      </w:r>
    </w:p>
    <w:p w14:paraId="43FA6EA5" w14:textId="77777777" w:rsidR="00EC79BD" w:rsidRPr="001B07DF" w:rsidRDefault="00EC79BD" w:rsidP="00EC79BD">
      <w:pPr>
        <w:numPr>
          <w:ilvl w:val="0"/>
          <w:numId w:val="56"/>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1B07DF">
        <w:rPr>
          <w:rFonts w:asciiTheme="minorHAnsi" w:eastAsia="Times New Roman" w:hAnsiTheme="minorHAnsi" w:cs="Open Sans"/>
          <w:color w:val="404040"/>
          <w:sz w:val="24"/>
          <w:szCs w:val="24"/>
          <w:lang w:eastAsia="sv-SE"/>
        </w:rPr>
        <w:t>HbA1c 60 - 70 mmol/mol är ofta lämpligt mål</w:t>
      </w:r>
    </w:p>
    <w:p w14:paraId="79739A90" w14:textId="77777777" w:rsidR="00EC79BD" w:rsidRPr="006762A0" w:rsidRDefault="00EC79BD" w:rsidP="00EC79BD">
      <w:pPr>
        <w:numPr>
          <w:ilvl w:val="0"/>
          <w:numId w:val="56"/>
        </w:numPr>
        <w:tabs>
          <w:tab w:val="clear" w:pos="284"/>
        </w:tabs>
        <w:spacing w:before="100" w:beforeAutospacing="1" w:after="100" w:afterAutospacing="1" w:line="240" w:lineRule="auto"/>
        <w:rPr>
          <w:rFonts w:asciiTheme="minorHAnsi" w:eastAsia="Times New Roman" w:hAnsiTheme="minorHAnsi" w:cs="Open Sans"/>
          <w:color w:val="404040"/>
          <w:sz w:val="24"/>
          <w:szCs w:val="24"/>
          <w:lang w:eastAsia="sv-SE"/>
        </w:rPr>
      </w:pPr>
      <w:r w:rsidRPr="001B07DF">
        <w:rPr>
          <w:rFonts w:asciiTheme="minorHAnsi" w:eastAsia="Times New Roman" w:hAnsiTheme="minorHAnsi" w:cs="Open Sans"/>
          <w:color w:val="404040"/>
          <w:sz w:val="24"/>
          <w:szCs w:val="24"/>
          <w:lang w:eastAsia="sv-SE"/>
        </w:rPr>
        <w:t xml:space="preserve">Överväg DPP-4 hämmare som trygg behandling i den </w:t>
      </w:r>
      <w:r>
        <w:rPr>
          <w:rFonts w:asciiTheme="minorHAnsi" w:eastAsia="Times New Roman" w:hAnsiTheme="minorHAnsi" w:cs="Open Sans"/>
          <w:color w:val="404040"/>
          <w:sz w:val="24"/>
          <w:szCs w:val="24"/>
          <w:lang w:eastAsia="sv-SE"/>
        </w:rPr>
        <w:t xml:space="preserve">här </w:t>
      </w:r>
      <w:r w:rsidRPr="001B07DF">
        <w:rPr>
          <w:rFonts w:asciiTheme="minorHAnsi" w:eastAsia="Times New Roman" w:hAnsiTheme="minorHAnsi" w:cs="Open Sans"/>
          <w:color w:val="404040"/>
          <w:sz w:val="24"/>
          <w:szCs w:val="24"/>
          <w:lang w:eastAsia="sv-SE"/>
        </w:rPr>
        <w:t>patientgruppen.</w:t>
      </w:r>
    </w:p>
    <w:p w14:paraId="62FD725B" w14:textId="77777777" w:rsidR="00EC79BD" w:rsidRPr="00A1374B" w:rsidRDefault="00EC79BD" w:rsidP="00EC79BD">
      <w:pPr>
        <w:rPr>
          <w:rFonts w:asciiTheme="majorHAnsi" w:eastAsia="Times New Roman" w:hAnsiTheme="majorHAnsi" w:cs="Times New Roman"/>
          <w:b/>
          <w:bCs/>
          <w:color w:val="000000"/>
          <w:sz w:val="28"/>
          <w:szCs w:val="28"/>
          <w:lang w:eastAsia="sv-SE"/>
        </w:rPr>
      </w:pPr>
      <w:r w:rsidRPr="00CF0AD4">
        <w:rPr>
          <w:rFonts w:asciiTheme="majorHAnsi" w:eastAsia="Times New Roman" w:hAnsiTheme="majorHAnsi" w:cs="Times New Roman"/>
          <w:b/>
          <w:bCs/>
          <w:color w:val="000000"/>
          <w:sz w:val="28"/>
          <w:szCs w:val="28"/>
          <w:lang w:eastAsia="sv-SE"/>
        </w:rPr>
        <w:t>K</w:t>
      </w:r>
      <w:r>
        <w:rPr>
          <w:rFonts w:asciiTheme="majorHAnsi" w:eastAsia="Times New Roman" w:hAnsiTheme="majorHAnsi" w:cs="Times New Roman"/>
          <w:b/>
          <w:bCs/>
          <w:color w:val="000000"/>
          <w:sz w:val="28"/>
          <w:szCs w:val="28"/>
          <w:lang w:eastAsia="sv-SE"/>
        </w:rPr>
        <w:t>ortisonutlöst</w:t>
      </w:r>
      <w:r w:rsidRPr="00CF0AD4">
        <w:rPr>
          <w:rFonts w:asciiTheme="majorHAnsi" w:eastAsia="Times New Roman" w:hAnsiTheme="majorHAnsi" w:cs="Times New Roman"/>
          <w:b/>
          <w:bCs/>
          <w:color w:val="000000"/>
          <w:sz w:val="28"/>
          <w:szCs w:val="28"/>
          <w:lang w:eastAsia="sv-SE"/>
        </w:rPr>
        <w:t xml:space="preserve"> </w:t>
      </w:r>
      <w:r>
        <w:rPr>
          <w:rFonts w:asciiTheme="majorHAnsi" w:eastAsia="Times New Roman" w:hAnsiTheme="majorHAnsi" w:cs="Times New Roman"/>
          <w:b/>
          <w:bCs/>
          <w:color w:val="000000"/>
          <w:sz w:val="28"/>
          <w:szCs w:val="28"/>
          <w:lang w:eastAsia="sv-SE"/>
        </w:rPr>
        <w:t>diabetes mellitus</w:t>
      </w:r>
    </w:p>
    <w:p w14:paraId="30190A91" w14:textId="77777777" w:rsidR="00EC79BD" w:rsidRPr="00CF0AD4" w:rsidRDefault="00EC79BD" w:rsidP="00EC79BD">
      <w:pPr>
        <w:jc w:val="both"/>
        <w:rPr>
          <w:rFonts w:ascii="Times New Roman" w:eastAsia="Times New Roman" w:hAnsi="Times New Roman" w:cs="Times New Roman"/>
          <w:b/>
          <w:bCs/>
          <w:color w:val="000000"/>
          <w:sz w:val="24"/>
          <w:szCs w:val="24"/>
          <w:lang w:eastAsia="sv-SE"/>
        </w:rPr>
      </w:pPr>
      <w:r w:rsidRPr="00CF0AD4">
        <w:rPr>
          <w:rFonts w:eastAsia="Times New Roman" w:cs="Times New Roman"/>
          <w:b/>
          <w:bCs/>
          <w:color w:val="000000"/>
          <w:sz w:val="24"/>
          <w:szCs w:val="24"/>
          <w:lang w:eastAsia="sv-SE"/>
        </w:rPr>
        <w:t>D</w:t>
      </w:r>
      <w:r>
        <w:rPr>
          <w:rFonts w:eastAsia="Times New Roman" w:cs="Times New Roman"/>
          <w:b/>
          <w:bCs/>
          <w:color w:val="000000"/>
          <w:sz w:val="24"/>
          <w:szCs w:val="24"/>
          <w:lang w:eastAsia="sv-SE"/>
        </w:rPr>
        <w:t>efinition:</w:t>
      </w:r>
    </w:p>
    <w:p w14:paraId="4BB719AB" w14:textId="77777777" w:rsidR="00EC79BD" w:rsidRPr="00CF0AD4" w:rsidRDefault="00EC79BD" w:rsidP="00EC79BD">
      <w:pPr>
        <w:ind w:left="142"/>
        <w:jc w:val="both"/>
        <w:rPr>
          <w:rFonts w:asciiTheme="minorHAnsi" w:eastAsia="Times New Roman" w:hAnsiTheme="minorHAnsi" w:cs="Times New Roman"/>
          <w:color w:val="000000"/>
          <w:sz w:val="24"/>
          <w:szCs w:val="24"/>
          <w:lang w:eastAsia="sv-SE"/>
        </w:rPr>
      </w:pPr>
      <w:r w:rsidRPr="00CF0AD4">
        <w:rPr>
          <w:rFonts w:asciiTheme="minorHAnsi" w:eastAsia="Times New Roman" w:hAnsiTheme="minorHAnsi" w:cs="Times New Roman"/>
          <w:color w:val="000000"/>
          <w:sz w:val="24"/>
          <w:szCs w:val="24"/>
          <w:lang w:eastAsia="sv-SE"/>
        </w:rPr>
        <w:t>Diabetesdebut under kortisonbehandling: </w:t>
      </w:r>
    </w:p>
    <w:p w14:paraId="4A60896A" w14:textId="77777777" w:rsidR="00EC79BD" w:rsidRPr="00CF0AD4" w:rsidRDefault="00EC79BD" w:rsidP="00EC79BD">
      <w:pPr>
        <w:numPr>
          <w:ilvl w:val="0"/>
          <w:numId w:val="134"/>
        </w:numPr>
        <w:tabs>
          <w:tab w:val="clear" w:pos="284"/>
        </w:tabs>
        <w:spacing w:line="240" w:lineRule="auto"/>
        <w:ind w:left="862"/>
        <w:jc w:val="both"/>
        <w:textAlignment w:val="baseline"/>
        <w:rPr>
          <w:rFonts w:asciiTheme="minorHAnsi" w:eastAsia="Times New Roman" w:hAnsiTheme="minorHAnsi" w:cs="Times New Roman"/>
          <w:color w:val="000000"/>
          <w:sz w:val="24"/>
          <w:szCs w:val="24"/>
          <w:lang w:eastAsia="sv-SE"/>
        </w:rPr>
      </w:pPr>
      <w:r w:rsidRPr="00CF0AD4">
        <w:rPr>
          <w:rFonts w:asciiTheme="minorHAnsi" w:eastAsia="Times New Roman" w:hAnsiTheme="minorHAnsi" w:cs="Times New Roman"/>
          <w:color w:val="000000"/>
          <w:sz w:val="24"/>
          <w:szCs w:val="24"/>
          <w:lang w:eastAsia="sv-SE"/>
        </w:rPr>
        <w:t>faste p-glukos (kapillärt eller venös) &gt; 7 mmol/L eller </w:t>
      </w:r>
    </w:p>
    <w:p w14:paraId="74848E9B" w14:textId="77777777" w:rsidR="00EC79BD" w:rsidRDefault="00EC79BD" w:rsidP="00EC79BD">
      <w:pPr>
        <w:numPr>
          <w:ilvl w:val="0"/>
          <w:numId w:val="134"/>
        </w:numPr>
        <w:tabs>
          <w:tab w:val="clear" w:pos="284"/>
        </w:tabs>
        <w:spacing w:line="240" w:lineRule="auto"/>
        <w:ind w:left="862"/>
        <w:jc w:val="both"/>
        <w:textAlignment w:val="baseline"/>
        <w:rPr>
          <w:rFonts w:asciiTheme="minorHAnsi" w:eastAsia="Times New Roman" w:hAnsiTheme="minorHAnsi" w:cs="Times New Roman"/>
          <w:color w:val="000000"/>
          <w:sz w:val="24"/>
          <w:szCs w:val="24"/>
          <w:lang w:eastAsia="sv-SE"/>
        </w:rPr>
      </w:pPr>
      <w:r w:rsidRPr="00CF0AD4">
        <w:rPr>
          <w:rFonts w:asciiTheme="minorHAnsi" w:eastAsia="Times New Roman" w:hAnsiTheme="minorHAnsi" w:cs="Times New Roman"/>
          <w:color w:val="000000"/>
          <w:sz w:val="24"/>
          <w:szCs w:val="24"/>
          <w:lang w:eastAsia="sv-SE"/>
        </w:rPr>
        <w:t>icke-fastande venös p-glukos &gt;11,1 mmol/L (eller kapillärt &gt;12.2 mmol/L)</w:t>
      </w:r>
    </w:p>
    <w:p w14:paraId="1C5FCE1E" w14:textId="77777777" w:rsidR="00EC79BD" w:rsidRPr="00CF0AD4" w:rsidRDefault="00EC79BD" w:rsidP="00EC79BD">
      <w:pPr>
        <w:numPr>
          <w:ilvl w:val="0"/>
          <w:numId w:val="134"/>
        </w:numPr>
        <w:tabs>
          <w:tab w:val="clear" w:pos="284"/>
        </w:tabs>
        <w:spacing w:line="240" w:lineRule="auto"/>
        <w:ind w:left="862"/>
        <w:jc w:val="both"/>
        <w:textAlignment w:val="baseline"/>
        <w:rPr>
          <w:rFonts w:asciiTheme="minorHAnsi" w:eastAsia="Times New Roman" w:hAnsiTheme="minorHAnsi" w:cs="Times New Roman"/>
          <w:color w:val="000000"/>
          <w:sz w:val="24"/>
          <w:szCs w:val="24"/>
          <w:lang w:eastAsia="sv-SE"/>
        </w:rPr>
      </w:pPr>
    </w:p>
    <w:p w14:paraId="2273077A" w14:textId="77777777" w:rsidR="00EC79BD" w:rsidRPr="00CF0AD4" w:rsidRDefault="00EC79BD" w:rsidP="00EC79BD">
      <w:pPr>
        <w:jc w:val="both"/>
        <w:rPr>
          <w:rFonts w:asciiTheme="minorHAnsi" w:eastAsia="Times New Roman" w:hAnsiTheme="minorHAnsi" w:cs="Times New Roman"/>
          <w:b/>
          <w:bCs/>
          <w:color w:val="000000"/>
          <w:sz w:val="24"/>
          <w:szCs w:val="24"/>
          <w:lang w:eastAsia="sv-SE"/>
        </w:rPr>
      </w:pPr>
      <w:r>
        <w:rPr>
          <w:rFonts w:asciiTheme="minorHAnsi" w:eastAsia="Times New Roman" w:hAnsiTheme="minorHAnsi" w:cs="Times New Roman"/>
          <w:b/>
          <w:bCs/>
          <w:color w:val="000000"/>
          <w:sz w:val="24"/>
          <w:szCs w:val="24"/>
          <w:lang w:eastAsia="sv-SE"/>
        </w:rPr>
        <w:t>Bakgrund:</w:t>
      </w:r>
    </w:p>
    <w:p w14:paraId="31F29E1A" w14:textId="77777777" w:rsidR="00EC79BD" w:rsidRPr="00CF0AD4" w:rsidRDefault="00EC79BD" w:rsidP="00EC79BD">
      <w:pPr>
        <w:ind w:left="142"/>
        <w:jc w:val="both"/>
        <w:rPr>
          <w:rFonts w:ascii="Times New Roman" w:eastAsia="Times New Roman" w:hAnsi="Times New Roman" w:cs="Times New Roman"/>
          <w:color w:val="000000"/>
          <w:sz w:val="24"/>
          <w:szCs w:val="24"/>
          <w:lang w:eastAsia="sv-SE"/>
        </w:rPr>
      </w:pPr>
      <w:r w:rsidRPr="00CF0AD4">
        <w:rPr>
          <w:rFonts w:eastAsia="Times New Roman" w:cs="Times New Roman"/>
          <w:color w:val="000000"/>
          <w:sz w:val="24"/>
          <w:szCs w:val="24"/>
          <w:lang w:eastAsia="sv-SE"/>
        </w:rPr>
        <w:t>Prednisolon och betametason (Betapred) används båda kort- och långvarigt inom olika specialiteter som antiinflammatorisk medicinering. De är mycket potenta läkemedel som har en uttalad diabetogen effekt. Den centrala mekanismen är en minskad insulinkänslighet som framför allt ger höga glucosvärden efter måltid. Även ger aptitstimulering och viktökning.</w:t>
      </w:r>
    </w:p>
    <w:p w14:paraId="43A80990" w14:textId="77777777" w:rsidR="00EC79BD" w:rsidRPr="00CF0AD4" w:rsidRDefault="00EC79BD" w:rsidP="00EC79BD">
      <w:pPr>
        <w:rPr>
          <w:rFonts w:ascii="Times New Roman" w:eastAsia="Times New Roman" w:hAnsi="Times New Roman" w:cs="Times New Roman"/>
          <w:color w:val="000000"/>
          <w:sz w:val="24"/>
          <w:szCs w:val="24"/>
          <w:lang w:eastAsia="sv-SE"/>
        </w:rPr>
      </w:pPr>
    </w:p>
    <w:p w14:paraId="2083A30B" w14:textId="77777777" w:rsidR="00EC79BD" w:rsidRPr="00CF0AD4" w:rsidRDefault="00EC79BD" w:rsidP="00EC79BD">
      <w:pPr>
        <w:ind w:left="142" w:firstLine="284"/>
        <w:jc w:val="both"/>
        <w:rPr>
          <w:rFonts w:ascii="Times New Roman" w:eastAsia="Times New Roman" w:hAnsi="Times New Roman" w:cs="Times New Roman"/>
          <w:color w:val="000000"/>
          <w:sz w:val="24"/>
          <w:szCs w:val="24"/>
          <w:lang w:eastAsia="sv-SE"/>
        </w:rPr>
      </w:pPr>
      <w:r w:rsidRPr="00CF0AD4">
        <w:rPr>
          <w:rFonts w:eastAsia="Times New Roman" w:cs="Times New Roman"/>
          <w:color w:val="000000"/>
          <w:sz w:val="24"/>
          <w:szCs w:val="24"/>
          <w:lang w:eastAsia="sv-SE"/>
        </w:rPr>
        <w:t>Dosberoende insulinresistens kan ses redan vid behandling med motsvarande 7,5 mg Prednisolon. En dos på 30 mg Prednisolon (respektive 2,5 mg betametason) eller högre dos dagligen påverkar markant det metaboliska läget på kända diabetespatienter men kan även utlösa diabetes. Högdos kortisol på morgonen stiger glukos långsamt under dagen till en maximal nivå cirka 8 timmar efter intaget och sedan sjunker under kvällen och natten.</w:t>
      </w:r>
    </w:p>
    <w:p w14:paraId="7512ACA4" w14:textId="77777777" w:rsidR="00EC79BD" w:rsidRPr="00CF0AD4" w:rsidRDefault="00EC79BD" w:rsidP="00EC79BD">
      <w:pPr>
        <w:rPr>
          <w:rFonts w:ascii="Times New Roman" w:eastAsia="Times New Roman" w:hAnsi="Times New Roman" w:cs="Times New Roman"/>
          <w:color w:val="000000"/>
          <w:sz w:val="24"/>
          <w:szCs w:val="24"/>
          <w:lang w:eastAsia="sv-SE"/>
        </w:rPr>
      </w:pPr>
    </w:p>
    <w:p w14:paraId="68761300" w14:textId="77777777" w:rsidR="00EC79BD" w:rsidRPr="00CF0AD4" w:rsidRDefault="00EC79BD" w:rsidP="00EC79BD">
      <w:pPr>
        <w:ind w:left="142" w:firstLine="284"/>
        <w:jc w:val="both"/>
        <w:rPr>
          <w:rFonts w:eastAsia="Times New Roman" w:cs="Times New Roman"/>
          <w:color w:val="000000"/>
          <w:sz w:val="24"/>
          <w:szCs w:val="24"/>
          <w:lang w:eastAsia="sv-SE"/>
        </w:rPr>
      </w:pPr>
      <w:r w:rsidRPr="00CF0AD4">
        <w:rPr>
          <w:rFonts w:eastAsia="Times New Roman" w:cs="Times New Roman"/>
          <w:color w:val="000000"/>
          <w:sz w:val="24"/>
          <w:szCs w:val="24"/>
          <w:lang w:eastAsia="sv-SE"/>
        </w:rPr>
        <w:t>Vid utsättning av kortison återgår insulinkänsligheten vanligen till det normala inom 1-2 dygn. Ändå innebär kortisonutlöst diabetes mellitus en ökad risk för framtida typ 2 diabetes och demaskerar ibland en befintlig typ 2.</w:t>
      </w:r>
    </w:p>
    <w:p w14:paraId="14C3D7EB" w14:textId="77777777" w:rsidR="00EC79BD" w:rsidRPr="002438BD" w:rsidRDefault="00EC79BD" w:rsidP="00EC79BD">
      <w:pPr>
        <w:ind w:left="142" w:firstLine="284"/>
        <w:jc w:val="both"/>
        <w:rPr>
          <w:rFonts w:ascii="Times New Roman" w:eastAsia="Times New Roman" w:hAnsi="Times New Roman" w:cs="Times New Roman"/>
          <w:color w:val="000000"/>
          <w:lang w:eastAsia="sv-SE"/>
        </w:rPr>
      </w:pPr>
    </w:p>
    <w:p w14:paraId="383F21F2" w14:textId="77777777" w:rsidR="00EC79BD" w:rsidRPr="002438BD" w:rsidRDefault="00EC79BD" w:rsidP="00EC79BD">
      <w:pPr>
        <w:rPr>
          <w:rFonts w:ascii="Times New Roman" w:eastAsia="Times New Roman" w:hAnsi="Times New Roman" w:cs="Times New Roman"/>
          <w:color w:val="000000"/>
          <w:lang w:eastAsia="sv-SE"/>
        </w:rPr>
      </w:pPr>
    </w:p>
    <w:p w14:paraId="69061701" w14:textId="77777777" w:rsidR="00EC79BD" w:rsidRPr="00CF0AD4" w:rsidRDefault="00EC79BD" w:rsidP="00EC79BD">
      <w:pPr>
        <w:jc w:val="both"/>
        <w:rPr>
          <w:rFonts w:ascii="Times New Roman" w:eastAsia="Times New Roman" w:hAnsi="Times New Roman" w:cs="Times New Roman"/>
          <w:b/>
          <w:bCs/>
          <w:color w:val="000000"/>
          <w:sz w:val="24"/>
          <w:szCs w:val="24"/>
          <w:lang w:eastAsia="sv-SE"/>
        </w:rPr>
      </w:pPr>
      <w:r w:rsidRPr="00CF0AD4">
        <w:rPr>
          <w:rFonts w:eastAsia="Times New Roman" w:cs="Times New Roman"/>
          <w:b/>
          <w:bCs/>
          <w:color w:val="000000"/>
          <w:sz w:val="24"/>
          <w:szCs w:val="24"/>
          <w:lang w:eastAsia="sv-SE"/>
        </w:rPr>
        <w:t>K</w:t>
      </w:r>
      <w:r>
        <w:rPr>
          <w:rFonts w:eastAsia="Times New Roman" w:cs="Times New Roman"/>
          <w:b/>
          <w:bCs/>
          <w:color w:val="000000"/>
          <w:sz w:val="24"/>
          <w:szCs w:val="24"/>
          <w:lang w:eastAsia="sv-SE"/>
        </w:rPr>
        <w:t>ontroll</w:t>
      </w:r>
      <w:r w:rsidRPr="00CF0AD4">
        <w:rPr>
          <w:rFonts w:eastAsia="Times New Roman" w:cs="Times New Roman"/>
          <w:b/>
          <w:bCs/>
          <w:color w:val="000000"/>
          <w:sz w:val="24"/>
          <w:szCs w:val="24"/>
          <w:lang w:eastAsia="sv-SE"/>
        </w:rPr>
        <w:t xml:space="preserve"> </w:t>
      </w:r>
      <w:r>
        <w:rPr>
          <w:rFonts w:eastAsia="Times New Roman" w:cs="Times New Roman"/>
          <w:b/>
          <w:bCs/>
          <w:color w:val="000000"/>
          <w:sz w:val="24"/>
          <w:szCs w:val="24"/>
          <w:lang w:eastAsia="sv-SE"/>
        </w:rPr>
        <w:t>vid</w:t>
      </w:r>
      <w:r w:rsidRPr="00CF0AD4">
        <w:rPr>
          <w:rFonts w:eastAsia="Times New Roman" w:cs="Times New Roman"/>
          <w:b/>
          <w:bCs/>
          <w:color w:val="000000"/>
          <w:sz w:val="24"/>
          <w:szCs w:val="24"/>
          <w:lang w:eastAsia="sv-SE"/>
        </w:rPr>
        <w:t xml:space="preserve"> </w:t>
      </w:r>
      <w:r>
        <w:rPr>
          <w:rFonts w:eastAsia="Times New Roman" w:cs="Times New Roman"/>
          <w:b/>
          <w:bCs/>
          <w:color w:val="000000"/>
          <w:sz w:val="24"/>
          <w:szCs w:val="24"/>
          <w:lang w:eastAsia="sv-SE"/>
        </w:rPr>
        <w:t>risk</w:t>
      </w:r>
      <w:r w:rsidRPr="00CF0AD4">
        <w:rPr>
          <w:rFonts w:eastAsia="Times New Roman" w:cs="Times New Roman"/>
          <w:b/>
          <w:bCs/>
          <w:color w:val="000000"/>
          <w:sz w:val="24"/>
          <w:szCs w:val="24"/>
          <w:lang w:eastAsia="sv-SE"/>
        </w:rPr>
        <w:t xml:space="preserve"> </w:t>
      </w:r>
      <w:r>
        <w:rPr>
          <w:rFonts w:eastAsia="Times New Roman" w:cs="Times New Roman"/>
          <w:b/>
          <w:bCs/>
          <w:color w:val="000000"/>
          <w:sz w:val="24"/>
          <w:szCs w:val="24"/>
          <w:lang w:eastAsia="sv-SE"/>
        </w:rPr>
        <w:t>för</w:t>
      </w:r>
      <w:r w:rsidRPr="00CF0AD4">
        <w:rPr>
          <w:rFonts w:eastAsia="Times New Roman" w:cs="Times New Roman"/>
          <w:b/>
          <w:bCs/>
          <w:color w:val="000000"/>
          <w:sz w:val="24"/>
          <w:szCs w:val="24"/>
          <w:lang w:eastAsia="sv-SE"/>
        </w:rPr>
        <w:t xml:space="preserve"> </w:t>
      </w:r>
      <w:r>
        <w:rPr>
          <w:rFonts w:eastAsia="Times New Roman" w:cs="Times New Roman"/>
          <w:b/>
          <w:bCs/>
          <w:color w:val="000000"/>
          <w:sz w:val="24"/>
          <w:szCs w:val="24"/>
          <w:lang w:eastAsia="sv-SE"/>
        </w:rPr>
        <w:t>kortisonutlöst</w:t>
      </w:r>
      <w:r w:rsidRPr="00CF0AD4">
        <w:rPr>
          <w:rFonts w:eastAsia="Times New Roman" w:cs="Times New Roman"/>
          <w:b/>
          <w:bCs/>
          <w:color w:val="000000"/>
          <w:sz w:val="24"/>
          <w:szCs w:val="24"/>
          <w:lang w:eastAsia="sv-SE"/>
        </w:rPr>
        <w:t xml:space="preserve"> </w:t>
      </w:r>
      <w:r>
        <w:rPr>
          <w:rFonts w:eastAsia="Times New Roman" w:cs="Times New Roman"/>
          <w:b/>
          <w:bCs/>
          <w:color w:val="000000"/>
          <w:sz w:val="24"/>
          <w:szCs w:val="24"/>
          <w:lang w:eastAsia="sv-SE"/>
        </w:rPr>
        <w:t>diabetes:</w:t>
      </w:r>
    </w:p>
    <w:p w14:paraId="29AD7641" w14:textId="77777777" w:rsidR="00EC79BD" w:rsidRPr="00CF0AD4" w:rsidRDefault="00EC79BD" w:rsidP="00EC79BD">
      <w:pPr>
        <w:jc w:val="both"/>
        <w:rPr>
          <w:rFonts w:ascii="Times New Roman" w:eastAsia="Times New Roman" w:hAnsi="Times New Roman" w:cs="Times New Roman"/>
          <w:color w:val="000000"/>
          <w:sz w:val="24"/>
          <w:szCs w:val="24"/>
          <w:lang w:eastAsia="sv-SE"/>
        </w:rPr>
      </w:pPr>
      <w:r w:rsidRPr="00CF0AD4">
        <w:rPr>
          <w:rFonts w:eastAsia="Times New Roman" w:cs="Times New Roman"/>
          <w:color w:val="000000"/>
          <w:sz w:val="24"/>
          <w:szCs w:val="24"/>
          <w:lang w:eastAsia="sv-SE"/>
        </w:rPr>
        <w:t>(hög kortisondos, lång behandlingsduration, diabeteshereditet, högt BMI)</w:t>
      </w:r>
    </w:p>
    <w:p w14:paraId="7E9E5CDF" w14:textId="77777777" w:rsidR="00EC79BD" w:rsidRPr="00CF0AD4" w:rsidRDefault="00EC79BD" w:rsidP="00EC79BD">
      <w:pPr>
        <w:numPr>
          <w:ilvl w:val="0"/>
          <w:numId w:val="135"/>
        </w:numPr>
        <w:tabs>
          <w:tab w:val="clear" w:pos="284"/>
        </w:tabs>
        <w:spacing w:line="240" w:lineRule="auto"/>
        <w:ind w:left="567"/>
        <w:jc w:val="both"/>
        <w:textAlignment w:val="baseline"/>
        <w:rPr>
          <w:rFonts w:eastAsia="Times New Roman" w:cs="Times New Roman"/>
          <w:color w:val="000000"/>
          <w:sz w:val="24"/>
          <w:szCs w:val="24"/>
          <w:lang w:eastAsia="sv-SE"/>
        </w:rPr>
      </w:pPr>
      <w:r w:rsidRPr="00CF0AD4">
        <w:rPr>
          <w:rFonts w:eastAsia="Times New Roman" w:cs="Times New Roman"/>
          <w:color w:val="000000"/>
          <w:sz w:val="24"/>
          <w:szCs w:val="24"/>
          <w:lang w:eastAsia="sv-SE"/>
        </w:rPr>
        <w:t>Mät glukos och HbA1c redan innan start av kortisonbehandling.</w:t>
      </w:r>
    </w:p>
    <w:p w14:paraId="1C5DDF3C" w14:textId="77777777" w:rsidR="00EC79BD" w:rsidRPr="00CF0AD4" w:rsidRDefault="00EC79BD" w:rsidP="00EC79BD">
      <w:pPr>
        <w:numPr>
          <w:ilvl w:val="0"/>
          <w:numId w:val="135"/>
        </w:numPr>
        <w:tabs>
          <w:tab w:val="clear" w:pos="284"/>
        </w:tabs>
        <w:spacing w:line="240" w:lineRule="auto"/>
        <w:ind w:left="567"/>
        <w:jc w:val="both"/>
        <w:textAlignment w:val="baseline"/>
        <w:rPr>
          <w:rFonts w:eastAsia="Times New Roman" w:cs="Times New Roman"/>
          <w:color w:val="000000"/>
          <w:sz w:val="24"/>
          <w:szCs w:val="24"/>
          <w:lang w:eastAsia="sv-SE"/>
        </w:rPr>
      </w:pPr>
      <w:r w:rsidRPr="00CF0AD4">
        <w:rPr>
          <w:rFonts w:eastAsia="Times New Roman" w:cs="Times New Roman"/>
          <w:color w:val="000000"/>
          <w:sz w:val="24"/>
          <w:szCs w:val="24"/>
          <w:lang w:eastAsia="sv-SE"/>
        </w:rPr>
        <w:t>För att kontrollera om kortisonet ger upphov till en kliniskt relevant blodsockerstegring – mät kapillärt glukos på eftermiddag dvs cirka 8 timmar efter intagen (före kvällsmat/middag). Räcker 2-3 dagar efter påbörjat kortisonbehandling.</w:t>
      </w:r>
    </w:p>
    <w:p w14:paraId="5849BCF7" w14:textId="38207C61" w:rsidR="00EC79BD" w:rsidRPr="00CF0AD4" w:rsidRDefault="00EC79BD" w:rsidP="00EC79BD">
      <w:pPr>
        <w:numPr>
          <w:ilvl w:val="0"/>
          <w:numId w:val="135"/>
        </w:numPr>
        <w:tabs>
          <w:tab w:val="clear" w:pos="284"/>
        </w:tabs>
        <w:spacing w:line="240" w:lineRule="auto"/>
        <w:ind w:left="567"/>
        <w:jc w:val="both"/>
        <w:textAlignment w:val="baseline"/>
        <w:rPr>
          <w:rFonts w:eastAsia="Times New Roman" w:cs="Times New Roman"/>
          <w:color w:val="000000"/>
          <w:sz w:val="24"/>
          <w:szCs w:val="24"/>
          <w:lang w:eastAsia="sv-SE"/>
        </w:rPr>
      </w:pPr>
      <w:r w:rsidRPr="00CF0AD4">
        <w:rPr>
          <w:rFonts w:eastAsia="Times New Roman" w:cs="Times New Roman"/>
          <w:color w:val="000000"/>
          <w:sz w:val="24"/>
          <w:szCs w:val="24"/>
          <w:lang w:eastAsia="sv-SE"/>
        </w:rPr>
        <w:t xml:space="preserve">Om glukos </w:t>
      </w:r>
      <w:r w:rsidR="00983DD5" w:rsidRPr="00CF0AD4">
        <w:rPr>
          <w:rFonts w:eastAsia="Times New Roman" w:cs="Times New Roman"/>
          <w:color w:val="000000"/>
          <w:sz w:val="24"/>
          <w:szCs w:val="24"/>
          <w:lang w:eastAsia="sv-SE"/>
        </w:rPr>
        <w:t>eftermiddagen &gt;</w:t>
      </w:r>
      <w:r w:rsidRPr="00CF0AD4">
        <w:rPr>
          <w:rFonts w:eastAsia="Times New Roman" w:cs="Times New Roman"/>
          <w:color w:val="000000"/>
          <w:sz w:val="24"/>
          <w:szCs w:val="24"/>
          <w:lang w:eastAsia="sv-SE"/>
        </w:rPr>
        <w:t xml:space="preserve"> 10 mmol/L – kontrollera dygnskurva (före måltider och kl. 20.00) dagligen under några dagar.</w:t>
      </w:r>
    </w:p>
    <w:p w14:paraId="1FE3241A" w14:textId="77777777" w:rsidR="00EC79BD" w:rsidRPr="00CF0AD4" w:rsidRDefault="00EC79BD" w:rsidP="00EC79BD">
      <w:pPr>
        <w:numPr>
          <w:ilvl w:val="0"/>
          <w:numId w:val="135"/>
        </w:numPr>
        <w:tabs>
          <w:tab w:val="clear" w:pos="284"/>
        </w:tabs>
        <w:spacing w:line="240" w:lineRule="auto"/>
        <w:ind w:left="567"/>
        <w:jc w:val="both"/>
        <w:textAlignment w:val="baseline"/>
        <w:rPr>
          <w:rFonts w:eastAsia="Times New Roman" w:cs="Times New Roman"/>
          <w:color w:val="000000"/>
          <w:sz w:val="24"/>
          <w:szCs w:val="24"/>
          <w:lang w:eastAsia="sv-SE"/>
        </w:rPr>
      </w:pPr>
      <w:r w:rsidRPr="00CF0AD4">
        <w:rPr>
          <w:rFonts w:eastAsia="Times New Roman" w:cs="Times New Roman"/>
          <w:color w:val="000000"/>
          <w:sz w:val="24"/>
          <w:szCs w:val="24"/>
          <w:lang w:eastAsia="sv-SE"/>
        </w:rPr>
        <w:t>Om icke-fastande glukos aldrig överstiger 10 mmol/l och dosen glukokortikoider ej ökas, kan monitoreringen glesas ut till veckovisa kontroller.</w:t>
      </w:r>
    </w:p>
    <w:p w14:paraId="67ECC126" w14:textId="77777777" w:rsidR="00EC79BD" w:rsidRPr="00CF0AD4" w:rsidRDefault="00EC79BD" w:rsidP="00EC79BD">
      <w:pPr>
        <w:numPr>
          <w:ilvl w:val="0"/>
          <w:numId w:val="135"/>
        </w:numPr>
        <w:tabs>
          <w:tab w:val="clear" w:pos="284"/>
        </w:tabs>
        <w:spacing w:line="240" w:lineRule="auto"/>
        <w:ind w:left="567"/>
        <w:jc w:val="both"/>
        <w:textAlignment w:val="baseline"/>
        <w:rPr>
          <w:rFonts w:eastAsia="Times New Roman" w:cs="Times New Roman"/>
          <w:color w:val="000000"/>
          <w:sz w:val="24"/>
          <w:szCs w:val="24"/>
          <w:lang w:eastAsia="sv-SE"/>
        </w:rPr>
      </w:pPr>
      <w:r w:rsidRPr="00CF0AD4">
        <w:rPr>
          <w:rFonts w:eastAsia="Times New Roman" w:cs="Times New Roman"/>
          <w:color w:val="000000"/>
          <w:sz w:val="24"/>
          <w:szCs w:val="24"/>
          <w:lang w:eastAsia="sv-SE"/>
        </w:rPr>
        <w:t>Vid icke-fastande glukos &gt; 12 mmol/l rekommenderas fortsätta kontroll av glukos 4 gånger per dygn (före måltider och kl. 20.00).</w:t>
      </w:r>
    </w:p>
    <w:p w14:paraId="00BAC87E" w14:textId="77777777" w:rsidR="00EC79BD" w:rsidRDefault="00EC79BD" w:rsidP="00EC79BD">
      <w:pPr>
        <w:numPr>
          <w:ilvl w:val="0"/>
          <w:numId w:val="135"/>
        </w:numPr>
        <w:tabs>
          <w:tab w:val="clear" w:pos="284"/>
        </w:tabs>
        <w:spacing w:line="240" w:lineRule="auto"/>
        <w:ind w:left="567"/>
        <w:jc w:val="both"/>
        <w:textAlignment w:val="baseline"/>
        <w:rPr>
          <w:rFonts w:eastAsia="Times New Roman" w:cs="Times New Roman"/>
          <w:color w:val="000000"/>
          <w:sz w:val="24"/>
          <w:szCs w:val="24"/>
          <w:lang w:eastAsia="sv-SE"/>
        </w:rPr>
      </w:pPr>
      <w:r w:rsidRPr="00CF0AD4">
        <w:rPr>
          <w:rFonts w:eastAsia="Times New Roman" w:cs="Times New Roman"/>
          <w:color w:val="000000"/>
          <w:sz w:val="24"/>
          <w:szCs w:val="24"/>
          <w:lang w:eastAsia="sv-SE"/>
        </w:rPr>
        <w:t>Hos patienter med känd diabetes innan kortisolbehandling, kontroll av glukos 4 gånger per dygn.</w:t>
      </w:r>
    </w:p>
    <w:p w14:paraId="18AA3CA7" w14:textId="77777777" w:rsidR="00EC79BD" w:rsidRPr="00A26137" w:rsidRDefault="00EC79BD" w:rsidP="00EC79BD">
      <w:pPr>
        <w:tabs>
          <w:tab w:val="clear" w:pos="284"/>
        </w:tabs>
        <w:spacing w:line="240" w:lineRule="auto"/>
        <w:ind w:left="567"/>
        <w:jc w:val="both"/>
        <w:textAlignment w:val="baseline"/>
        <w:rPr>
          <w:rFonts w:eastAsia="Times New Roman" w:cs="Times New Roman"/>
          <w:color w:val="000000"/>
          <w:sz w:val="24"/>
          <w:szCs w:val="24"/>
          <w:lang w:eastAsia="sv-SE"/>
        </w:rPr>
      </w:pPr>
    </w:p>
    <w:p w14:paraId="55E592F5" w14:textId="77777777" w:rsidR="00EC79BD" w:rsidRPr="00433834" w:rsidRDefault="00EC79BD" w:rsidP="00EC79BD">
      <w:pPr>
        <w:jc w:val="both"/>
        <w:rPr>
          <w:rFonts w:ascii="Times New Roman" w:eastAsia="Times New Roman" w:hAnsi="Times New Roman" w:cs="Times New Roman"/>
          <w:color w:val="000000"/>
          <w:sz w:val="24"/>
          <w:szCs w:val="24"/>
          <w:lang w:eastAsia="sv-SE"/>
        </w:rPr>
      </w:pPr>
      <w:r w:rsidRPr="00433834">
        <w:rPr>
          <w:rFonts w:eastAsia="Times New Roman" w:cs="Times New Roman"/>
          <w:b/>
          <w:bCs/>
          <w:color w:val="000000"/>
          <w:sz w:val="24"/>
          <w:szCs w:val="24"/>
          <w:lang w:eastAsia="sv-SE"/>
        </w:rPr>
        <w:t>U</w:t>
      </w:r>
      <w:r>
        <w:rPr>
          <w:rFonts w:eastAsia="Times New Roman" w:cs="Times New Roman"/>
          <w:b/>
          <w:bCs/>
          <w:color w:val="000000"/>
          <w:sz w:val="24"/>
          <w:szCs w:val="24"/>
          <w:lang w:eastAsia="sv-SE"/>
        </w:rPr>
        <w:t>nder vårdtiden:</w:t>
      </w:r>
    </w:p>
    <w:p w14:paraId="6343A080" w14:textId="77777777" w:rsidR="00EC79BD" w:rsidRPr="00433834" w:rsidRDefault="00EC79BD" w:rsidP="00EC79BD">
      <w:pPr>
        <w:numPr>
          <w:ilvl w:val="0"/>
          <w:numId w:val="136"/>
        </w:numPr>
        <w:tabs>
          <w:tab w:val="clear" w:pos="284"/>
        </w:tabs>
        <w:spacing w:line="240" w:lineRule="auto"/>
        <w:ind w:left="567"/>
        <w:jc w:val="both"/>
        <w:textAlignment w:val="baseline"/>
        <w:rPr>
          <w:rFonts w:eastAsia="Times New Roman" w:cs="Times New Roman"/>
          <w:color w:val="000000"/>
          <w:sz w:val="24"/>
          <w:szCs w:val="24"/>
          <w:lang w:eastAsia="sv-SE"/>
        </w:rPr>
      </w:pPr>
      <w:r w:rsidRPr="00433834">
        <w:rPr>
          <w:rFonts w:eastAsia="Times New Roman" w:cs="Times New Roman"/>
          <w:color w:val="000000"/>
          <w:sz w:val="24"/>
          <w:szCs w:val="24"/>
          <w:lang w:eastAsia="sv-SE"/>
        </w:rPr>
        <w:t>Kontroll enligt ovan.</w:t>
      </w:r>
    </w:p>
    <w:p w14:paraId="3471286A" w14:textId="77777777" w:rsidR="00EC79BD" w:rsidRPr="00433834" w:rsidRDefault="00EC79BD" w:rsidP="00EC79BD">
      <w:pPr>
        <w:numPr>
          <w:ilvl w:val="0"/>
          <w:numId w:val="136"/>
        </w:numPr>
        <w:tabs>
          <w:tab w:val="clear" w:pos="284"/>
        </w:tabs>
        <w:spacing w:line="240" w:lineRule="auto"/>
        <w:ind w:left="567"/>
        <w:jc w:val="both"/>
        <w:textAlignment w:val="baseline"/>
        <w:rPr>
          <w:rFonts w:eastAsia="Times New Roman" w:cs="Times New Roman"/>
          <w:color w:val="000000"/>
          <w:sz w:val="24"/>
          <w:szCs w:val="24"/>
          <w:lang w:eastAsia="sv-SE"/>
        </w:rPr>
      </w:pPr>
      <w:r w:rsidRPr="00433834">
        <w:rPr>
          <w:rFonts w:eastAsia="Times New Roman" w:cs="Times New Roman"/>
          <w:color w:val="000000"/>
          <w:sz w:val="24"/>
          <w:szCs w:val="24"/>
          <w:lang w:eastAsia="sv-SE"/>
        </w:rPr>
        <w:t>Dessa som får diagnos av kortison utlöst diabetes eller har känd diabetes:</w:t>
      </w:r>
    </w:p>
    <w:p w14:paraId="74284325" w14:textId="77777777" w:rsidR="00EC79BD" w:rsidRPr="00433834" w:rsidRDefault="00EC79BD" w:rsidP="00EC79BD">
      <w:pPr>
        <w:ind w:left="709"/>
        <w:jc w:val="both"/>
        <w:rPr>
          <w:rFonts w:ascii="Times New Roman" w:eastAsia="Times New Roman" w:hAnsi="Times New Roman" w:cs="Times New Roman"/>
          <w:color w:val="000000"/>
          <w:sz w:val="24"/>
          <w:szCs w:val="24"/>
          <w:lang w:eastAsia="sv-SE"/>
        </w:rPr>
      </w:pPr>
      <w:r w:rsidRPr="00433834">
        <w:rPr>
          <w:rFonts w:eastAsia="Times New Roman" w:cs="Times New Roman"/>
          <w:color w:val="000000"/>
          <w:sz w:val="24"/>
          <w:szCs w:val="24"/>
          <w:lang w:eastAsia="sv-SE"/>
        </w:rPr>
        <w:lastRenderedPageBreak/>
        <w:t>första besök under vårdtillfället hos diabetessköterska på sjukhuset - får information om kortisonutlöst diabetes samt får glukosmätare (ev. andra hjälpmedel: FGM/CGM tillfälligt).</w:t>
      </w:r>
    </w:p>
    <w:p w14:paraId="47A4DE13" w14:textId="77777777" w:rsidR="00EC79BD" w:rsidRPr="00433834" w:rsidRDefault="00EC79BD" w:rsidP="00EC79BD">
      <w:pPr>
        <w:numPr>
          <w:ilvl w:val="0"/>
          <w:numId w:val="137"/>
        </w:numPr>
        <w:tabs>
          <w:tab w:val="clear" w:pos="284"/>
        </w:tabs>
        <w:spacing w:line="240" w:lineRule="auto"/>
        <w:ind w:left="567"/>
        <w:jc w:val="both"/>
        <w:textAlignment w:val="baseline"/>
        <w:rPr>
          <w:rFonts w:eastAsia="Times New Roman" w:cs="Times New Roman"/>
          <w:color w:val="000000"/>
          <w:sz w:val="24"/>
          <w:szCs w:val="24"/>
          <w:lang w:eastAsia="sv-SE"/>
        </w:rPr>
      </w:pPr>
      <w:r w:rsidRPr="00433834">
        <w:rPr>
          <w:rFonts w:eastAsia="Times New Roman" w:cs="Times New Roman"/>
          <w:color w:val="000000"/>
          <w:sz w:val="24"/>
          <w:szCs w:val="24"/>
          <w:lang w:eastAsia="sv-SE"/>
        </w:rPr>
        <w:t>Dessa som inte får diabetes: får patientinformation om blodsockerkontroller pga högre risk för diabetesutveckling av sin ansvarig läkare.</w:t>
      </w:r>
    </w:p>
    <w:p w14:paraId="1AE84DA8" w14:textId="77777777" w:rsidR="00EC79BD" w:rsidRPr="00433834" w:rsidRDefault="00EC79BD" w:rsidP="00EC79BD">
      <w:pPr>
        <w:numPr>
          <w:ilvl w:val="0"/>
          <w:numId w:val="137"/>
        </w:numPr>
        <w:tabs>
          <w:tab w:val="clear" w:pos="284"/>
        </w:tabs>
        <w:spacing w:line="240" w:lineRule="auto"/>
        <w:ind w:left="567"/>
        <w:jc w:val="both"/>
        <w:textAlignment w:val="baseline"/>
        <w:rPr>
          <w:rFonts w:eastAsia="Times New Roman" w:cs="Times New Roman"/>
          <w:color w:val="000000"/>
          <w:sz w:val="24"/>
          <w:szCs w:val="24"/>
          <w:lang w:eastAsia="sv-SE"/>
        </w:rPr>
      </w:pPr>
      <w:r w:rsidRPr="00433834">
        <w:rPr>
          <w:rFonts w:eastAsia="Times New Roman" w:cs="Times New Roman"/>
          <w:color w:val="000000"/>
          <w:sz w:val="24"/>
          <w:szCs w:val="24"/>
          <w:lang w:eastAsia="sv-SE"/>
        </w:rPr>
        <w:t>Patienter med kortisonutlöst diabetes/försämrad diabetesläge efter hemgång: uppföljning via VC - remiss ska skrivas vid hemgång (vid svårkontrollerad diabetes eventuellt tillfälligt uppföljning via diabetessköterska på sjukhuset).</w:t>
      </w:r>
    </w:p>
    <w:p w14:paraId="5CF7D5D6" w14:textId="77777777" w:rsidR="00EC79BD" w:rsidRPr="00433834" w:rsidRDefault="00EC79BD" w:rsidP="00EC79BD">
      <w:pPr>
        <w:rPr>
          <w:rFonts w:ascii="Times New Roman" w:eastAsia="Times New Roman" w:hAnsi="Times New Roman" w:cs="Times New Roman"/>
          <w:color w:val="000000"/>
          <w:sz w:val="24"/>
          <w:szCs w:val="24"/>
          <w:lang w:eastAsia="sv-SE"/>
        </w:rPr>
      </w:pPr>
    </w:p>
    <w:p w14:paraId="2AD3483D" w14:textId="77777777" w:rsidR="00EC79BD" w:rsidRDefault="00EC79BD" w:rsidP="00EC79BD">
      <w:pPr>
        <w:jc w:val="both"/>
        <w:rPr>
          <w:rFonts w:eastAsia="Times New Roman" w:cs="Times New Roman"/>
          <w:b/>
          <w:color w:val="000000"/>
          <w:sz w:val="28"/>
          <w:szCs w:val="28"/>
          <w:lang w:eastAsia="sv-SE"/>
        </w:rPr>
      </w:pPr>
    </w:p>
    <w:p w14:paraId="0687094E" w14:textId="77777777" w:rsidR="00EC79BD" w:rsidRPr="00433834" w:rsidRDefault="00EC79BD" w:rsidP="00EC79BD">
      <w:pPr>
        <w:jc w:val="both"/>
        <w:rPr>
          <w:rFonts w:eastAsia="Times New Roman" w:cs="Times New Roman"/>
          <w:color w:val="000000"/>
          <w:sz w:val="24"/>
          <w:szCs w:val="24"/>
          <w:lang w:eastAsia="sv-SE"/>
        </w:rPr>
      </w:pPr>
      <w:r w:rsidRPr="00433834">
        <w:rPr>
          <w:rFonts w:eastAsia="Times New Roman" w:cs="Times New Roman"/>
          <w:b/>
          <w:color w:val="000000"/>
          <w:sz w:val="24"/>
          <w:szCs w:val="24"/>
          <w:lang w:eastAsia="sv-SE"/>
        </w:rPr>
        <w:t>B</w:t>
      </w:r>
      <w:r>
        <w:rPr>
          <w:rFonts w:eastAsia="Times New Roman" w:cs="Times New Roman"/>
          <w:b/>
          <w:color w:val="000000"/>
          <w:sz w:val="24"/>
          <w:szCs w:val="24"/>
          <w:lang w:eastAsia="sv-SE"/>
        </w:rPr>
        <w:t>ehandling:</w:t>
      </w:r>
    </w:p>
    <w:p w14:paraId="057CB135" w14:textId="77777777" w:rsidR="00EC79BD" w:rsidRPr="00266BB9" w:rsidRDefault="00EC79BD" w:rsidP="00EC79BD">
      <w:pPr>
        <w:textAlignment w:val="baseline"/>
        <w:rPr>
          <w:rFonts w:eastAsia="Times New Roman" w:cs="Arial"/>
          <w:i/>
          <w:color w:val="3E4547"/>
          <w:sz w:val="28"/>
          <w:szCs w:val="28"/>
          <w:lang w:eastAsia="sv-SE"/>
        </w:rPr>
      </w:pPr>
      <w:r w:rsidRPr="00266BB9">
        <w:rPr>
          <w:rFonts w:eastAsia="Times New Roman" w:cs="Arial"/>
          <w:i/>
          <w:color w:val="3E4547"/>
          <w:sz w:val="28"/>
          <w:szCs w:val="28"/>
          <w:lang w:eastAsia="sv-SE"/>
        </w:rPr>
        <w:t>Målnivå P-glukos: 6–10 mmol/l</w:t>
      </w:r>
    </w:p>
    <w:p w14:paraId="1BA6F6C1" w14:textId="77777777" w:rsidR="00EC79BD" w:rsidRPr="004C3FC6" w:rsidRDefault="00EC79BD" w:rsidP="00EC79BD">
      <w:pPr>
        <w:jc w:val="both"/>
        <w:rPr>
          <w:rFonts w:eastAsia="Times New Roman" w:cs="Times New Roman"/>
          <w:color w:val="000000"/>
          <w:sz w:val="28"/>
          <w:szCs w:val="28"/>
          <w:lang w:eastAsia="sv-SE"/>
        </w:rPr>
      </w:pPr>
    </w:p>
    <w:p w14:paraId="6F54FBF0" w14:textId="77777777" w:rsidR="00EC79BD" w:rsidRDefault="00EC79BD" w:rsidP="00EC79BD">
      <w:pPr>
        <w:jc w:val="both"/>
        <w:textAlignment w:val="baseline"/>
        <w:rPr>
          <w:rFonts w:eastAsia="Times New Roman" w:cs="Times New Roman"/>
          <w:color w:val="000000"/>
          <w:sz w:val="24"/>
          <w:szCs w:val="24"/>
          <w:lang w:eastAsia="sv-SE"/>
        </w:rPr>
      </w:pPr>
      <w:r w:rsidRPr="00433834">
        <w:rPr>
          <w:rFonts w:eastAsia="Times New Roman" w:cs="Times New Roman"/>
          <w:b/>
          <w:color w:val="000000"/>
          <w:sz w:val="24"/>
          <w:szCs w:val="24"/>
          <w:lang w:eastAsia="sv-SE"/>
        </w:rPr>
        <w:t>Vid mild hyperglikemi</w:t>
      </w:r>
      <w:r w:rsidRPr="00433834">
        <w:rPr>
          <w:rFonts w:eastAsia="Times New Roman" w:cs="Times New Roman"/>
          <w:color w:val="000000"/>
          <w:sz w:val="24"/>
          <w:szCs w:val="24"/>
          <w:lang w:eastAsia="sv-SE"/>
        </w:rPr>
        <w:t xml:space="preserve">: </w:t>
      </w:r>
    </w:p>
    <w:p w14:paraId="2A521E60" w14:textId="77777777" w:rsidR="00EC79BD" w:rsidRPr="00433834" w:rsidRDefault="00EC79BD" w:rsidP="00EC79BD">
      <w:pPr>
        <w:jc w:val="both"/>
        <w:textAlignment w:val="baseline"/>
        <w:rPr>
          <w:rFonts w:eastAsia="Times New Roman" w:cs="Times New Roman"/>
          <w:color w:val="000000"/>
          <w:sz w:val="24"/>
          <w:szCs w:val="24"/>
          <w:lang w:eastAsia="sv-SE"/>
        </w:rPr>
      </w:pPr>
      <w:r w:rsidRPr="00433834">
        <w:rPr>
          <w:rFonts w:eastAsia="Times New Roman" w:cs="Times New Roman"/>
          <w:color w:val="000000"/>
          <w:sz w:val="24"/>
          <w:szCs w:val="24"/>
          <w:lang w:eastAsia="sv-SE"/>
        </w:rPr>
        <w:t>Metformin, DPP-4 hämmare</w:t>
      </w:r>
    </w:p>
    <w:p w14:paraId="2B6409D7" w14:textId="77777777" w:rsidR="00EC79BD" w:rsidRDefault="00EC79BD" w:rsidP="00EC79BD">
      <w:pPr>
        <w:jc w:val="both"/>
        <w:rPr>
          <w:rFonts w:eastAsia="Times New Roman" w:cs="Arial"/>
          <w:color w:val="3E4547"/>
          <w:sz w:val="28"/>
          <w:szCs w:val="28"/>
          <w:lang w:eastAsia="sv-SE"/>
        </w:rPr>
      </w:pPr>
    </w:p>
    <w:p w14:paraId="37DA4317" w14:textId="77777777" w:rsidR="00EC79BD" w:rsidRPr="00433834" w:rsidRDefault="00EC79BD" w:rsidP="00EC79BD">
      <w:pPr>
        <w:jc w:val="both"/>
        <w:rPr>
          <w:rFonts w:eastAsia="Times New Roman" w:cs="Times New Roman"/>
          <w:color w:val="000000"/>
          <w:sz w:val="24"/>
          <w:szCs w:val="24"/>
          <w:lang w:eastAsia="sv-SE"/>
        </w:rPr>
      </w:pPr>
      <w:r w:rsidRPr="00433834">
        <w:rPr>
          <w:rFonts w:eastAsia="Times New Roman" w:cs="Arial"/>
          <w:b/>
          <w:color w:val="3E4547"/>
          <w:sz w:val="24"/>
          <w:szCs w:val="24"/>
          <w:lang w:eastAsia="sv-SE"/>
        </w:rPr>
        <w:t>Vid återkommande P-glukos&gt; 12 mmol/l</w:t>
      </w:r>
      <w:r w:rsidRPr="00433834">
        <w:rPr>
          <w:rFonts w:eastAsia="Times New Roman" w:cs="Arial"/>
          <w:color w:val="3E4547"/>
          <w:sz w:val="24"/>
          <w:szCs w:val="24"/>
          <w:lang w:eastAsia="sv-SE"/>
        </w:rPr>
        <w:t xml:space="preserve"> hos patienter som får peroralt prednisolon på morgonen rekommenderas nedanstående behandlingsalgoritm:</w:t>
      </w:r>
    </w:p>
    <w:p w14:paraId="4B4C95DB" w14:textId="77777777" w:rsidR="00EC79BD" w:rsidRPr="00433834" w:rsidRDefault="00EC79BD" w:rsidP="00EC79BD">
      <w:pPr>
        <w:rPr>
          <w:rFonts w:eastAsia="Times New Roman" w:cs="Times New Roman"/>
          <w:color w:val="000000"/>
          <w:sz w:val="24"/>
          <w:szCs w:val="24"/>
          <w:lang w:eastAsia="sv-SE"/>
        </w:rPr>
      </w:pPr>
    </w:p>
    <w:p w14:paraId="541DDDDB" w14:textId="77777777" w:rsidR="00EC79BD" w:rsidRPr="00433834" w:rsidRDefault="00EC79BD" w:rsidP="00EC79BD">
      <w:pPr>
        <w:numPr>
          <w:ilvl w:val="0"/>
          <w:numId w:val="138"/>
        </w:numPr>
        <w:tabs>
          <w:tab w:val="clear" w:pos="284"/>
        </w:tabs>
        <w:spacing w:line="240" w:lineRule="auto"/>
        <w:textAlignment w:val="baseline"/>
        <w:rPr>
          <w:rFonts w:eastAsia="Times New Roman" w:cs="Arial"/>
          <w:color w:val="3E4547"/>
          <w:sz w:val="24"/>
          <w:szCs w:val="24"/>
          <w:lang w:eastAsia="sv-SE"/>
        </w:rPr>
      </w:pPr>
      <w:r w:rsidRPr="00433834">
        <w:rPr>
          <w:rFonts w:eastAsia="Times New Roman" w:cs="Arial"/>
          <w:color w:val="3E4547"/>
          <w:sz w:val="24"/>
          <w:szCs w:val="24"/>
          <w:lang w:eastAsia="sv-SE"/>
        </w:rPr>
        <w:t>Påbörja behandling med medellångverkande (NPH) insulin (Humulin NPH) på morgonen.</w:t>
      </w:r>
    </w:p>
    <w:p w14:paraId="18D4F899" w14:textId="77777777" w:rsidR="00EC79BD" w:rsidRPr="00433834" w:rsidRDefault="00EC79BD" w:rsidP="00EC79BD">
      <w:pPr>
        <w:numPr>
          <w:ilvl w:val="0"/>
          <w:numId w:val="138"/>
        </w:numPr>
        <w:tabs>
          <w:tab w:val="clear" w:pos="284"/>
        </w:tabs>
        <w:spacing w:line="240" w:lineRule="auto"/>
        <w:textAlignment w:val="baseline"/>
        <w:rPr>
          <w:rFonts w:eastAsia="Times New Roman" w:cs="Arial"/>
          <w:color w:val="3E4547"/>
          <w:sz w:val="24"/>
          <w:szCs w:val="24"/>
          <w:lang w:eastAsia="sv-SE"/>
        </w:rPr>
      </w:pPr>
      <w:r w:rsidRPr="00433834">
        <w:rPr>
          <w:rFonts w:eastAsia="Times New Roman" w:cs="Arial"/>
          <w:color w:val="3E4547"/>
          <w:sz w:val="24"/>
          <w:szCs w:val="24"/>
          <w:lang w:eastAsia="sv-SE"/>
        </w:rPr>
        <w:t>Börja med 10 E och titrera upp dosen med 10–20 % dagligen tills målnivå uppnåtts (ibland kan 40 % ökning krävas).</w:t>
      </w:r>
    </w:p>
    <w:p w14:paraId="3D51B77C" w14:textId="77777777" w:rsidR="00EC79BD" w:rsidRDefault="00EC79BD" w:rsidP="00EC79BD">
      <w:pPr>
        <w:textAlignment w:val="baseline"/>
        <w:rPr>
          <w:rFonts w:eastAsia="Times New Roman" w:cs="Arial"/>
          <w:color w:val="3E4547"/>
          <w:sz w:val="28"/>
          <w:szCs w:val="28"/>
          <w:lang w:eastAsia="sv-SE"/>
        </w:rPr>
      </w:pPr>
    </w:p>
    <w:p w14:paraId="02F8E8D7" w14:textId="77777777" w:rsidR="00EC79BD" w:rsidRPr="00A1374B" w:rsidRDefault="00EC79BD" w:rsidP="00EC79BD">
      <w:pPr>
        <w:textAlignment w:val="baseline"/>
        <w:rPr>
          <w:rFonts w:eastAsia="Times New Roman" w:cs="Arial"/>
          <w:b/>
          <w:bCs/>
          <w:i/>
          <w:iCs/>
          <w:color w:val="3E4547"/>
          <w:sz w:val="24"/>
          <w:szCs w:val="24"/>
          <w:lang w:eastAsia="sv-SE"/>
        </w:rPr>
      </w:pPr>
      <w:r w:rsidRPr="00A1374B">
        <w:rPr>
          <w:rFonts w:eastAsia="Times New Roman" w:cs="Arial"/>
          <w:b/>
          <w:bCs/>
          <w:i/>
          <w:iCs/>
          <w:color w:val="3E4547"/>
          <w:sz w:val="24"/>
          <w:szCs w:val="24"/>
          <w:lang w:eastAsia="sv-SE"/>
        </w:rPr>
        <w:t>Alternativt:</w:t>
      </w:r>
    </w:p>
    <w:p w14:paraId="22093CF3" w14:textId="77777777" w:rsidR="00EC79BD" w:rsidRPr="00A1374B" w:rsidRDefault="00EC79BD" w:rsidP="00EC79BD">
      <w:pPr>
        <w:pStyle w:val="Normalwebb"/>
        <w:numPr>
          <w:ilvl w:val="0"/>
          <w:numId w:val="138"/>
        </w:numPr>
        <w:tabs>
          <w:tab w:val="clear" w:pos="284"/>
        </w:tabs>
        <w:spacing w:before="100" w:beforeAutospacing="1" w:after="100" w:afterAutospacing="1" w:line="240" w:lineRule="auto"/>
        <w:jc w:val="left"/>
        <w:rPr>
          <w:sz w:val="24"/>
          <w:szCs w:val="24"/>
        </w:rPr>
      </w:pPr>
      <w:r w:rsidRPr="00A1374B">
        <w:rPr>
          <w:sz w:val="24"/>
          <w:szCs w:val="24"/>
        </w:rPr>
        <w:t xml:space="preserve">Med </w:t>
      </w:r>
      <w:r w:rsidRPr="00A1374B">
        <w:rPr>
          <w:rFonts w:cs="Calibri"/>
          <w:sz w:val="24"/>
          <w:szCs w:val="24"/>
        </w:rPr>
        <w:t>NPH-insulin får man börja med Mixinsulin (</w:t>
      </w:r>
      <w:r w:rsidRPr="00A1374B">
        <w:rPr>
          <w:rFonts w:cs="Calibri"/>
          <w:iCs/>
          <w:sz w:val="24"/>
          <w:szCs w:val="24"/>
        </w:rPr>
        <w:t xml:space="preserve">Humalog Mix25, Humalog Mix50, NovoMix30) </w:t>
      </w:r>
      <w:r w:rsidRPr="00A1374B">
        <w:rPr>
          <w:rFonts w:cs="Calibri"/>
          <w:bCs/>
          <w:sz w:val="24"/>
          <w:szCs w:val="24"/>
        </w:rPr>
        <w:t>på morgonen</w:t>
      </w:r>
      <w:r w:rsidRPr="00A1374B">
        <w:rPr>
          <w:rFonts w:cs="Calibri"/>
          <w:sz w:val="24"/>
          <w:szCs w:val="24"/>
        </w:rPr>
        <w:t>. Starta med 8-12E sc, titrera mot p-glukos före lunch respektive middag.</w:t>
      </w:r>
      <w:r w:rsidRPr="00A1374B">
        <w:rPr>
          <w:rFonts w:cs="Calibri"/>
          <w:sz w:val="24"/>
          <w:szCs w:val="24"/>
        </w:rPr>
        <w:br/>
        <w:t>Dosering 0,1-0,4E/kg/dygn.  Ibland krävs högre doser</w:t>
      </w:r>
      <w:r w:rsidRPr="00A1374B">
        <w:rPr>
          <w:sz w:val="24"/>
          <w:szCs w:val="24"/>
        </w:rPr>
        <w:t xml:space="preserve"> </w:t>
      </w:r>
      <w:r w:rsidRPr="00A1374B">
        <w:rPr>
          <w:rFonts w:cs="Calibri"/>
          <w:sz w:val="24"/>
          <w:szCs w:val="24"/>
        </w:rPr>
        <w:t xml:space="preserve">vid uttalad insulinresistens och vid höga kortisondoser. </w:t>
      </w:r>
    </w:p>
    <w:p w14:paraId="5773FCA3" w14:textId="77777777" w:rsidR="00EC79BD" w:rsidRPr="00A1374B" w:rsidRDefault="00EC79BD" w:rsidP="00EC79BD">
      <w:pPr>
        <w:pStyle w:val="Normalwebb"/>
        <w:numPr>
          <w:ilvl w:val="0"/>
          <w:numId w:val="138"/>
        </w:numPr>
        <w:tabs>
          <w:tab w:val="clear" w:pos="284"/>
        </w:tabs>
        <w:spacing w:before="100" w:beforeAutospacing="1" w:after="100" w:afterAutospacing="1" w:line="240" w:lineRule="auto"/>
        <w:jc w:val="left"/>
        <w:rPr>
          <w:sz w:val="24"/>
          <w:szCs w:val="24"/>
        </w:rPr>
      </w:pPr>
      <w:r w:rsidRPr="00A1374B">
        <w:rPr>
          <w:rFonts w:cs="Calibri"/>
          <w:sz w:val="24"/>
          <w:szCs w:val="24"/>
        </w:rPr>
        <w:t>I andra hand tillägg av måltidsinsulin (</w:t>
      </w:r>
      <w:r w:rsidRPr="00A1374B">
        <w:rPr>
          <w:rFonts w:cs="Calibri"/>
          <w:iCs/>
          <w:sz w:val="24"/>
          <w:szCs w:val="24"/>
        </w:rPr>
        <w:t>Insulin lispro, Insulin aspart</w:t>
      </w:r>
      <w:r w:rsidRPr="00A1374B">
        <w:rPr>
          <w:rFonts w:cs="Calibri"/>
          <w:sz w:val="24"/>
          <w:szCs w:val="24"/>
        </w:rPr>
        <w:t xml:space="preserve">) vid en till flera måltider (framförallt till lunch och/eller middag). Vanlig startdos är 5-10 E sc. </w:t>
      </w:r>
    </w:p>
    <w:p w14:paraId="17AFD933" w14:textId="77777777" w:rsidR="00EC79BD" w:rsidRPr="0071138D" w:rsidRDefault="00EC79BD" w:rsidP="00EC79BD">
      <w:pPr>
        <w:pStyle w:val="Rubrik2"/>
      </w:pPr>
      <w:r w:rsidRPr="0071138D">
        <w:t>Icke farmakologisk behandling</w:t>
      </w:r>
    </w:p>
    <w:p w14:paraId="502C4727" w14:textId="77777777" w:rsidR="00EC79BD" w:rsidRPr="004C1CE8" w:rsidRDefault="00EC79BD" w:rsidP="00EC79BD">
      <w:pPr>
        <w:rPr>
          <w:rFonts w:asciiTheme="minorHAnsi" w:hAnsiTheme="minorHAnsi"/>
          <w:color w:val="0070C0"/>
        </w:rPr>
      </w:pPr>
      <w:r w:rsidRPr="00705159">
        <w:rPr>
          <w:rFonts w:cs="Arial"/>
          <w:sz w:val="24"/>
          <w:szCs w:val="24"/>
        </w:rPr>
        <w:t xml:space="preserve">Då övriga påverkbara riskfaktorer för hjärt- och kärlsjukdom skall tas i beaktande är </w:t>
      </w:r>
      <w:r w:rsidRPr="00705159">
        <w:rPr>
          <w:rFonts w:cs="Arial"/>
          <w:b/>
          <w:sz w:val="24"/>
          <w:szCs w:val="24"/>
        </w:rPr>
        <w:t>rökstopp</w:t>
      </w:r>
      <w:r w:rsidRPr="00705159">
        <w:rPr>
          <w:rFonts w:cs="Arial"/>
          <w:sz w:val="24"/>
          <w:szCs w:val="24"/>
        </w:rPr>
        <w:t xml:space="preserve"> av central betydelse. Ytterligare en hörnsten i behandlingen av diabetes utgörs av rätt </w:t>
      </w:r>
      <w:r w:rsidRPr="00705159">
        <w:rPr>
          <w:rFonts w:cs="Arial"/>
          <w:b/>
          <w:sz w:val="24"/>
          <w:szCs w:val="24"/>
        </w:rPr>
        <w:t>kost</w:t>
      </w:r>
      <w:r w:rsidRPr="00705159">
        <w:rPr>
          <w:rFonts w:cs="Arial"/>
          <w:sz w:val="24"/>
          <w:szCs w:val="24"/>
        </w:rPr>
        <w:t>.</w:t>
      </w:r>
      <w:r>
        <w:br/>
      </w:r>
      <w:hyperlink r:id="rId50" w:tgtFrame="_blank" w:history="1">
        <w:r w:rsidRPr="004C1CE8">
          <w:rPr>
            <w:rFonts w:asciiTheme="minorHAnsi" w:hAnsiTheme="minorHAnsi"/>
            <w:color w:val="0070C0"/>
            <w:u w:val="single"/>
            <w:shd w:val="clear" w:color="auto" w:fill="FFFFFF"/>
          </w:rPr>
          <w:t>Kost vid diabetes hos vuxna – Nationellt kunskapsstöd för hälso-och sjukvården (Socialstyrelsen 2023)</w:t>
        </w:r>
      </w:hyperlink>
    </w:p>
    <w:p w14:paraId="4DB283E6" w14:textId="77777777" w:rsidR="00EC79BD" w:rsidRPr="004C1CE8" w:rsidRDefault="00EC79BD" w:rsidP="00EC79BD">
      <w:pPr>
        <w:rPr>
          <w:rFonts w:asciiTheme="minorHAnsi" w:hAnsiTheme="minorHAnsi" w:cs="Arial"/>
          <w:color w:val="0070C0"/>
          <w:sz w:val="24"/>
          <w:szCs w:val="24"/>
        </w:rPr>
      </w:pPr>
      <w:hyperlink r:id="rId51" w:tgtFrame="_blank" w:history="1">
        <w:r w:rsidRPr="004C1CE8">
          <w:rPr>
            <w:rFonts w:asciiTheme="minorHAnsi" w:hAnsiTheme="minorHAnsi"/>
            <w:color w:val="0070C0"/>
            <w:u w:val="single"/>
            <w:shd w:val="clear" w:color="auto" w:fill="FFFFFF"/>
          </w:rPr>
          <w:t>SBU Mat vid diabetes 2022</w:t>
        </w:r>
      </w:hyperlink>
    </w:p>
    <w:p w14:paraId="547AFB80" w14:textId="77777777" w:rsidR="00EC79BD" w:rsidRPr="00705159" w:rsidRDefault="00EC79BD" w:rsidP="00EC79BD">
      <w:pPr>
        <w:rPr>
          <w:rFonts w:cs="Arial"/>
          <w:sz w:val="24"/>
          <w:szCs w:val="24"/>
        </w:rPr>
      </w:pPr>
    </w:p>
    <w:p w14:paraId="0D0F3B63" w14:textId="77777777" w:rsidR="00EC79BD" w:rsidRPr="004C1CE8" w:rsidRDefault="00EC79BD" w:rsidP="00EC79BD">
      <w:pPr>
        <w:rPr>
          <w:rFonts w:asciiTheme="minorHAnsi" w:hAnsiTheme="minorHAnsi" w:cs="Arial"/>
          <w:color w:val="0070C0"/>
          <w:szCs w:val="24"/>
        </w:rPr>
      </w:pPr>
      <w:r w:rsidRPr="00705159">
        <w:rPr>
          <w:rFonts w:cs="Arial"/>
          <w:sz w:val="24"/>
          <w:szCs w:val="24"/>
        </w:rPr>
        <w:t xml:space="preserve">Tillsammans torde en bättre kosthållning i kombination med ökad fysisk aktivitet leda till viktminskning, vilket i sig har gynnsam effekt på blodsocker, lipider och blodtryck. Regelbunden </w:t>
      </w:r>
      <w:r w:rsidRPr="00705159">
        <w:rPr>
          <w:rFonts w:cs="Arial"/>
          <w:b/>
          <w:sz w:val="24"/>
          <w:szCs w:val="24"/>
        </w:rPr>
        <w:t>fysisk aktivitet</w:t>
      </w:r>
      <w:r w:rsidRPr="00705159">
        <w:rPr>
          <w:rFonts w:cs="Arial"/>
          <w:sz w:val="24"/>
          <w:szCs w:val="24"/>
        </w:rPr>
        <w:t xml:space="preserve"> har tydliga samband med minskad risk för hjärt- och kärlsjukdom, typ 2 - diabetes och övervikt. (FaR®)</w:t>
      </w:r>
      <w:r>
        <w:rPr>
          <w:rFonts w:cs="Arial"/>
          <w:sz w:val="24"/>
          <w:szCs w:val="24"/>
        </w:rPr>
        <w:t xml:space="preserve"> </w:t>
      </w:r>
      <w:hyperlink r:id="rId52" w:tgtFrame="_blank" w:history="1">
        <w:r w:rsidRPr="004C1CE8">
          <w:rPr>
            <w:rFonts w:asciiTheme="minorHAnsi" w:hAnsiTheme="minorHAnsi"/>
            <w:color w:val="0070C0"/>
            <w:u w:val="single"/>
            <w:shd w:val="clear" w:color="auto" w:fill="FFFFFF"/>
          </w:rPr>
          <w:t>FYSS vid typ 2-diabetes</w:t>
        </w:r>
      </w:hyperlink>
    </w:p>
    <w:p w14:paraId="1C660F4C" w14:textId="77777777" w:rsidR="00EC79BD" w:rsidRPr="00611C60" w:rsidRDefault="00EC79BD" w:rsidP="00EC79BD">
      <w:pPr>
        <w:pStyle w:val="Rubrik2"/>
      </w:pPr>
      <w:r w:rsidRPr="00611C60">
        <w:lastRenderedPageBreak/>
        <w:t>Farmakologisk behandling</w:t>
      </w:r>
      <w:r>
        <w:t xml:space="preserve"> </w:t>
      </w:r>
    </w:p>
    <w:p w14:paraId="12659148" w14:textId="77777777" w:rsidR="00EC79BD" w:rsidRDefault="00EC79BD" w:rsidP="00EC79BD">
      <w:pPr>
        <w:rPr>
          <w:sz w:val="24"/>
          <w:szCs w:val="24"/>
        </w:rPr>
      </w:pPr>
      <w:r w:rsidRPr="00E754DF">
        <w:rPr>
          <w:sz w:val="24"/>
          <w:szCs w:val="24"/>
        </w:rPr>
        <w:t>Inför farmakologisk behandling med antidiabetika, bör man identifiera om patientens huvudproblem framför allt är bristande insulinsekretion eller otillräckliga insulinsekretion orsakad av en förhöjd perifer insulinresistens. Överviktiga och feta patienter har som regel en diabetes som i första hand domineras av insulinresistens. Lämplig behandlingsstart är med läkemedel som åstadkommer ökat perifert glukosupptag. Normalviktiga patienters sjukdom domineras vanligen av bristande insulinsekretion.</w:t>
      </w:r>
    </w:p>
    <w:p w14:paraId="5D83333F" w14:textId="77777777" w:rsidR="00EC79BD" w:rsidRDefault="00EC79BD" w:rsidP="00EC79BD">
      <w:pPr>
        <w:rPr>
          <w:sz w:val="24"/>
          <w:szCs w:val="24"/>
        </w:rPr>
      </w:pPr>
    </w:p>
    <w:p w14:paraId="0D51EBA8" w14:textId="77777777" w:rsidR="00EC79BD" w:rsidRPr="00E754DF" w:rsidRDefault="00EC79BD" w:rsidP="00EC79BD">
      <w:pPr>
        <w:rPr>
          <w:sz w:val="24"/>
          <w:szCs w:val="24"/>
        </w:rPr>
      </w:pPr>
    </w:p>
    <w:p w14:paraId="1ACA317F" w14:textId="77777777" w:rsidR="00EC79BD" w:rsidRPr="00A1374B" w:rsidRDefault="00EC79BD" w:rsidP="00EC79BD">
      <w:pPr>
        <w:pStyle w:val="Rubrik3"/>
        <w:rPr>
          <w:sz w:val="28"/>
          <w:szCs w:val="28"/>
        </w:rPr>
      </w:pPr>
      <w:r w:rsidRPr="00A1374B">
        <w:rPr>
          <w:rStyle w:val="Stark"/>
          <w:b/>
          <w:sz w:val="28"/>
          <w:szCs w:val="28"/>
        </w:rPr>
        <w:t>PERORALA ANTIDIABETIKA</w:t>
      </w:r>
    </w:p>
    <w:p w14:paraId="59D9A815" w14:textId="77777777" w:rsidR="00EC79BD" w:rsidRPr="00B40ECE" w:rsidRDefault="00EC79BD" w:rsidP="00EC79BD">
      <w:pPr>
        <w:pStyle w:val="Rubrik3"/>
      </w:pPr>
      <w:r w:rsidRPr="00B40ECE">
        <w:rPr>
          <w:rStyle w:val="Stark"/>
          <w:b/>
        </w:rPr>
        <w:t>Biguanider/</w:t>
      </w:r>
      <w:r>
        <w:rPr>
          <w:rStyle w:val="Stark"/>
          <w:b/>
        </w:rPr>
        <w:t>m</w:t>
      </w:r>
      <w:r w:rsidRPr="00B40ECE">
        <w:rPr>
          <w:rStyle w:val="Stark"/>
          <w:b/>
        </w:rPr>
        <w:t xml:space="preserve">etformin </w:t>
      </w:r>
    </w:p>
    <w:p w14:paraId="0E120A65" w14:textId="77777777" w:rsidR="00EC79BD" w:rsidRPr="00E754DF" w:rsidRDefault="00EC79BD" w:rsidP="00EC79BD">
      <w:pPr>
        <w:rPr>
          <w:sz w:val="24"/>
          <w:szCs w:val="24"/>
        </w:rPr>
      </w:pPr>
      <w:r w:rsidRPr="00E754DF">
        <w:rPr>
          <w:sz w:val="24"/>
          <w:szCs w:val="24"/>
        </w:rPr>
        <w:t xml:space="preserve">Metformin är ett väldokumenterat och kostnadseffektivt läkemedel och är förstahandsval för de flesta patienter med diabetes typ 2 om inte kontraindikationer föreligger. Biguanider sänker </w:t>
      </w:r>
      <w:r>
        <w:rPr>
          <w:sz w:val="24"/>
          <w:szCs w:val="24"/>
        </w:rPr>
        <w:br/>
      </w:r>
      <w:r w:rsidRPr="00E754DF">
        <w:rPr>
          <w:sz w:val="24"/>
          <w:szCs w:val="24"/>
        </w:rPr>
        <w:t xml:space="preserve">b-glukos framför allt genom minskad glukosnybildning i levern och ökat perifert glukosupptag. Behandlingen leder inte till vare sig hypoglykemier eller viktuppgång. Effekten är dosberoende och dosen begränsas ofta av gastrointestinala biverkningar i form av gaser och orolig mage. Dessa kan undvikas eller mildras om man vid insättning börjar med låg dos och ökar successivt. Metformin har i långtidsstudier visat signifikant effekt på diabetesrelaterad död och totalmortalitet (UKPDS). Metformin som preventivbehandling kan övervägas for patienter med prediabetes i ålder 25-59, </w:t>
      </w:r>
      <w:r>
        <w:rPr>
          <w:sz w:val="24"/>
          <w:szCs w:val="24"/>
        </w:rPr>
        <w:br/>
      </w:r>
      <w:r w:rsidRPr="00E754DF">
        <w:rPr>
          <w:sz w:val="24"/>
          <w:szCs w:val="24"/>
        </w:rPr>
        <w:t xml:space="preserve">BMI &gt;35, f-p-glukos&gt;6,1 HbA1c&gt;42, eller kvinnor med tidigare </w:t>
      </w:r>
      <w:r w:rsidRPr="00127435">
        <w:rPr>
          <w:sz w:val="24"/>
          <w:szCs w:val="24"/>
        </w:rPr>
        <w:t>graviditetsdiabetes</w:t>
      </w:r>
      <w:r w:rsidRPr="00E754DF">
        <w:rPr>
          <w:sz w:val="24"/>
          <w:szCs w:val="24"/>
        </w:rPr>
        <w:t xml:space="preserve">. Då metformin utsöndras via njurarna, kan dosen behöva justeras om patientens njurfunktion sviktar. </w:t>
      </w:r>
      <w:r>
        <w:rPr>
          <w:sz w:val="24"/>
          <w:szCs w:val="24"/>
        </w:rPr>
        <w:br/>
      </w:r>
      <w:r w:rsidRPr="00E754DF">
        <w:rPr>
          <w:sz w:val="24"/>
          <w:szCs w:val="24"/>
        </w:rPr>
        <w:t xml:space="preserve">Det är därför viktigt att njurfunktionen följs regelbundet. Vid GFR ≤ 60 ml/min skall dosen halveras. Vid GFR 45 – 30 ml/min reduceras dosen till 500 mg x 2 och utsätts vid GFR ≤30 ml. </w:t>
      </w:r>
      <w:r w:rsidRPr="00E754DF">
        <w:rPr>
          <w:sz w:val="24"/>
          <w:szCs w:val="24"/>
        </w:rPr>
        <w:br/>
        <w:t xml:space="preserve">På grund av ökad risk för kobalaminbrist vid behandling med metformin bör kobalaminstatus </w:t>
      </w:r>
      <w:r w:rsidRPr="00E754DF">
        <w:rPr>
          <w:sz w:val="24"/>
          <w:szCs w:val="24"/>
        </w:rPr>
        <w:br/>
        <w:t>kontrolleras vartannat till vart tredje år.</w:t>
      </w:r>
    </w:p>
    <w:p w14:paraId="65257338" w14:textId="77777777" w:rsidR="00EC79BD" w:rsidRPr="00B40ECE" w:rsidRDefault="00EC79BD" w:rsidP="00EC79BD">
      <w:pPr>
        <w:pStyle w:val="Rubrik3"/>
      </w:pPr>
      <w:r w:rsidRPr="00B40ECE">
        <w:rPr>
          <w:rStyle w:val="Stark"/>
          <w:b/>
        </w:rPr>
        <w:t>Metformin kan ge upphov till laktatacidos</w:t>
      </w:r>
    </w:p>
    <w:p w14:paraId="68C223D4" w14:textId="77777777" w:rsidR="00EC79BD" w:rsidRPr="00E754DF" w:rsidRDefault="00EC79BD" w:rsidP="00EC79BD">
      <w:pPr>
        <w:rPr>
          <w:sz w:val="24"/>
          <w:szCs w:val="24"/>
        </w:rPr>
      </w:pPr>
      <w:r w:rsidRPr="00E754DF">
        <w:rPr>
          <w:sz w:val="24"/>
          <w:szCs w:val="24"/>
        </w:rPr>
        <w:t>Tillstånd med ökad laktatproduktion såsom grav hjärtsvikt, respiratorisk insufficiens med acidosbenägenhet och grav perifer ischemi, samt leverinsufficiens, akut alkoholintoxikation och alkoholism utgör kontraindikation för behandling.</w:t>
      </w:r>
      <w:r w:rsidRPr="00E754DF">
        <w:rPr>
          <w:sz w:val="24"/>
          <w:szCs w:val="24"/>
        </w:rPr>
        <w:br/>
      </w:r>
    </w:p>
    <w:p w14:paraId="7AE558D9" w14:textId="77777777" w:rsidR="00EC79BD" w:rsidRDefault="00EC79BD" w:rsidP="00EC79BD">
      <w:pPr>
        <w:rPr>
          <w:sz w:val="24"/>
          <w:szCs w:val="24"/>
        </w:rPr>
      </w:pPr>
      <w:r w:rsidRPr="00E754DF">
        <w:rPr>
          <w:sz w:val="24"/>
          <w:szCs w:val="24"/>
        </w:rPr>
        <w:t xml:space="preserve">Vid svåra akuta sjukdomstillstånd så som sepsis, hjärtinfarkt m.fl. samt vid tillstånd med vätskeförlust såsom gastroenteriter bör metformin sättas ut. Det synes vara av stor vikt att såväl metformin som läkemedel som blockerar renin-angiotensin-systemet (ACE-hämmare, ARB), diuretika samt NSAID sätts ut vid tillstånd med vätskeförlust som t.ex. gastroenterit och inte återinsätts förrän vätskebalansen återställts. Av samma skäl bör metformin inte användas hos äldre om problem med vätskeintaget föreligger. </w:t>
      </w:r>
    </w:p>
    <w:p w14:paraId="4B8E7F0F" w14:textId="77777777" w:rsidR="00EC79BD" w:rsidRPr="00B40ECE" w:rsidRDefault="00EC79BD" w:rsidP="00EC79BD">
      <w:pPr>
        <w:pStyle w:val="Rubrik3"/>
      </w:pPr>
      <w:r w:rsidRPr="00B40ECE">
        <w:rPr>
          <w:rStyle w:val="Stark"/>
          <w:b/>
        </w:rPr>
        <w:t xml:space="preserve">Sulfonureider – SU </w:t>
      </w:r>
    </w:p>
    <w:p w14:paraId="34AD309A" w14:textId="77777777" w:rsidR="00EC79BD" w:rsidRPr="00B40ECE" w:rsidRDefault="00EC79BD" w:rsidP="00EC79BD">
      <w:pPr>
        <w:rPr>
          <w:b/>
          <w:bCs/>
        </w:rPr>
      </w:pPr>
      <w:r w:rsidRPr="00B40ECE">
        <w:rPr>
          <w:b/>
          <w:bCs/>
        </w:rPr>
        <w:t>Glimepirid (Amaryl)</w:t>
      </w:r>
    </w:p>
    <w:p w14:paraId="732E48BA" w14:textId="77777777" w:rsidR="00EC79BD" w:rsidRPr="00686562" w:rsidRDefault="00EC79BD" w:rsidP="00EC79BD">
      <w:pPr>
        <w:rPr>
          <w:sz w:val="24"/>
          <w:szCs w:val="24"/>
        </w:rPr>
      </w:pPr>
      <w:r w:rsidRPr="00686562">
        <w:rPr>
          <w:sz w:val="24"/>
          <w:szCs w:val="24"/>
        </w:rPr>
        <w:lastRenderedPageBreak/>
        <w:t>Den läkemedelsgruppen har inga dokumenterade kardiovaskulära eller renala skyddseffekter varför används endast vid ekonomisk skäl. Alltid GLP-1 analog och SGLT-2 hämmare som är förstahandsval efter påbörjad Metformin.</w:t>
      </w:r>
    </w:p>
    <w:p w14:paraId="51A8FE08" w14:textId="77777777" w:rsidR="00EC79BD" w:rsidRPr="00E754DF" w:rsidRDefault="00EC79BD" w:rsidP="00EC79BD">
      <w:pPr>
        <w:rPr>
          <w:sz w:val="24"/>
          <w:szCs w:val="24"/>
        </w:rPr>
      </w:pPr>
      <w:r w:rsidRPr="00E754DF">
        <w:rPr>
          <w:sz w:val="24"/>
          <w:szCs w:val="24"/>
        </w:rPr>
        <w:t>SU stimulerar den egna insulinfrisättningen. För effekt måste dock en tillräckligt stor fungerande betacellsmassa finnas kvar. Den maximala glukossänkande effekten inträder vid relativt låga doser, medan högre doser kan leda till biverkningar utan bättre effekt. Sulfonylureapreparat metaboliseras i levern och utsöndras huvudsakligen via njurarna. Sulfonureiderna kan ges som enda behandling till patienter med tillräcklig endogen insulinproduktion. Effektmässigt ger SU samma HbA1c-sänkning som metformin.</w:t>
      </w:r>
      <w:r>
        <w:rPr>
          <w:sz w:val="24"/>
          <w:szCs w:val="24"/>
        </w:rPr>
        <w:t xml:space="preserve"> </w:t>
      </w:r>
      <w:r w:rsidRPr="00E754DF">
        <w:rPr>
          <w:sz w:val="24"/>
          <w:szCs w:val="24"/>
        </w:rPr>
        <w:br/>
        <w:t>Behandlingen startas med lägsta möjliga dos. Kan ge upphov till allvarliga hypoglykemier, framför allt vid samtidigt dåligt matintag, annan sjukdom, njursvikt, leversjukdom, kardiovaskulär sjukdom samt vid läkemedelsinteraktioner. Viktuppgång är vanligt vid behandling med SU.</w:t>
      </w:r>
    </w:p>
    <w:p w14:paraId="5B26597D" w14:textId="77777777" w:rsidR="00EC79BD" w:rsidRPr="00E754DF" w:rsidRDefault="00EC79BD" w:rsidP="00EC79BD">
      <w:pPr>
        <w:rPr>
          <w:sz w:val="24"/>
          <w:szCs w:val="24"/>
        </w:rPr>
      </w:pPr>
      <w:r w:rsidRPr="00E754DF">
        <w:rPr>
          <w:sz w:val="24"/>
          <w:szCs w:val="24"/>
        </w:rPr>
        <w:t>SU är kontraindicerat vid allvarlig lever och njursjukdom, men glimepirid kan användas med försiktighet vid lätt nedsatt njurfunktion.</w:t>
      </w:r>
    </w:p>
    <w:p w14:paraId="6943EF6B" w14:textId="77777777" w:rsidR="00EC79BD" w:rsidRPr="00B40ECE" w:rsidRDefault="00EC79BD" w:rsidP="00EC79BD">
      <w:pPr>
        <w:pStyle w:val="Rubrik3"/>
      </w:pPr>
      <w:r w:rsidRPr="00B40ECE">
        <w:rPr>
          <w:rStyle w:val="Stark"/>
          <w:b/>
        </w:rPr>
        <w:t xml:space="preserve">Meglitinider </w:t>
      </w:r>
    </w:p>
    <w:p w14:paraId="6E44C1FF" w14:textId="77777777" w:rsidR="00EC79BD" w:rsidRPr="006762A0" w:rsidRDefault="00EC79BD" w:rsidP="00EC79BD">
      <w:pPr>
        <w:rPr>
          <w:sz w:val="24"/>
          <w:szCs w:val="24"/>
        </w:rPr>
      </w:pPr>
      <w:r w:rsidRPr="006762A0">
        <w:rPr>
          <w:sz w:val="24"/>
          <w:szCs w:val="24"/>
        </w:rPr>
        <w:t xml:space="preserve">Den läkemedelsgruppen har inga dokumenterade kardiovaskulära eller renala skyddseffekter varför används endast vid ekonomisk skäl. Alltid GLP-1 analog och SGLT-2 hämmare som är förstahandsval efter påbörjad Metformin </w:t>
      </w:r>
    </w:p>
    <w:p w14:paraId="5ED34394" w14:textId="77777777" w:rsidR="00EC79BD" w:rsidRPr="00E754DF" w:rsidRDefault="00EC79BD" w:rsidP="00EC79BD">
      <w:pPr>
        <w:rPr>
          <w:sz w:val="24"/>
          <w:szCs w:val="24"/>
        </w:rPr>
      </w:pPr>
      <w:r w:rsidRPr="00E754DF">
        <w:rPr>
          <w:sz w:val="24"/>
          <w:szCs w:val="24"/>
        </w:rPr>
        <w:t>Repaglinid (Novonorm) stimulerar insulinfrisättningen på ett likartat sätt som SU-preparaten. Tillslaget är snabbt och effekten på insulinfrisättningen är kortvarig. Repaglinid ska tas i anslutning till huvudmålen. Måltidsordningen kan varieras, ingen måltid – ingen tablett. Effekt på postprandiella sockervärden är bättre än för SU-preparat. På HbA1c är effekten jämförbar. Repaglinid kan vara ett alternativ vid SU-inducerad hypoglykemi. Det metaboliseras i levern och kan ges vid måttlig njurinsufficiens. Viktuppgång är vanligt. Det är inte meningsfullt att byta från SU till repaglinid vid otillräcklig effekt.</w:t>
      </w:r>
    </w:p>
    <w:p w14:paraId="69D46CFD" w14:textId="77777777" w:rsidR="00EC79BD" w:rsidRPr="00B40ECE" w:rsidRDefault="00EC79BD" w:rsidP="00EC79BD">
      <w:pPr>
        <w:pStyle w:val="Rubrik3"/>
      </w:pPr>
      <w:r w:rsidRPr="00B40ECE">
        <w:rPr>
          <w:rStyle w:val="Stark"/>
          <w:b/>
        </w:rPr>
        <w:t>Läkemedel med inkretineffekt</w:t>
      </w:r>
    </w:p>
    <w:p w14:paraId="15661927" w14:textId="77777777" w:rsidR="00EC79BD" w:rsidRPr="00E754DF" w:rsidRDefault="00EC79BD" w:rsidP="00EC79BD">
      <w:pPr>
        <w:rPr>
          <w:sz w:val="24"/>
          <w:szCs w:val="24"/>
        </w:rPr>
      </w:pPr>
      <w:r w:rsidRPr="00E754DF">
        <w:rPr>
          <w:sz w:val="24"/>
          <w:szCs w:val="24"/>
        </w:rPr>
        <w:t xml:space="preserve">Inkretiner är hormon som frisätts i tarmen vid måltid. Den ur farmakologisk synpunkt viktigaste inkretinen är GLP-1 (glukagonlike peptide-1). Inkretineffekterna är beroende av aktuell blodsockernivå och effekten är mer uttalad vid högre blodsockervärden. Utöver effekt på insulinfrisättning och glukagonhämning bidrar GLP-1 också till ökad mättnadskänsla och till fördröjd magsäckstömning. GLP-1 bryts ner av enzymet DPP-4 (dipeptidylpeptidas-4). </w:t>
      </w:r>
      <w:r>
        <w:rPr>
          <w:sz w:val="24"/>
          <w:szCs w:val="24"/>
        </w:rPr>
        <w:br/>
      </w:r>
      <w:r w:rsidRPr="00E754DF">
        <w:rPr>
          <w:sz w:val="24"/>
          <w:szCs w:val="24"/>
        </w:rPr>
        <w:t>För att öka inkretinnivåerna kan man antingen tillföra en substans som aktiverar GLP-1 receptorn eller en substans som hämmar DPP-4.</w:t>
      </w:r>
    </w:p>
    <w:p w14:paraId="08DFAE96" w14:textId="77777777" w:rsidR="00EC79BD" w:rsidRPr="00E754DF" w:rsidRDefault="00EC79BD" w:rsidP="00EC79BD">
      <w:pPr>
        <w:rPr>
          <w:sz w:val="24"/>
          <w:szCs w:val="24"/>
        </w:rPr>
      </w:pPr>
      <w:r w:rsidRPr="00E754DF">
        <w:rPr>
          <w:sz w:val="24"/>
          <w:szCs w:val="24"/>
        </w:rPr>
        <w:t xml:space="preserve">Risken för hypoglykemi är liten eftersom effekten avtar ju närmare normoglykemi man kommer. </w:t>
      </w:r>
      <w:r w:rsidRPr="00E754DF">
        <w:rPr>
          <w:sz w:val="24"/>
          <w:szCs w:val="24"/>
        </w:rPr>
        <w:br/>
        <w:t>GLP-1 stimulerar inte insulinfrisättning vid normala P-glukosnivåer. Effekt avseende bl.a HbA1c och viktreduktion är större för GLP-1-analoger än för DPP-4-hämmare.</w:t>
      </w:r>
    </w:p>
    <w:p w14:paraId="08395390" w14:textId="77777777" w:rsidR="00EC79BD" w:rsidRPr="00B40ECE" w:rsidRDefault="00EC79BD" w:rsidP="00EC79BD">
      <w:pPr>
        <w:pStyle w:val="Rubrik3"/>
      </w:pPr>
      <w:r w:rsidRPr="00B40ECE">
        <w:rPr>
          <w:rStyle w:val="Stark"/>
          <w:b/>
        </w:rPr>
        <w:t>DPP-4 hämmare</w:t>
      </w:r>
    </w:p>
    <w:p w14:paraId="1A476F17" w14:textId="77777777" w:rsidR="00EC79BD" w:rsidRPr="00127435" w:rsidRDefault="00EC79BD" w:rsidP="00EC79BD">
      <w:pPr>
        <w:rPr>
          <w:sz w:val="24"/>
          <w:szCs w:val="24"/>
        </w:rPr>
      </w:pPr>
      <w:r w:rsidRPr="00E754DF">
        <w:rPr>
          <w:sz w:val="24"/>
          <w:szCs w:val="24"/>
        </w:rPr>
        <w:t xml:space="preserve">Sitagliptin (Januvia), vildagliptin (Galvus), saxagliptin (Onglyza) och linagliptin (Trajenta) är </w:t>
      </w:r>
      <w:r w:rsidRPr="00E754DF">
        <w:rPr>
          <w:sz w:val="24"/>
          <w:szCs w:val="24"/>
        </w:rPr>
        <w:br/>
        <w:t xml:space="preserve">DPP-4-hämmare som ges i tablettform och resulterar i att effekten av endogent GLP-1 förlängs. DPP-4-hämmare är viktneutrala. Det finns signaler om ökad risk för nasofaryngiter. Alla är godkända som monoterapi eller i kombinationsbehandling med insulin och andra perorala </w:t>
      </w:r>
      <w:r w:rsidRPr="00E754DF">
        <w:rPr>
          <w:sz w:val="24"/>
          <w:szCs w:val="24"/>
        </w:rPr>
        <w:lastRenderedPageBreak/>
        <w:t xml:space="preserve">glukossänkande mediciner. Trajenta metaboliseras via levern och kan användas vid njursvikt utan dosreduktion. För övriga DPP-4-hämmare ska dosen reduceras vid njursvikt. </w:t>
      </w:r>
      <w:r>
        <w:rPr>
          <w:sz w:val="24"/>
          <w:szCs w:val="24"/>
        </w:rPr>
        <w:br/>
      </w:r>
      <w:r w:rsidRPr="00E754DF">
        <w:rPr>
          <w:sz w:val="24"/>
          <w:szCs w:val="24"/>
        </w:rPr>
        <w:t>Alla visar kardiovaskulär säkerhet</w:t>
      </w:r>
      <w:r>
        <w:rPr>
          <w:sz w:val="24"/>
          <w:szCs w:val="24"/>
        </w:rPr>
        <w:t xml:space="preserve">, </w:t>
      </w:r>
      <w:r w:rsidRPr="003E73C2">
        <w:rPr>
          <w:sz w:val="24"/>
          <w:szCs w:val="24"/>
        </w:rPr>
        <w:t>men ingen fördel.</w:t>
      </w:r>
      <w:r>
        <w:rPr>
          <w:sz w:val="24"/>
          <w:szCs w:val="24"/>
        </w:rPr>
        <w:t xml:space="preserve"> </w:t>
      </w:r>
      <w:r w:rsidRPr="00E754DF">
        <w:rPr>
          <w:sz w:val="24"/>
          <w:szCs w:val="24"/>
        </w:rPr>
        <w:t xml:space="preserve">Bra val hos äldre och vid risk för </w:t>
      </w:r>
      <w:r w:rsidRPr="00127435">
        <w:rPr>
          <w:sz w:val="24"/>
          <w:szCs w:val="24"/>
        </w:rPr>
        <w:t>hypoglykemi. Mindre glukossänkande effekt jämfört med övriga. Sällan biverkningar.</w:t>
      </w:r>
    </w:p>
    <w:p w14:paraId="417D8C8A" w14:textId="77777777" w:rsidR="00EC79BD" w:rsidRPr="00127435" w:rsidRDefault="00EC79BD" w:rsidP="00EC79BD">
      <w:pPr>
        <w:rPr>
          <w:sz w:val="24"/>
          <w:szCs w:val="24"/>
        </w:rPr>
      </w:pPr>
      <w:r w:rsidRPr="00127435">
        <w:rPr>
          <w:sz w:val="24"/>
          <w:szCs w:val="24"/>
        </w:rPr>
        <w:t>Sitagliptin ska väljas i första hand pga stor ekonomisk vinst.</w:t>
      </w:r>
    </w:p>
    <w:p w14:paraId="0885530B" w14:textId="77777777" w:rsidR="00EC79BD" w:rsidRPr="00127435" w:rsidRDefault="00EC79BD" w:rsidP="00EC79BD">
      <w:pPr>
        <w:pStyle w:val="Rubrik3"/>
      </w:pPr>
      <w:r w:rsidRPr="00127435">
        <w:rPr>
          <w:rStyle w:val="Stark"/>
          <w:b/>
        </w:rPr>
        <w:t xml:space="preserve">GLP-1 analoger </w:t>
      </w:r>
    </w:p>
    <w:p w14:paraId="7DCF765A" w14:textId="77777777" w:rsidR="00EC79BD" w:rsidRDefault="00EC79BD" w:rsidP="00EC79BD">
      <w:pPr>
        <w:rPr>
          <w:sz w:val="24"/>
          <w:szCs w:val="24"/>
        </w:rPr>
      </w:pPr>
      <w:r w:rsidRPr="00127435">
        <w:rPr>
          <w:sz w:val="24"/>
          <w:szCs w:val="24"/>
        </w:rPr>
        <w:t>På den svenska marknaden finns ida</w:t>
      </w:r>
      <w:r>
        <w:rPr>
          <w:sz w:val="24"/>
          <w:szCs w:val="24"/>
        </w:rPr>
        <w:t>g</w:t>
      </w:r>
      <w:r w:rsidRPr="00127435">
        <w:rPr>
          <w:sz w:val="24"/>
          <w:szCs w:val="24"/>
        </w:rPr>
        <w:t>, Ozempic (semaglutid) och</w:t>
      </w:r>
      <w:r w:rsidRPr="003E73C2">
        <w:rPr>
          <w:sz w:val="24"/>
          <w:szCs w:val="24"/>
        </w:rPr>
        <w:t xml:space="preserve"> Trulicity (dulaglutid) - alla i injektionsform, samt Rybelsus (semaglutid) i tablettform.</w:t>
      </w:r>
      <w:r w:rsidRPr="00A27364">
        <w:rPr>
          <w:sz w:val="24"/>
          <w:szCs w:val="24"/>
        </w:rPr>
        <w:t xml:space="preserve"> Rybelsus doseras 1 gång/dygn Trulicity och Ozempic ges en gång/vecka. För diabetiker med manifest hjärt- och kärlsjukdom rekommenderas</w:t>
      </w:r>
      <w:r w:rsidRPr="00A27364">
        <w:rPr>
          <w:b/>
          <w:sz w:val="24"/>
          <w:szCs w:val="24"/>
        </w:rPr>
        <w:t xml:space="preserve"> </w:t>
      </w:r>
      <w:r w:rsidRPr="00A27364">
        <w:rPr>
          <w:sz w:val="24"/>
          <w:szCs w:val="24"/>
        </w:rPr>
        <w:t xml:space="preserve">Ozempic (SUSTAIN-studie) eller Trulicity (REWIND-studie). </w:t>
      </w:r>
      <w:r w:rsidRPr="00A27364">
        <w:rPr>
          <w:sz w:val="24"/>
          <w:szCs w:val="24"/>
        </w:rPr>
        <w:br/>
        <w:t>För övriga diabetiker ffa med övervikt (BMI&gt;35) rekommenderas GLP-1 analoger som tillägg till metformin. Illamående kan förekomma, speciellt i början av behandlingen. Andra vanliga biverkningar är kräkningar och diarré. För att förebygga biverkningar kan patienten rådas att äta mindre portioner eller upptitera dosen långsammare. Metformin skall kvarstå som basbehandling</w:t>
      </w:r>
    </w:p>
    <w:p w14:paraId="1AFC6517" w14:textId="77777777" w:rsidR="00EC79BD" w:rsidRPr="00A27364" w:rsidRDefault="00EC79BD" w:rsidP="00EC79BD">
      <w:pPr>
        <w:rPr>
          <w:sz w:val="24"/>
          <w:szCs w:val="24"/>
        </w:rPr>
      </w:pPr>
      <w:r w:rsidRPr="00A27364">
        <w:rPr>
          <w:sz w:val="24"/>
          <w:szCs w:val="24"/>
        </w:rPr>
        <w:t xml:space="preserve">Rybelsus är den första orala GLP-1 analogen. Den intas på fastande mage minst 30 min innan man äter/dricker eller tar andra perorala läkemedel. </w:t>
      </w:r>
      <w:r w:rsidRPr="003E73C2">
        <w:rPr>
          <w:sz w:val="24"/>
          <w:szCs w:val="24"/>
        </w:rPr>
        <w:t>Kan vara ett alternativ när injektion</w:t>
      </w:r>
      <w:r w:rsidRPr="00A27364">
        <w:rPr>
          <w:sz w:val="24"/>
          <w:szCs w:val="24"/>
        </w:rPr>
        <w:t xml:space="preserve"> är olämpligt. </w:t>
      </w:r>
    </w:p>
    <w:p w14:paraId="5FBEE9B6" w14:textId="77777777" w:rsidR="00EC79BD" w:rsidRPr="00B40ECE" w:rsidRDefault="00EC79BD" w:rsidP="00EC79BD">
      <w:pPr>
        <w:pStyle w:val="Rubrik3"/>
      </w:pPr>
      <w:r w:rsidRPr="00B40ECE">
        <w:rPr>
          <w:rStyle w:val="Stark"/>
          <w:b/>
        </w:rPr>
        <w:t>SGLT2-hämmare</w:t>
      </w:r>
    </w:p>
    <w:p w14:paraId="3A18DA76" w14:textId="77777777" w:rsidR="00EC79BD" w:rsidRDefault="00EC79BD" w:rsidP="00EC79BD">
      <w:pPr>
        <w:rPr>
          <w:sz w:val="24"/>
          <w:szCs w:val="24"/>
        </w:rPr>
      </w:pPr>
      <w:r w:rsidRPr="00A27364">
        <w:rPr>
          <w:sz w:val="24"/>
          <w:szCs w:val="24"/>
        </w:rPr>
        <w:t>Forxiga (dapagliflozin), Jardiance (empagliflozin), Invokana (kanagliflozin) SGLT-2 hämmare rekommenderas som tillägg till metformin alternativt i monoterapi. Kan användas i kombination med</w:t>
      </w:r>
      <w:r>
        <w:rPr>
          <w:sz w:val="24"/>
          <w:szCs w:val="24"/>
        </w:rPr>
        <w:t xml:space="preserve"> </w:t>
      </w:r>
      <w:r w:rsidRPr="00127435">
        <w:rPr>
          <w:sz w:val="24"/>
          <w:szCs w:val="24"/>
        </w:rPr>
        <w:t>övriga glukossänkande mediciner.</w:t>
      </w:r>
      <w:r w:rsidRPr="00A27364">
        <w:rPr>
          <w:sz w:val="24"/>
          <w:szCs w:val="24"/>
        </w:rPr>
        <w:t xml:space="preserve"> SGLT-2 är den viktigaste transportören ansvarig för återabsorption av glukos från den glomerulära filtrationen tillbaka till blodet. Trots förekomsten av hyperglykemi vid typ 2-diabetes fortsätter återabsorptionen av filtrerad glukos. SGLT2-hämmare förbättrar plasmaglukosnivåerna både vid fasta och postprandiellt genom att minska återabsorptionen av glukos i njurarna, vilket leder till utsöndring av glukos via urinen. Genitala svampinfektioner och urinvägsinfektion är vanliga biverkningar av behandling med SGLT2-hämmare. De kan öka den diuretiska effekten av tiazid och loopdiuretika och öka risken för dehydrering och hypotoni.</w:t>
      </w:r>
    </w:p>
    <w:p w14:paraId="6681B78F" w14:textId="77777777" w:rsidR="00EC79BD" w:rsidRPr="00A27364" w:rsidRDefault="00EC79BD" w:rsidP="00EC79BD">
      <w:pPr>
        <w:rPr>
          <w:sz w:val="24"/>
          <w:szCs w:val="24"/>
        </w:rPr>
      </w:pPr>
      <w:r w:rsidRPr="003E73C2">
        <w:rPr>
          <w:sz w:val="24"/>
          <w:szCs w:val="24"/>
        </w:rPr>
        <w:t>Både Forxiga och Jardiance har indikation för konisk hjärtsvikt med så väl nedsatt som bevarad ejektionsfraktion samt för kronisk njursjukdom. Rekommenderad dos för de indikationer</w:t>
      </w:r>
      <w:r>
        <w:rPr>
          <w:sz w:val="24"/>
          <w:szCs w:val="24"/>
        </w:rPr>
        <w:t>na</w:t>
      </w:r>
      <w:r w:rsidRPr="003E73C2">
        <w:rPr>
          <w:sz w:val="24"/>
          <w:szCs w:val="24"/>
        </w:rPr>
        <w:t xml:space="preserve"> är 10 mg. Beakta att GFR-gränsen skiljer sig vid olika indikationer – glukossänkande effekt sjunker vid lägre GFR (avtar vid GFR&lt;45).</w:t>
      </w:r>
    </w:p>
    <w:p w14:paraId="196BC8DC" w14:textId="77777777" w:rsidR="00EC79BD" w:rsidRDefault="00EC79BD" w:rsidP="00EC79BD"/>
    <w:p w14:paraId="57056694" w14:textId="77777777" w:rsidR="00EC79BD" w:rsidRPr="00A27364" w:rsidRDefault="00EC79BD" w:rsidP="00EC79BD">
      <w:pPr>
        <w:rPr>
          <w:sz w:val="24"/>
          <w:szCs w:val="24"/>
        </w:rPr>
      </w:pPr>
      <w:r w:rsidRPr="00A27364">
        <w:rPr>
          <w:i/>
          <w:iCs/>
          <w:sz w:val="24"/>
          <w:szCs w:val="24"/>
        </w:rPr>
        <w:t>SGLT-2 hämmare bör sättas ut vid svåra akuta sjukdomstillstånd framför allt med vätskeförlust, innan operation, samt för patienter med dåligt födointag.</w:t>
      </w:r>
      <w:r w:rsidRPr="00A27364">
        <w:rPr>
          <w:rFonts w:ascii="Open Sans" w:hAnsi="Open Sans" w:cs="Open Sans"/>
          <w:color w:val="404040"/>
          <w:sz w:val="24"/>
          <w:szCs w:val="24"/>
        </w:rPr>
        <w:t xml:space="preserve"> </w:t>
      </w:r>
      <w:r w:rsidRPr="00A27364">
        <w:rPr>
          <w:sz w:val="24"/>
          <w:szCs w:val="24"/>
        </w:rPr>
        <w:t>En liten men ökad risk för normoglykemisk ketoacidos observeras. Därför rekommenderas särskild försiktighet för patienter med ökad risk för DKA (LADA, typ 2 med låg c-peptid, diabetes sekundär till pankreasinsuff</w:t>
      </w:r>
      <w:r>
        <w:rPr>
          <w:sz w:val="24"/>
          <w:szCs w:val="24"/>
        </w:rPr>
        <w:t>iciens</w:t>
      </w:r>
      <w:r w:rsidRPr="00A27364">
        <w:rPr>
          <w:sz w:val="24"/>
          <w:szCs w:val="24"/>
        </w:rPr>
        <w:t>, alkoholmissbrukare, LCHF-kost). Vid illamående, kräkningar, anorexi, buksmärta, ökad törst, andningssvårigheter, förvirring, onormal trötthet eller sömnighet ska blodketoner kontrolleras.</w:t>
      </w:r>
    </w:p>
    <w:p w14:paraId="053D209F" w14:textId="77777777" w:rsidR="00EC79BD" w:rsidRPr="00B40ECE" w:rsidRDefault="00EC79BD" w:rsidP="00EC79BD">
      <w:pPr>
        <w:pStyle w:val="Rubrik3"/>
      </w:pPr>
      <w:r w:rsidRPr="00B40ECE">
        <w:rPr>
          <w:rStyle w:val="Stark"/>
          <w:b/>
        </w:rPr>
        <w:t>Tiazolidindioner</w:t>
      </w:r>
    </w:p>
    <w:p w14:paraId="151939F9" w14:textId="77777777" w:rsidR="00EC79BD" w:rsidRPr="00A27364" w:rsidRDefault="00EC79BD" w:rsidP="00EC79BD">
      <w:pPr>
        <w:rPr>
          <w:sz w:val="24"/>
          <w:szCs w:val="24"/>
        </w:rPr>
      </w:pPr>
      <w:r w:rsidRPr="00A27364">
        <w:rPr>
          <w:sz w:val="24"/>
          <w:szCs w:val="24"/>
        </w:rPr>
        <w:t>Pioglitazon</w:t>
      </w:r>
      <w:r w:rsidRPr="00A27364">
        <w:rPr>
          <w:sz w:val="24"/>
          <w:szCs w:val="24"/>
        </w:rPr>
        <w:br/>
      </w:r>
      <w:r w:rsidRPr="00501215">
        <w:rPr>
          <w:rStyle w:val="Betoning"/>
          <w:rFonts w:cs="Open Sans"/>
          <w:i w:val="0"/>
          <w:iCs w:val="0"/>
          <w:color w:val="404040"/>
          <w:sz w:val="24"/>
          <w:szCs w:val="24"/>
        </w:rPr>
        <w:t>Tiazolidindioner/Glitazoner rekommenderas inte på grund av flera besvärande biverkningar.</w:t>
      </w:r>
      <w:r>
        <w:rPr>
          <w:rStyle w:val="Betoning"/>
          <w:rFonts w:cs="Open Sans"/>
          <w:i w:val="0"/>
          <w:iCs w:val="0"/>
          <w:color w:val="404040"/>
          <w:sz w:val="24"/>
          <w:szCs w:val="24"/>
        </w:rPr>
        <w:t xml:space="preserve"> </w:t>
      </w:r>
      <w:r>
        <w:rPr>
          <w:rStyle w:val="Betoning"/>
          <w:rFonts w:cs="Open Sans"/>
          <w:i w:val="0"/>
          <w:iCs w:val="0"/>
          <w:color w:val="404040"/>
          <w:sz w:val="24"/>
          <w:szCs w:val="24"/>
        </w:rPr>
        <w:br/>
      </w:r>
      <w:r w:rsidRPr="003E73C2">
        <w:rPr>
          <w:rStyle w:val="Betoning"/>
          <w:rFonts w:cs="Open Sans"/>
          <w:i w:val="0"/>
          <w:iCs w:val="0"/>
          <w:color w:val="404040"/>
          <w:sz w:val="24"/>
          <w:szCs w:val="24"/>
        </w:rPr>
        <w:lastRenderedPageBreak/>
        <w:t>I undantagsfall har</w:t>
      </w:r>
      <w:r>
        <w:rPr>
          <w:rStyle w:val="Betoning"/>
          <w:rFonts w:cs="Open Sans"/>
          <w:i w:val="0"/>
          <w:iCs w:val="0"/>
          <w:color w:val="404040"/>
          <w:sz w:val="24"/>
          <w:szCs w:val="24"/>
        </w:rPr>
        <w:t xml:space="preserve"> det</w:t>
      </w:r>
      <w:r w:rsidRPr="003E73C2">
        <w:rPr>
          <w:rStyle w:val="Betoning"/>
          <w:rFonts w:cs="Open Sans"/>
          <w:i w:val="0"/>
          <w:iCs w:val="0"/>
          <w:color w:val="404040"/>
          <w:sz w:val="24"/>
          <w:szCs w:val="24"/>
        </w:rPr>
        <w:t xml:space="preserve"> sin plats vid uttalad insulinresistens</w:t>
      </w:r>
      <w:r w:rsidRPr="00B7367B">
        <w:rPr>
          <w:rStyle w:val="Betoning"/>
          <w:rFonts w:cs="Open Sans"/>
          <w:i w:val="0"/>
          <w:iCs w:val="0"/>
          <w:color w:val="404040"/>
          <w:sz w:val="24"/>
          <w:szCs w:val="24"/>
        </w:rPr>
        <w:t xml:space="preserve">. </w:t>
      </w:r>
      <w:r w:rsidRPr="00B7367B">
        <w:rPr>
          <w:rStyle w:val="Betoning"/>
          <w:rFonts w:cs="Open Sans"/>
          <w:i w:val="0"/>
          <w:iCs w:val="0"/>
          <w:color w:val="000000" w:themeColor="text1"/>
          <w:sz w:val="24"/>
          <w:szCs w:val="24"/>
        </w:rPr>
        <w:t>Läkemedlet visar positiv effekt vid leversteatos.</w:t>
      </w:r>
    </w:p>
    <w:p w14:paraId="03D1C081" w14:textId="77777777" w:rsidR="00EC79BD" w:rsidRPr="00A27364" w:rsidRDefault="00EC79BD" w:rsidP="00EC79BD">
      <w:pPr>
        <w:rPr>
          <w:sz w:val="24"/>
          <w:szCs w:val="24"/>
        </w:rPr>
      </w:pPr>
    </w:p>
    <w:p w14:paraId="20D2CD70" w14:textId="77777777" w:rsidR="00EC79BD" w:rsidRPr="002F2050" w:rsidRDefault="00EC79BD" w:rsidP="00EC79BD">
      <w:pPr>
        <w:rPr>
          <w:strike/>
          <w:sz w:val="24"/>
          <w:szCs w:val="24"/>
        </w:rPr>
      </w:pPr>
    </w:p>
    <w:p w14:paraId="521FFA7B" w14:textId="77777777" w:rsidR="00EC79BD" w:rsidRPr="00B40ECE" w:rsidRDefault="00EC79BD" w:rsidP="00EC79BD">
      <w:pPr>
        <w:tabs>
          <w:tab w:val="clear" w:pos="284"/>
        </w:tabs>
        <w:spacing w:after="120" w:line="260" w:lineRule="atLeast"/>
        <w:ind w:left="-284" w:firstLine="284"/>
        <w:rPr>
          <w:rStyle w:val="Betoning"/>
          <w:i w:val="0"/>
          <w:iCs w:val="0"/>
          <w:sz w:val="24"/>
          <w:szCs w:val="24"/>
        </w:rPr>
      </w:pPr>
      <w:r w:rsidRPr="00B40ECE">
        <w:rPr>
          <w:rFonts w:asciiTheme="minorHAnsi" w:hAnsiTheme="minorHAnsi"/>
          <w:b/>
          <w:bCs/>
          <w:sz w:val="24"/>
          <w:szCs w:val="24"/>
        </w:rPr>
        <w:t>Jämförelse mellan blodsockersänkande preparat (utom insulin</w:t>
      </w:r>
      <w:r>
        <w:rPr>
          <w:rFonts w:asciiTheme="minorHAnsi" w:hAnsiTheme="minorHAnsi"/>
          <w:b/>
          <w:bCs/>
          <w:sz w:val="24"/>
          <w:szCs w:val="24"/>
        </w:rPr>
        <w:t>)</w:t>
      </w:r>
    </w:p>
    <w:tbl>
      <w:tblPr>
        <w:tblStyle w:val="Professionelltabell"/>
        <w:tblW w:w="5000" w:type="pct"/>
        <w:tblLook w:val="04A0" w:firstRow="1" w:lastRow="0" w:firstColumn="1" w:lastColumn="0" w:noHBand="0" w:noVBand="1"/>
      </w:tblPr>
      <w:tblGrid>
        <w:gridCol w:w="1268"/>
        <w:gridCol w:w="1896"/>
        <w:gridCol w:w="1627"/>
        <w:gridCol w:w="1660"/>
        <w:gridCol w:w="1647"/>
        <w:gridCol w:w="1127"/>
      </w:tblGrid>
      <w:tr w:rsidR="00EC79BD" w:rsidRPr="0071138D" w14:paraId="13903565" w14:textId="77777777" w:rsidTr="00632FCC">
        <w:trPr>
          <w:cnfStyle w:val="100000000000" w:firstRow="1" w:lastRow="0" w:firstColumn="0" w:lastColumn="0" w:oddVBand="0" w:evenVBand="0" w:oddHBand="0" w:evenHBand="0" w:firstRowFirstColumn="0" w:firstRowLastColumn="0" w:lastRowFirstColumn="0" w:lastRowLastColumn="0"/>
          <w:trHeight w:val="202"/>
        </w:trPr>
        <w:tc>
          <w:tcPr>
            <w:tcW w:w="681" w:type="pct"/>
          </w:tcPr>
          <w:p w14:paraId="2FD934C0" w14:textId="77777777" w:rsidR="00EC79BD" w:rsidRPr="0071138D" w:rsidRDefault="00EC79BD" w:rsidP="00632FCC">
            <w:pPr>
              <w:pStyle w:val="Tabelltext"/>
              <w:rPr>
                <w:rFonts w:ascii="Garamond" w:hAnsi="Garamond"/>
              </w:rPr>
            </w:pPr>
            <w:r w:rsidRPr="0071138D">
              <w:rPr>
                <w:rFonts w:ascii="Garamond" w:hAnsi="Garamond"/>
              </w:rPr>
              <w:t>Klass</w:t>
            </w:r>
          </w:p>
        </w:tc>
        <w:tc>
          <w:tcPr>
            <w:tcW w:w="1064" w:type="pct"/>
          </w:tcPr>
          <w:p w14:paraId="3AC96B17" w14:textId="77777777" w:rsidR="00EC79BD" w:rsidRPr="0071138D" w:rsidRDefault="00EC79BD" w:rsidP="00632FCC">
            <w:pPr>
              <w:pStyle w:val="Tabelltext"/>
              <w:rPr>
                <w:rFonts w:ascii="Garamond" w:hAnsi="Garamond"/>
              </w:rPr>
            </w:pPr>
            <w:r w:rsidRPr="0071138D">
              <w:rPr>
                <w:rFonts w:ascii="Garamond" w:hAnsi="Garamond"/>
              </w:rPr>
              <w:t>Preprat</w:t>
            </w:r>
          </w:p>
        </w:tc>
        <w:tc>
          <w:tcPr>
            <w:tcW w:w="874" w:type="pct"/>
          </w:tcPr>
          <w:p w14:paraId="5C1E13D1" w14:textId="77777777" w:rsidR="00EC79BD" w:rsidRPr="0071138D" w:rsidRDefault="00EC79BD" w:rsidP="00632FCC">
            <w:pPr>
              <w:pStyle w:val="Tabelltext"/>
              <w:rPr>
                <w:rFonts w:ascii="Garamond" w:hAnsi="Garamond"/>
              </w:rPr>
            </w:pPr>
            <w:r w:rsidRPr="0071138D">
              <w:rPr>
                <w:rFonts w:ascii="Garamond" w:hAnsi="Garamond"/>
              </w:rPr>
              <w:t>Verkan</w:t>
            </w:r>
          </w:p>
        </w:tc>
        <w:tc>
          <w:tcPr>
            <w:tcW w:w="891" w:type="pct"/>
          </w:tcPr>
          <w:p w14:paraId="08EB1730" w14:textId="77777777" w:rsidR="00EC79BD" w:rsidRPr="0071138D" w:rsidRDefault="00EC79BD" w:rsidP="00632FCC">
            <w:pPr>
              <w:pStyle w:val="Tabelltext"/>
              <w:rPr>
                <w:rFonts w:ascii="Garamond" w:hAnsi="Garamond"/>
              </w:rPr>
            </w:pPr>
            <w:r w:rsidRPr="0071138D">
              <w:rPr>
                <w:rFonts w:ascii="Garamond" w:hAnsi="Garamond"/>
              </w:rPr>
              <w:t>Fördel</w:t>
            </w:r>
          </w:p>
        </w:tc>
        <w:tc>
          <w:tcPr>
            <w:tcW w:w="884" w:type="pct"/>
          </w:tcPr>
          <w:p w14:paraId="3DE5533F" w14:textId="77777777" w:rsidR="00EC79BD" w:rsidRPr="0071138D" w:rsidRDefault="00EC79BD" w:rsidP="00632FCC">
            <w:pPr>
              <w:pStyle w:val="Tabelltext"/>
              <w:rPr>
                <w:rFonts w:ascii="Garamond" w:hAnsi="Garamond"/>
              </w:rPr>
            </w:pPr>
            <w:r w:rsidRPr="0071138D">
              <w:rPr>
                <w:rFonts w:ascii="Garamond" w:hAnsi="Garamond"/>
              </w:rPr>
              <w:t>Nackdel</w:t>
            </w:r>
          </w:p>
        </w:tc>
        <w:tc>
          <w:tcPr>
            <w:tcW w:w="605" w:type="pct"/>
          </w:tcPr>
          <w:p w14:paraId="21B76451" w14:textId="77777777" w:rsidR="00EC79BD" w:rsidRPr="0071138D" w:rsidRDefault="00EC79BD" w:rsidP="00632FCC">
            <w:pPr>
              <w:pStyle w:val="Tabelltext"/>
              <w:rPr>
                <w:rFonts w:ascii="Garamond" w:hAnsi="Garamond"/>
              </w:rPr>
            </w:pPr>
            <w:r w:rsidRPr="0071138D">
              <w:rPr>
                <w:rFonts w:ascii="Garamond" w:hAnsi="Garamond"/>
              </w:rPr>
              <w:t>Kostnad</w:t>
            </w:r>
          </w:p>
        </w:tc>
      </w:tr>
      <w:tr w:rsidR="00EC79BD" w:rsidRPr="0071138D" w14:paraId="2C185BD1" w14:textId="77777777" w:rsidTr="00632FCC">
        <w:trPr>
          <w:trHeight w:val="954"/>
        </w:trPr>
        <w:tc>
          <w:tcPr>
            <w:tcW w:w="681" w:type="pct"/>
          </w:tcPr>
          <w:p w14:paraId="1E5D1F7D" w14:textId="77777777" w:rsidR="00EC79BD" w:rsidRPr="0071138D" w:rsidRDefault="00EC79BD" w:rsidP="00632FCC">
            <w:pPr>
              <w:pStyle w:val="Tabelltext"/>
              <w:rPr>
                <w:rFonts w:ascii="Garamond" w:hAnsi="Garamond"/>
              </w:rPr>
            </w:pPr>
            <w:r w:rsidRPr="0071138D">
              <w:rPr>
                <w:rFonts w:ascii="Garamond" w:hAnsi="Garamond"/>
              </w:rPr>
              <w:t>Biguanider</w:t>
            </w:r>
          </w:p>
        </w:tc>
        <w:tc>
          <w:tcPr>
            <w:tcW w:w="1064" w:type="pct"/>
          </w:tcPr>
          <w:p w14:paraId="758DAFEF" w14:textId="77777777" w:rsidR="00EC79BD" w:rsidRPr="0071138D" w:rsidRDefault="00EC79BD" w:rsidP="00632FCC">
            <w:pPr>
              <w:pStyle w:val="Tabelltext"/>
              <w:rPr>
                <w:rFonts w:ascii="Garamond" w:hAnsi="Garamond"/>
              </w:rPr>
            </w:pPr>
            <w:r w:rsidRPr="0071138D">
              <w:rPr>
                <w:rFonts w:ascii="Garamond" w:hAnsi="Garamond"/>
              </w:rPr>
              <w:t>Metformin</w:t>
            </w:r>
          </w:p>
        </w:tc>
        <w:tc>
          <w:tcPr>
            <w:tcW w:w="874" w:type="pct"/>
          </w:tcPr>
          <w:p w14:paraId="57A3667F" w14:textId="77777777" w:rsidR="00EC79BD" w:rsidRPr="0071138D" w:rsidRDefault="00EC79BD" w:rsidP="00632FCC">
            <w:pPr>
              <w:pStyle w:val="Tabelltext"/>
              <w:rPr>
                <w:rFonts w:ascii="Garamond" w:hAnsi="Garamond"/>
              </w:rPr>
            </w:pPr>
            <w:r w:rsidRPr="0071138D">
              <w:rPr>
                <w:rFonts w:ascii="Garamond" w:hAnsi="Garamond"/>
              </w:rPr>
              <w:t>↓ leverns glukosproduktion</w:t>
            </w:r>
          </w:p>
          <w:p w14:paraId="32A00DF3" w14:textId="77777777" w:rsidR="00EC79BD" w:rsidRPr="0071138D" w:rsidRDefault="00EC79BD" w:rsidP="00632FCC">
            <w:pPr>
              <w:pStyle w:val="Tabelltext"/>
              <w:rPr>
                <w:rFonts w:ascii="Garamond" w:hAnsi="Garamond"/>
              </w:rPr>
            </w:pPr>
            <w:r w:rsidRPr="0071138D">
              <w:rPr>
                <w:rFonts w:ascii="Garamond" w:hAnsi="Garamond"/>
              </w:rPr>
              <w:t>↑ perifert glukosupptag</w:t>
            </w:r>
          </w:p>
        </w:tc>
        <w:tc>
          <w:tcPr>
            <w:tcW w:w="891" w:type="pct"/>
          </w:tcPr>
          <w:p w14:paraId="4143E7C3" w14:textId="77777777" w:rsidR="00EC79BD" w:rsidRPr="0071138D" w:rsidRDefault="00EC79BD" w:rsidP="00632FCC">
            <w:pPr>
              <w:pStyle w:val="Tabelltext"/>
              <w:rPr>
                <w:rFonts w:ascii="Garamond" w:hAnsi="Garamond"/>
              </w:rPr>
            </w:pPr>
            <w:r w:rsidRPr="0071138D">
              <w:rPr>
                <w:rFonts w:ascii="Garamond" w:hAnsi="Garamond"/>
              </w:rPr>
              <w:t>Lång erfarenhet</w:t>
            </w:r>
          </w:p>
          <w:p w14:paraId="651EFE6D" w14:textId="77777777" w:rsidR="00EC79BD" w:rsidRPr="0071138D" w:rsidRDefault="00EC79BD" w:rsidP="00632FCC">
            <w:pPr>
              <w:pStyle w:val="Tabelltext"/>
              <w:rPr>
                <w:rFonts w:ascii="Garamond" w:hAnsi="Garamond"/>
              </w:rPr>
            </w:pPr>
            <w:r w:rsidRPr="0071138D">
              <w:rPr>
                <w:rFonts w:ascii="Garamond" w:hAnsi="Garamond"/>
              </w:rPr>
              <w:t>ej viktökning</w:t>
            </w:r>
          </w:p>
          <w:p w14:paraId="71138C96" w14:textId="77777777" w:rsidR="00EC79BD" w:rsidRPr="0071138D" w:rsidRDefault="00EC79BD" w:rsidP="00632FCC">
            <w:pPr>
              <w:pStyle w:val="Tabelltext"/>
              <w:rPr>
                <w:rFonts w:ascii="Garamond" w:hAnsi="Garamond"/>
              </w:rPr>
            </w:pPr>
            <w:r w:rsidRPr="0071138D">
              <w:rPr>
                <w:rFonts w:ascii="Garamond" w:hAnsi="Garamond"/>
              </w:rPr>
              <w:t>ej hypoglykemi</w:t>
            </w:r>
          </w:p>
          <w:p w14:paraId="16055367" w14:textId="77777777" w:rsidR="00EC79BD" w:rsidRPr="0071138D" w:rsidRDefault="00EC79BD" w:rsidP="00632FCC">
            <w:pPr>
              <w:pStyle w:val="Tabelltext"/>
              <w:rPr>
                <w:rFonts w:ascii="Garamond" w:hAnsi="Garamond"/>
              </w:rPr>
            </w:pPr>
            <w:r w:rsidRPr="0071138D">
              <w:rPr>
                <w:rFonts w:ascii="Garamond" w:hAnsi="Garamond"/>
              </w:rPr>
              <w:t>↓ CVD (UKPDS)</w:t>
            </w:r>
          </w:p>
        </w:tc>
        <w:tc>
          <w:tcPr>
            <w:tcW w:w="884" w:type="pct"/>
          </w:tcPr>
          <w:p w14:paraId="655D4219" w14:textId="77777777" w:rsidR="00EC79BD" w:rsidRPr="0071138D" w:rsidRDefault="00EC79BD" w:rsidP="00632FCC">
            <w:pPr>
              <w:pStyle w:val="Tabelltext"/>
              <w:rPr>
                <w:rFonts w:ascii="Garamond" w:hAnsi="Garamond"/>
              </w:rPr>
            </w:pPr>
            <w:r w:rsidRPr="0071138D">
              <w:rPr>
                <w:rFonts w:ascii="Garamond" w:hAnsi="Garamond"/>
              </w:rPr>
              <w:t>GI-biverkningar</w:t>
            </w:r>
          </w:p>
          <w:p w14:paraId="45BDB550" w14:textId="77777777" w:rsidR="00EC79BD" w:rsidRPr="0071138D" w:rsidRDefault="00EC79BD" w:rsidP="00632FCC">
            <w:pPr>
              <w:pStyle w:val="Tabelltext"/>
              <w:rPr>
                <w:rFonts w:ascii="Garamond" w:hAnsi="Garamond"/>
              </w:rPr>
            </w:pPr>
            <w:r w:rsidRPr="0071138D">
              <w:rPr>
                <w:rFonts w:ascii="Garamond" w:hAnsi="Garamond"/>
              </w:rPr>
              <w:t>Laktacidos (sällan)</w:t>
            </w:r>
          </w:p>
          <w:p w14:paraId="19E19E0C" w14:textId="77777777" w:rsidR="00EC79BD" w:rsidRPr="0071138D" w:rsidRDefault="00EC79BD" w:rsidP="00632FCC">
            <w:pPr>
              <w:pStyle w:val="Tabelltext"/>
              <w:rPr>
                <w:rFonts w:ascii="Garamond" w:hAnsi="Garamond"/>
              </w:rPr>
            </w:pPr>
            <w:r w:rsidRPr="0071138D">
              <w:rPr>
                <w:rFonts w:ascii="Garamond" w:hAnsi="Garamond"/>
              </w:rPr>
              <w:t>B-12 brist</w:t>
            </w:r>
          </w:p>
          <w:p w14:paraId="7F78FFFB" w14:textId="77777777" w:rsidR="00EC79BD" w:rsidRPr="0071138D" w:rsidRDefault="00EC79BD" w:rsidP="00632FCC">
            <w:pPr>
              <w:pStyle w:val="Tabelltext"/>
              <w:rPr>
                <w:rFonts w:ascii="Garamond" w:hAnsi="Garamond"/>
              </w:rPr>
            </w:pPr>
            <w:r w:rsidRPr="0071138D">
              <w:rPr>
                <w:rFonts w:ascii="Garamond" w:hAnsi="Garamond"/>
              </w:rPr>
              <w:t>Många kontraindikationer</w:t>
            </w:r>
          </w:p>
        </w:tc>
        <w:tc>
          <w:tcPr>
            <w:tcW w:w="605" w:type="pct"/>
          </w:tcPr>
          <w:p w14:paraId="60014747" w14:textId="77777777" w:rsidR="00EC79BD" w:rsidRPr="0071138D" w:rsidRDefault="00EC79BD" w:rsidP="00632FCC">
            <w:pPr>
              <w:pStyle w:val="Tabelltext"/>
              <w:rPr>
                <w:rFonts w:ascii="Garamond" w:hAnsi="Garamond"/>
              </w:rPr>
            </w:pPr>
            <w:r w:rsidRPr="0071138D">
              <w:rPr>
                <w:rFonts w:ascii="Garamond" w:hAnsi="Garamond"/>
              </w:rPr>
              <w:t>Låg</w:t>
            </w:r>
          </w:p>
        </w:tc>
      </w:tr>
      <w:tr w:rsidR="00EC79BD" w:rsidRPr="0071138D" w14:paraId="1A62F8E1" w14:textId="77777777" w:rsidTr="00632FCC">
        <w:trPr>
          <w:trHeight w:val="570"/>
        </w:trPr>
        <w:tc>
          <w:tcPr>
            <w:tcW w:w="681" w:type="pct"/>
          </w:tcPr>
          <w:p w14:paraId="3D871F6B" w14:textId="77777777" w:rsidR="00EC79BD" w:rsidRPr="0071138D" w:rsidRDefault="00EC79BD" w:rsidP="00632FCC">
            <w:pPr>
              <w:pStyle w:val="Tabelltext"/>
              <w:rPr>
                <w:rFonts w:ascii="Garamond" w:hAnsi="Garamond"/>
              </w:rPr>
            </w:pPr>
            <w:r w:rsidRPr="0071138D">
              <w:rPr>
                <w:rFonts w:ascii="Garamond" w:hAnsi="Garamond"/>
              </w:rPr>
              <w:t>Sulfonureider</w:t>
            </w:r>
          </w:p>
          <w:p w14:paraId="03CD1215" w14:textId="77777777" w:rsidR="00EC79BD" w:rsidRPr="0071138D" w:rsidRDefault="00EC79BD" w:rsidP="00632FCC">
            <w:pPr>
              <w:pStyle w:val="Tabelltext"/>
              <w:rPr>
                <w:rFonts w:ascii="Garamond" w:hAnsi="Garamond"/>
              </w:rPr>
            </w:pPr>
            <w:r w:rsidRPr="0071138D">
              <w:rPr>
                <w:rFonts w:ascii="Garamond" w:hAnsi="Garamond"/>
              </w:rPr>
              <w:t>(SU)</w:t>
            </w:r>
          </w:p>
        </w:tc>
        <w:tc>
          <w:tcPr>
            <w:tcW w:w="1064" w:type="pct"/>
          </w:tcPr>
          <w:p w14:paraId="6D3B6AAC" w14:textId="77777777" w:rsidR="00EC79BD" w:rsidRPr="0071138D" w:rsidRDefault="00EC79BD" w:rsidP="00632FCC">
            <w:pPr>
              <w:pStyle w:val="Tabelltext"/>
              <w:rPr>
                <w:rFonts w:ascii="Garamond" w:hAnsi="Garamond"/>
              </w:rPr>
            </w:pPr>
            <w:r w:rsidRPr="0071138D">
              <w:rPr>
                <w:rFonts w:ascii="Garamond" w:hAnsi="Garamond"/>
              </w:rPr>
              <w:t>Glimepirid</w:t>
            </w:r>
          </w:p>
          <w:p w14:paraId="1B78276C" w14:textId="77777777" w:rsidR="00EC79BD" w:rsidRPr="0071138D" w:rsidRDefault="00EC79BD" w:rsidP="00632FCC">
            <w:pPr>
              <w:pStyle w:val="Tabelltext"/>
              <w:rPr>
                <w:rFonts w:ascii="Garamond" w:hAnsi="Garamond"/>
              </w:rPr>
            </w:pPr>
          </w:p>
        </w:tc>
        <w:tc>
          <w:tcPr>
            <w:tcW w:w="874" w:type="pct"/>
          </w:tcPr>
          <w:p w14:paraId="6B8D131A" w14:textId="77777777" w:rsidR="00EC79BD" w:rsidRPr="0071138D" w:rsidRDefault="00EC79BD" w:rsidP="00632FCC">
            <w:pPr>
              <w:pStyle w:val="Tabelltext"/>
              <w:rPr>
                <w:rFonts w:ascii="Garamond" w:hAnsi="Garamond"/>
              </w:rPr>
            </w:pPr>
            <w:r w:rsidRPr="0071138D">
              <w:rPr>
                <w:rFonts w:ascii="Garamond" w:hAnsi="Garamond"/>
              </w:rPr>
              <w:t>↑ insulinsekretion</w:t>
            </w:r>
          </w:p>
        </w:tc>
        <w:tc>
          <w:tcPr>
            <w:tcW w:w="891" w:type="pct"/>
          </w:tcPr>
          <w:p w14:paraId="1E22C77B" w14:textId="77777777" w:rsidR="00EC79BD" w:rsidRPr="0071138D" w:rsidRDefault="00EC79BD" w:rsidP="00632FCC">
            <w:pPr>
              <w:pStyle w:val="Tabelltext"/>
              <w:rPr>
                <w:rFonts w:ascii="Garamond" w:hAnsi="Garamond"/>
              </w:rPr>
            </w:pPr>
            <w:r w:rsidRPr="0071138D">
              <w:rPr>
                <w:rFonts w:ascii="Garamond" w:hAnsi="Garamond"/>
              </w:rPr>
              <w:t>Lång erfarenhet</w:t>
            </w:r>
          </w:p>
          <w:p w14:paraId="374B770D" w14:textId="77777777" w:rsidR="00EC79BD" w:rsidRPr="0071138D" w:rsidRDefault="00EC79BD" w:rsidP="00632FCC">
            <w:pPr>
              <w:pStyle w:val="Tabelltext"/>
              <w:rPr>
                <w:rFonts w:ascii="Garamond" w:hAnsi="Garamond"/>
              </w:rPr>
            </w:pPr>
            <w:r w:rsidRPr="0071138D">
              <w:rPr>
                <w:rFonts w:ascii="Garamond" w:hAnsi="Garamond"/>
              </w:rPr>
              <w:t>↓ mikrovaskul</w:t>
            </w:r>
            <w:r w:rsidRPr="0071138D">
              <w:rPr>
                <w:rFonts w:ascii="Garamond" w:hAnsi="Garamond" w:cs="Corbel"/>
              </w:rPr>
              <w:t>ä</w:t>
            </w:r>
            <w:r w:rsidRPr="0071138D">
              <w:rPr>
                <w:rFonts w:ascii="Garamond" w:hAnsi="Garamond"/>
              </w:rPr>
              <w:t>r risk (UKPDS)</w:t>
            </w:r>
          </w:p>
        </w:tc>
        <w:tc>
          <w:tcPr>
            <w:tcW w:w="884" w:type="pct"/>
          </w:tcPr>
          <w:p w14:paraId="6522FE7E" w14:textId="77777777" w:rsidR="00EC79BD" w:rsidRPr="0071138D" w:rsidRDefault="00EC79BD" w:rsidP="00632FCC">
            <w:pPr>
              <w:pStyle w:val="Tabelltext"/>
              <w:rPr>
                <w:rFonts w:ascii="Garamond" w:hAnsi="Garamond"/>
              </w:rPr>
            </w:pPr>
            <w:r w:rsidRPr="0071138D">
              <w:rPr>
                <w:rFonts w:ascii="Garamond" w:hAnsi="Garamond"/>
              </w:rPr>
              <w:t>Viktökning</w:t>
            </w:r>
          </w:p>
          <w:p w14:paraId="0A8A20A3" w14:textId="77777777" w:rsidR="00EC79BD" w:rsidRPr="0071138D" w:rsidRDefault="00EC79BD" w:rsidP="00632FCC">
            <w:pPr>
              <w:pStyle w:val="Tabelltext"/>
              <w:rPr>
                <w:rFonts w:ascii="Garamond" w:hAnsi="Garamond"/>
              </w:rPr>
            </w:pPr>
            <w:r w:rsidRPr="0071138D">
              <w:rPr>
                <w:rFonts w:ascii="Garamond" w:hAnsi="Garamond"/>
              </w:rPr>
              <w:t>hypoglykemi</w:t>
            </w:r>
          </w:p>
        </w:tc>
        <w:tc>
          <w:tcPr>
            <w:tcW w:w="605" w:type="pct"/>
          </w:tcPr>
          <w:p w14:paraId="7012C02A" w14:textId="77777777" w:rsidR="00EC79BD" w:rsidRPr="0071138D" w:rsidRDefault="00EC79BD" w:rsidP="00632FCC">
            <w:pPr>
              <w:pStyle w:val="Tabelltext"/>
              <w:rPr>
                <w:rFonts w:ascii="Garamond" w:hAnsi="Garamond"/>
              </w:rPr>
            </w:pPr>
            <w:r w:rsidRPr="0071138D">
              <w:rPr>
                <w:rFonts w:ascii="Garamond" w:hAnsi="Garamond"/>
              </w:rPr>
              <w:t>Låg</w:t>
            </w:r>
          </w:p>
        </w:tc>
      </w:tr>
      <w:tr w:rsidR="00EC79BD" w:rsidRPr="0071138D" w14:paraId="05519331" w14:textId="77777777" w:rsidTr="00632FCC">
        <w:trPr>
          <w:trHeight w:val="586"/>
        </w:trPr>
        <w:tc>
          <w:tcPr>
            <w:tcW w:w="681" w:type="pct"/>
          </w:tcPr>
          <w:p w14:paraId="61F29FAF" w14:textId="77777777" w:rsidR="00EC79BD" w:rsidRPr="0071138D" w:rsidRDefault="00EC79BD" w:rsidP="00632FCC">
            <w:pPr>
              <w:pStyle w:val="Tabelltext"/>
              <w:rPr>
                <w:rFonts w:ascii="Garamond" w:hAnsi="Garamond"/>
              </w:rPr>
            </w:pPr>
            <w:r w:rsidRPr="0071138D">
              <w:rPr>
                <w:rFonts w:ascii="Garamond" w:hAnsi="Garamond"/>
              </w:rPr>
              <w:t>Meglitinid</w:t>
            </w:r>
          </w:p>
        </w:tc>
        <w:tc>
          <w:tcPr>
            <w:tcW w:w="1064" w:type="pct"/>
          </w:tcPr>
          <w:p w14:paraId="33E4F582" w14:textId="77777777" w:rsidR="00EC79BD" w:rsidRPr="0071138D" w:rsidRDefault="00EC79BD" w:rsidP="00632FCC">
            <w:pPr>
              <w:pStyle w:val="Tabelltext"/>
              <w:rPr>
                <w:rFonts w:ascii="Garamond" w:hAnsi="Garamond"/>
              </w:rPr>
            </w:pPr>
            <w:r>
              <w:rPr>
                <w:rFonts w:ascii="Garamond" w:hAnsi="Garamond"/>
              </w:rPr>
              <w:t>Repaglinid</w:t>
            </w:r>
          </w:p>
        </w:tc>
        <w:tc>
          <w:tcPr>
            <w:tcW w:w="874" w:type="pct"/>
          </w:tcPr>
          <w:p w14:paraId="71AB5C82" w14:textId="77777777" w:rsidR="00EC79BD" w:rsidRPr="0071138D" w:rsidRDefault="00EC79BD" w:rsidP="00632FCC">
            <w:pPr>
              <w:pStyle w:val="Tabelltext"/>
              <w:rPr>
                <w:rFonts w:ascii="Garamond" w:hAnsi="Garamond"/>
              </w:rPr>
            </w:pPr>
            <w:r w:rsidRPr="0071138D">
              <w:rPr>
                <w:rFonts w:ascii="Garamond" w:hAnsi="Garamond"/>
              </w:rPr>
              <w:t>↑ insulinsekretion</w:t>
            </w:r>
          </w:p>
        </w:tc>
        <w:tc>
          <w:tcPr>
            <w:tcW w:w="891" w:type="pct"/>
          </w:tcPr>
          <w:p w14:paraId="5608D0B9" w14:textId="77777777" w:rsidR="00EC79BD" w:rsidRPr="0071138D" w:rsidRDefault="00EC79BD" w:rsidP="00632FCC">
            <w:pPr>
              <w:pStyle w:val="Tabelltext"/>
              <w:rPr>
                <w:rFonts w:ascii="Garamond" w:hAnsi="Garamond"/>
              </w:rPr>
            </w:pPr>
            <w:r w:rsidRPr="0071138D">
              <w:rPr>
                <w:rFonts w:ascii="Garamond" w:hAnsi="Garamond"/>
              </w:rPr>
              <w:t>↓ postprandiell glukos</w:t>
            </w:r>
          </w:p>
          <w:p w14:paraId="2B3C3FD2" w14:textId="77777777" w:rsidR="00EC79BD" w:rsidRPr="0071138D" w:rsidRDefault="00EC79BD" w:rsidP="00632FCC">
            <w:pPr>
              <w:pStyle w:val="Tabelltext"/>
              <w:rPr>
                <w:rFonts w:ascii="Garamond" w:hAnsi="Garamond"/>
              </w:rPr>
            </w:pPr>
            <w:r w:rsidRPr="0071138D">
              <w:rPr>
                <w:rFonts w:ascii="Garamond" w:hAnsi="Garamond"/>
              </w:rPr>
              <w:t>flexibel dosering</w:t>
            </w:r>
          </w:p>
        </w:tc>
        <w:tc>
          <w:tcPr>
            <w:tcW w:w="884" w:type="pct"/>
          </w:tcPr>
          <w:p w14:paraId="4169235F" w14:textId="77777777" w:rsidR="00EC79BD" w:rsidRPr="0071138D" w:rsidRDefault="00EC79BD" w:rsidP="00632FCC">
            <w:pPr>
              <w:pStyle w:val="Tabelltext"/>
              <w:rPr>
                <w:rFonts w:ascii="Garamond" w:hAnsi="Garamond"/>
              </w:rPr>
            </w:pPr>
            <w:r w:rsidRPr="0071138D">
              <w:rPr>
                <w:rFonts w:ascii="Garamond" w:hAnsi="Garamond"/>
              </w:rPr>
              <w:t>Hypoglykemi</w:t>
            </w:r>
          </w:p>
          <w:p w14:paraId="797EC34F" w14:textId="77777777" w:rsidR="00EC79BD" w:rsidRPr="0071138D" w:rsidRDefault="00EC79BD" w:rsidP="00632FCC">
            <w:pPr>
              <w:pStyle w:val="Tabelltext"/>
              <w:rPr>
                <w:rFonts w:ascii="Garamond" w:hAnsi="Garamond"/>
              </w:rPr>
            </w:pPr>
            <w:r w:rsidRPr="0071138D">
              <w:rPr>
                <w:rFonts w:ascii="Garamond" w:hAnsi="Garamond"/>
              </w:rPr>
              <w:t>Viktökning</w:t>
            </w:r>
          </w:p>
          <w:p w14:paraId="0F1798B3" w14:textId="77777777" w:rsidR="00EC79BD" w:rsidRPr="0071138D" w:rsidRDefault="00EC79BD" w:rsidP="00632FCC">
            <w:pPr>
              <w:pStyle w:val="Tabelltext"/>
              <w:rPr>
                <w:rFonts w:ascii="Garamond" w:hAnsi="Garamond"/>
              </w:rPr>
            </w:pPr>
            <w:r w:rsidRPr="0071138D">
              <w:rPr>
                <w:rFonts w:ascii="Garamond" w:hAnsi="Garamond"/>
              </w:rPr>
              <w:t>Flerdosregim</w:t>
            </w:r>
          </w:p>
        </w:tc>
        <w:tc>
          <w:tcPr>
            <w:tcW w:w="605" w:type="pct"/>
          </w:tcPr>
          <w:p w14:paraId="1749CD31" w14:textId="77777777" w:rsidR="00EC79BD" w:rsidRPr="0071138D" w:rsidRDefault="00EC79BD" w:rsidP="00632FCC">
            <w:pPr>
              <w:pStyle w:val="Tabelltext"/>
              <w:rPr>
                <w:rFonts w:ascii="Garamond" w:hAnsi="Garamond"/>
              </w:rPr>
            </w:pPr>
            <w:r w:rsidRPr="0071138D">
              <w:rPr>
                <w:rFonts w:ascii="Garamond" w:hAnsi="Garamond"/>
              </w:rPr>
              <w:t>Låg</w:t>
            </w:r>
          </w:p>
        </w:tc>
      </w:tr>
      <w:tr w:rsidR="00EC79BD" w:rsidRPr="0071138D" w14:paraId="07D7C5A0" w14:textId="77777777" w:rsidTr="00632FCC">
        <w:trPr>
          <w:trHeight w:val="766"/>
        </w:trPr>
        <w:tc>
          <w:tcPr>
            <w:tcW w:w="681" w:type="pct"/>
          </w:tcPr>
          <w:p w14:paraId="25886FBB" w14:textId="77777777" w:rsidR="00EC79BD" w:rsidRPr="0071138D" w:rsidRDefault="00EC79BD" w:rsidP="00632FCC">
            <w:pPr>
              <w:pStyle w:val="Tabelltext"/>
              <w:rPr>
                <w:rFonts w:ascii="Garamond" w:hAnsi="Garamond"/>
              </w:rPr>
            </w:pPr>
            <w:r w:rsidRPr="0071138D">
              <w:rPr>
                <w:rFonts w:ascii="Garamond" w:hAnsi="Garamond"/>
              </w:rPr>
              <w:t>Glitazon</w:t>
            </w:r>
          </w:p>
        </w:tc>
        <w:tc>
          <w:tcPr>
            <w:tcW w:w="1064" w:type="pct"/>
          </w:tcPr>
          <w:p w14:paraId="7E3323DC" w14:textId="77777777" w:rsidR="00EC79BD" w:rsidRPr="0071138D" w:rsidRDefault="00EC79BD" w:rsidP="00632FCC">
            <w:pPr>
              <w:pStyle w:val="Tabelltext"/>
              <w:rPr>
                <w:rFonts w:ascii="Garamond" w:hAnsi="Garamond"/>
              </w:rPr>
            </w:pPr>
            <w:r w:rsidRPr="0071138D">
              <w:rPr>
                <w:rFonts w:ascii="Garamond" w:hAnsi="Garamond"/>
              </w:rPr>
              <w:t>Pioglitazon</w:t>
            </w:r>
          </w:p>
        </w:tc>
        <w:tc>
          <w:tcPr>
            <w:tcW w:w="874" w:type="pct"/>
          </w:tcPr>
          <w:p w14:paraId="0AF3A157" w14:textId="77777777" w:rsidR="00EC79BD" w:rsidRPr="0071138D" w:rsidRDefault="00EC79BD" w:rsidP="00632FCC">
            <w:pPr>
              <w:pStyle w:val="Tabelltext"/>
              <w:rPr>
                <w:rFonts w:ascii="Garamond" w:hAnsi="Garamond"/>
              </w:rPr>
            </w:pPr>
            <w:r w:rsidRPr="0071138D">
              <w:rPr>
                <w:rFonts w:ascii="Garamond" w:hAnsi="Garamond"/>
              </w:rPr>
              <w:t>↑ insulink</w:t>
            </w:r>
            <w:r w:rsidRPr="0071138D">
              <w:rPr>
                <w:rFonts w:ascii="Garamond" w:hAnsi="Garamond" w:cs="Corbel"/>
              </w:rPr>
              <w:t>ä</w:t>
            </w:r>
            <w:r w:rsidRPr="0071138D">
              <w:rPr>
                <w:rFonts w:ascii="Garamond" w:hAnsi="Garamond"/>
              </w:rPr>
              <w:t>nsl</w:t>
            </w:r>
          </w:p>
        </w:tc>
        <w:tc>
          <w:tcPr>
            <w:tcW w:w="891" w:type="pct"/>
          </w:tcPr>
          <w:p w14:paraId="3F81482B" w14:textId="77777777" w:rsidR="00EC79BD" w:rsidRPr="0071138D" w:rsidRDefault="00EC79BD" w:rsidP="00632FCC">
            <w:pPr>
              <w:pStyle w:val="Tabelltext"/>
              <w:rPr>
                <w:rFonts w:ascii="Garamond" w:hAnsi="Garamond"/>
              </w:rPr>
            </w:pPr>
            <w:r w:rsidRPr="0071138D">
              <w:rPr>
                <w:rFonts w:ascii="Garamond" w:hAnsi="Garamond"/>
              </w:rPr>
              <w:t>ej hypoglykemi</w:t>
            </w:r>
          </w:p>
          <w:p w14:paraId="5DBA70FC" w14:textId="77777777" w:rsidR="00EC79BD" w:rsidRPr="0071138D" w:rsidRDefault="00EC79BD" w:rsidP="00632FCC">
            <w:pPr>
              <w:pStyle w:val="Tabelltext"/>
              <w:rPr>
                <w:rFonts w:ascii="Garamond" w:hAnsi="Garamond"/>
              </w:rPr>
            </w:pPr>
            <w:r w:rsidRPr="0071138D">
              <w:rPr>
                <w:rFonts w:ascii="Garamond" w:hAnsi="Garamond"/>
              </w:rPr>
              <w:t>↑ HDL, ↓ TG</w:t>
            </w:r>
          </w:p>
          <w:p w14:paraId="548D6BCE" w14:textId="77777777" w:rsidR="00EC79BD" w:rsidRPr="0071138D" w:rsidRDefault="00EC79BD" w:rsidP="00632FCC">
            <w:pPr>
              <w:pStyle w:val="Tabelltext"/>
              <w:rPr>
                <w:rFonts w:ascii="Garamond" w:hAnsi="Garamond"/>
              </w:rPr>
            </w:pPr>
            <w:r w:rsidRPr="0071138D">
              <w:rPr>
                <w:rFonts w:ascii="Garamond" w:hAnsi="Garamond"/>
              </w:rPr>
              <w:t>↓ CVD (PROactive)</w:t>
            </w:r>
          </w:p>
        </w:tc>
        <w:tc>
          <w:tcPr>
            <w:tcW w:w="884" w:type="pct"/>
          </w:tcPr>
          <w:p w14:paraId="506DAC21" w14:textId="77777777" w:rsidR="00EC79BD" w:rsidRPr="0071138D" w:rsidRDefault="00EC79BD" w:rsidP="00632FCC">
            <w:pPr>
              <w:pStyle w:val="Tabelltext"/>
              <w:rPr>
                <w:rFonts w:ascii="Garamond" w:hAnsi="Garamond"/>
              </w:rPr>
            </w:pPr>
            <w:r w:rsidRPr="0071138D">
              <w:rPr>
                <w:rFonts w:ascii="Garamond" w:hAnsi="Garamond"/>
              </w:rPr>
              <w:t>↑ vikt</w:t>
            </w:r>
          </w:p>
          <w:p w14:paraId="1A715637" w14:textId="77777777" w:rsidR="00EC79BD" w:rsidRPr="0071138D" w:rsidRDefault="00EC79BD" w:rsidP="00632FCC">
            <w:pPr>
              <w:pStyle w:val="Tabelltext"/>
              <w:rPr>
                <w:rFonts w:ascii="Garamond" w:hAnsi="Garamond"/>
              </w:rPr>
            </w:pPr>
            <w:r w:rsidRPr="0071138D">
              <w:rPr>
                <w:rFonts w:ascii="Garamond" w:hAnsi="Garamond"/>
              </w:rPr>
              <w:t>Ödem, hjärtsvikt</w:t>
            </w:r>
          </w:p>
          <w:p w14:paraId="090548DC" w14:textId="77777777" w:rsidR="00EC79BD" w:rsidRPr="0071138D" w:rsidRDefault="00EC79BD" w:rsidP="00632FCC">
            <w:pPr>
              <w:pStyle w:val="Tabelltext"/>
              <w:rPr>
                <w:rFonts w:ascii="Garamond" w:hAnsi="Garamond"/>
              </w:rPr>
            </w:pPr>
            <w:r w:rsidRPr="0071138D">
              <w:rPr>
                <w:rFonts w:ascii="Garamond" w:hAnsi="Garamond"/>
              </w:rPr>
              <w:t>frakturer</w:t>
            </w:r>
          </w:p>
        </w:tc>
        <w:tc>
          <w:tcPr>
            <w:tcW w:w="605" w:type="pct"/>
          </w:tcPr>
          <w:p w14:paraId="2AC8E156" w14:textId="77777777" w:rsidR="00EC79BD" w:rsidRPr="0071138D" w:rsidRDefault="00EC79BD" w:rsidP="00632FCC">
            <w:pPr>
              <w:rPr>
                <w:rFonts w:cs="Arial"/>
              </w:rPr>
            </w:pPr>
            <w:r w:rsidRPr="0071138D">
              <w:rPr>
                <w:rFonts w:cs="Arial"/>
              </w:rPr>
              <w:t>Medel</w:t>
            </w:r>
          </w:p>
          <w:p w14:paraId="777969AB" w14:textId="77777777" w:rsidR="00EC79BD" w:rsidRPr="0071138D" w:rsidRDefault="00EC79BD" w:rsidP="00632FCC">
            <w:pPr>
              <w:pStyle w:val="Tabelltext"/>
              <w:rPr>
                <w:rFonts w:ascii="Garamond" w:hAnsi="Garamond"/>
              </w:rPr>
            </w:pPr>
          </w:p>
        </w:tc>
      </w:tr>
      <w:tr w:rsidR="00EC79BD" w:rsidRPr="0071138D" w14:paraId="3A13BB38" w14:textId="77777777" w:rsidTr="00632FCC">
        <w:trPr>
          <w:trHeight w:val="774"/>
        </w:trPr>
        <w:tc>
          <w:tcPr>
            <w:tcW w:w="681" w:type="pct"/>
          </w:tcPr>
          <w:p w14:paraId="7BC55261" w14:textId="77777777" w:rsidR="00EC79BD" w:rsidRPr="0071138D" w:rsidRDefault="00EC79BD" w:rsidP="00632FCC">
            <w:pPr>
              <w:pStyle w:val="Tabelltext"/>
              <w:rPr>
                <w:rFonts w:ascii="Garamond" w:hAnsi="Garamond"/>
              </w:rPr>
            </w:pPr>
            <w:r w:rsidRPr="3C344A4E">
              <w:rPr>
                <w:rFonts w:ascii="Garamond" w:hAnsi="Garamond"/>
              </w:rPr>
              <w:t>DPP-4-hämmare</w:t>
            </w:r>
          </w:p>
        </w:tc>
        <w:tc>
          <w:tcPr>
            <w:tcW w:w="1064" w:type="pct"/>
          </w:tcPr>
          <w:p w14:paraId="5BF64979" w14:textId="77777777" w:rsidR="00EC79BD" w:rsidRPr="0071138D" w:rsidRDefault="00EC79BD" w:rsidP="00632FCC">
            <w:pPr>
              <w:pStyle w:val="Tabelltext"/>
              <w:rPr>
                <w:rFonts w:ascii="Garamond" w:hAnsi="Garamond"/>
              </w:rPr>
            </w:pPr>
            <w:r w:rsidRPr="00B7367B">
              <w:rPr>
                <w:rFonts w:ascii="Garamond" w:hAnsi="Garamond"/>
              </w:rPr>
              <w:t>Sitagliptin</w:t>
            </w:r>
          </w:p>
          <w:p w14:paraId="126D9913" w14:textId="77777777" w:rsidR="00EC79BD" w:rsidRPr="0071138D" w:rsidRDefault="00EC79BD" w:rsidP="00632FCC">
            <w:pPr>
              <w:pStyle w:val="Tabelltext"/>
              <w:rPr>
                <w:rFonts w:ascii="Garamond" w:hAnsi="Garamond"/>
              </w:rPr>
            </w:pPr>
            <w:r w:rsidRPr="29610C94">
              <w:rPr>
                <w:rFonts w:ascii="Garamond" w:hAnsi="Garamond"/>
              </w:rPr>
              <w:t>Trajenta</w:t>
            </w:r>
          </w:p>
        </w:tc>
        <w:tc>
          <w:tcPr>
            <w:tcW w:w="874" w:type="pct"/>
          </w:tcPr>
          <w:p w14:paraId="119639E2" w14:textId="77777777" w:rsidR="00EC79BD" w:rsidRPr="0071138D" w:rsidRDefault="00EC79BD" w:rsidP="00632FCC">
            <w:pPr>
              <w:pStyle w:val="Tabelltext"/>
              <w:rPr>
                <w:rFonts w:ascii="Garamond" w:hAnsi="Garamond"/>
              </w:rPr>
            </w:pPr>
            <w:r w:rsidRPr="3C344A4E">
              <w:rPr>
                <w:rFonts w:ascii="Garamond" w:hAnsi="Garamond"/>
              </w:rPr>
              <w:t>↑ insulinsekretion</w:t>
            </w:r>
          </w:p>
          <w:p w14:paraId="4B374D9F" w14:textId="77777777" w:rsidR="00EC79BD" w:rsidRPr="0071138D" w:rsidRDefault="00EC79BD" w:rsidP="00632FCC">
            <w:pPr>
              <w:pStyle w:val="Tabelltext"/>
              <w:rPr>
                <w:rFonts w:ascii="Garamond" w:hAnsi="Garamond"/>
              </w:rPr>
            </w:pPr>
            <w:r w:rsidRPr="29610C94">
              <w:rPr>
                <w:rFonts w:ascii="Garamond" w:hAnsi="Garamond"/>
              </w:rPr>
              <w:t>↓ glukagonsekretion</w:t>
            </w:r>
          </w:p>
        </w:tc>
        <w:tc>
          <w:tcPr>
            <w:tcW w:w="891" w:type="pct"/>
          </w:tcPr>
          <w:p w14:paraId="23A9A148" w14:textId="77777777" w:rsidR="00EC79BD" w:rsidRPr="0071138D" w:rsidRDefault="00EC79BD" w:rsidP="00632FCC">
            <w:pPr>
              <w:pStyle w:val="Tabelltext"/>
              <w:rPr>
                <w:rFonts w:ascii="Garamond" w:hAnsi="Garamond"/>
              </w:rPr>
            </w:pPr>
            <w:r w:rsidRPr="3C344A4E">
              <w:rPr>
                <w:rFonts w:ascii="Garamond" w:hAnsi="Garamond"/>
              </w:rPr>
              <w:t>ej hypoglykemi</w:t>
            </w:r>
          </w:p>
          <w:p w14:paraId="3D9D1CCD" w14:textId="77777777" w:rsidR="00EC79BD" w:rsidRPr="0071138D" w:rsidRDefault="00EC79BD" w:rsidP="00632FCC">
            <w:pPr>
              <w:pStyle w:val="Tabelltext"/>
              <w:rPr>
                <w:rFonts w:ascii="Garamond" w:hAnsi="Garamond"/>
              </w:rPr>
            </w:pPr>
            <w:r w:rsidRPr="3C344A4E">
              <w:rPr>
                <w:rFonts w:ascii="Garamond" w:hAnsi="Garamond"/>
              </w:rPr>
              <w:t>viktneutral</w:t>
            </w:r>
          </w:p>
        </w:tc>
        <w:tc>
          <w:tcPr>
            <w:tcW w:w="884" w:type="pct"/>
          </w:tcPr>
          <w:p w14:paraId="4F66AF8D" w14:textId="77777777" w:rsidR="00EC79BD" w:rsidRPr="0071138D" w:rsidRDefault="00EC79BD" w:rsidP="00632FCC">
            <w:pPr>
              <w:pStyle w:val="Tabelltext"/>
              <w:rPr>
                <w:rFonts w:ascii="Garamond" w:hAnsi="Garamond"/>
              </w:rPr>
            </w:pPr>
          </w:p>
        </w:tc>
        <w:tc>
          <w:tcPr>
            <w:tcW w:w="605" w:type="pct"/>
          </w:tcPr>
          <w:p w14:paraId="31698E36" w14:textId="77777777" w:rsidR="00EC79BD" w:rsidRPr="0071138D" w:rsidRDefault="00EC79BD" w:rsidP="00632FCC">
            <w:pPr>
              <w:rPr>
                <w:rFonts w:cs="Arial"/>
              </w:rPr>
            </w:pPr>
            <w:r w:rsidRPr="00B7367B">
              <w:rPr>
                <w:rFonts w:cs="Arial"/>
              </w:rPr>
              <w:t>Hög/medel</w:t>
            </w:r>
          </w:p>
          <w:p w14:paraId="39818D3A" w14:textId="77777777" w:rsidR="00EC79BD" w:rsidRPr="0071138D" w:rsidRDefault="00EC79BD" w:rsidP="00632FCC">
            <w:pPr>
              <w:rPr>
                <w:rFonts w:cs="Arial"/>
              </w:rPr>
            </w:pPr>
          </w:p>
        </w:tc>
      </w:tr>
      <w:tr w:rsidR="00EC79BD" w:rsidRPr="0071138D" w14:paraId="2EE9A93A" w14:textId="77777777" w:rsidTr="00632FCC">
        <w:trPr>
          <w:trHeight w:val="954"/>
        </w:trPr>
        <w:tc>
          <w:tcPr>
            <w:tcW w:w="681" w:type="pct"/>
          </w:tcPr>
          <w:p w14:paraId="22022252" w14:textId="77777777" w:rsidR="00EC79BD" w:rsidRPr="0071138D" w:rsidRDefault="00EC79BD" w:rsidP="00632FCC">
            <w:pPr>
              <w:pStyle w:val="Tabelltext"/>
              <w:rPr>
                <w:rFonts w:ascii="Garamond" w:hAnsi="Garamond"/>
              </w:rPr>
            </w:pPr>
            <w:r w:rsidRPr="0071138D">
              <w:rPr>
                <w:rFonts w:ascii="Garamond" w:hAnsi="Garamond"/>
              </w:rPr>
              <w:t>SGLT-2-hämmare</w:t>
            </w:r>
          </w:p>
        </w:tc>
        <w:tc>
          <w:tcPr>
            <w:tcW w:w="1064" w:type="pct"/>
          </w:tcPr>
          <w:p w14:paraId="46EB6880" w14:textId="77777777" w:rsidR="00EC79BD" w:rsidRPr="0071138D" w:rsidRDefault="00EC79BD" w:rsidP="00632FCC">
            <w:pPr>
              <w:pStyle w:val="Tabelltext"/>
              <w:rPr>
                <w:rFonts w:ascii="Garamond" w:hAnsi="Garamond"/>
              </w:rPr>
            </w:pPr>
            <w:r w:rsidRPr="0071138D">
              <w:rPr>
                <w:rFonts w:ascii="Garamond" w:hAnsi="Garamond"/>
              </w:rPr>
              <w:t>Jardiance</w:t>
            </w:r>
          </w:p>
          <w:p w14:paraId="5014BFA1" w14:textId="77777777" w:rsidR="00EC79BD" w:rsidRPr="0071138D" w:rsidRDefault="00EC79BD" w:rsidP="00632FCC">
            <w:pPr>
              <w:pStyle w:val="Tabelltext"/>
              <w:rPr>
                <w:rFonts w:ascii="Garamond" w:hAnsi="Garamond"/>
              </w:rPr>
            </w:pPr>
            <w:r w:rsidRPr="0071138D">
              <w:rPr>
                <w:rFonts w:ascii="Garamond" w:hAnsi="Garamond"/>
              </w:rPr>
              <w:t>Forxiga</w:t>
            </w:r>
          </w:p>
          <w:p w14:paraId="4708681E" w14:textId="77777777" w:rsidR="00EC79BD" w:rsidRPr="0071138D" w:rsidRDefault="00EC79BD" w:rsidP="00632FCC">
            <w:pPr>
              <w:pStyle w:val="Tabelltext"/>
              <w:rPr>
                <w:rFonts w:ascii="Garamond" w:hAnsi="Garamond"/>
              </w:rPr>
            </w:pPr>
            <w:r w:rsidRPr="0071138D">
              <w:rPr>
                <w:rFonts w:ascii="Garamond" w:hAnsi="Garamond"/>
              </w:rPr>
              <w:t>Invokana</w:t>
            </w:r>
          </w:p>
          <w:p w14:paraId="288F1E91" w14:textId="77777777" w:rsidR="00EC79BD" w:rsidRPr="00776518" w:rsidRDefault="00EC79BD" w:rsidP="00632FCC">
            <w:pPr>
              <w:pStyle w:val="Tabelltext"/>
              <w:rPr>
                <w:rFonts w:ascii="Garamond" w:hAnsi="Garamond"/>
                <w:strike/>
              </w:rPr>
            </w:pPr>
          </w:p>
        </w:tc>
        <w:tc>
          <w:tcPr>
            <w:tcW w:w="874" w:type="pct"/>
          </w:tcPr>
          <w:p w14:paraId="15946816" w14:textId="77777777" w:rsidR="00EC79BD" w:rsidRPr="0071138D" w:rsidRDefault="00EC79BD" w:rsidP="00632FCC">
            <w:pPr>
              <w:pStyle w:val="Tabelltext"/>
              <w:rPr>
                <w:rFonts w:ascii="Garamond" w:hAnsi="Garamond"/>
              </w:rPr>
            </w:pPr>
            <w:r w:rsidRPr="0071138D">
              <w:rPr>
                <w:rFonts w:ascii="Garamond" w:hAnsi="Garamond"/>
              </w:rPr>
              <w:t>↑ glukosuri</w:t>
            </w:r>
            <w:r>
              <w:rPr>
                <w:rFonts w:ascii="Garamond" w:hAnsi="Garamond"/>
              </w:rPr>
              <w:t>;</w:t>
            </w:r>
          </w:p>
          <w:p w14:paraId="7969CB70" w14:textId="77777777" w:rsidR="00EC79BD" w:rsidRPr="0071138D" w:rsidRDefault="00EC79BD" w:rsidP="00632FCC">
            <w:pPr>
              <w:pStyle w:val="Tabelltext"/>
              <w:rPr>
                <w:rFonts w:ascii="Garamond" w:hAnsi="Garamond"/>
              </w:rPr>
            </w:pPr>
            <w:r w:rsidRPr="0071138D">
              <w:rPr>
                <w:rFonts w:ascii="Garamond" w:hAnsi="Garamond"/>
              </w:rPr>
              <w:t xml:space="preserve">↓ glukos </w:t>
            </w:r>
            <w:r w:rsidRPr="0071138D">
              <w:rPr>
                <w:rFonts w:ascii="Garamond" w:hAnsi="Garamond" w:cs="Corbel"/>
              </w:rPr>
              <w:t>å</w:t>
            </w:r>
            <w:r w:rsidRPr="0071138D">
              <w:rPr>
                <w:rFonts w:ascii="Garamond" w:hAnsi="Garamond"/>
              </w:rPr>
              <w:t>terabsorption i njurar</w:t>
            </w:r>
          </w:p>
        </w:tc>
        <w:tc>
          <w:tcPr>
            <w:tcW w:w="891" w:type="pct"/>
          </w:tcPr>
          <w:p w14:paraId="6AAE7169" w14:textId="77777777" w:rsidR="00EC79BD" w:rsidRPr="00D6076A" w:rsidRDefault="00EC79BD" w:rsidP="00632FCC">
            <w:pPr>
              <w:pStyle w:val="Tabelltext"/>
              <w:rPr>
                <w:rFonts w:ascii="Garamond" w:hAnsi="Garamond"/>
              </w:rPr>
            </w:pPr>
            <w:r>
              <w:rPr>
                <w:rFonts w:ascii="Garamond" w:hAnsi="Garamond"/>
              </w:rPr>
              <w:t>n</w:t>
            </w:r>
            <w:r w:rsidRPr="00D6076A">
              <w:rPr>
                <w:rFonts w:ascii="Garamond" w:hAnsi="Garamond"/>
              </w:rPr>
              <w:t>jurskyddande effekt</w:t>
            </w:r>
          </w:p>
          <w:p w14:paraId="4141AE5F" w14:textId="77777777" w:rsidR="00EC79BD" w:rsidRPr="00776518" w:rsidRDefault="00EC79BD" w:rsidP="00632FCC">
            <w:pPr>
              <w:pStyle w:val="Tabelltext"/>
              <w:rPr>
                <w:rFonts w:ascii="Garamond" w:hAnsi="Garamond"/>
                <w:b/>
                <w:bCs/>
              </w:rPr>
            </w:pPr>
            <w:r w:rsidRPr="00776518">
              <w:rPr>
                <w:rFonts w:ascii="Garamond" w:hAnsi="Garamond"/>
                <w:b/>
                <w:bCs/>
              </w:rPr>
              <w:t>↓CVD/d</w:t>
            </w:r>
            <w:r w:rsidRPr="00776518">
              <w:rPr>
                <w:rFonts w:ascii="Garamond" w:hAnsi="Garamond" w:cs="Corbel"/>
                <w:b/>
                <w:bCs/>
              </w:rPr>
              <w:t>ö</w:t>
            </w:r>
            <w:r w:rsidRPr="00776518">
              <w:rPr>
                <w:rFonts w:ascii="Garamond" w:hAnsi="Garamond"/>
                <w:b/>
                <w:bCs/>
              </w:rPr>
              <w:t xml:space="preserve">dlighet </w:t>
            </w:r>
          </w:p>
          <w:p w14:paraId="0FCB5B90" w14:textId="77777777" w:rsidR="00EC79BD" w:rsidRPr="0071138D" w:rsidRDefault="00EC79BD" w:rsidP="00632FCC">
            <w:pPr>
              <w:pStyle w:val="Tabelltext"/>
              <w:rPr>
                <w:rFonts w:ascii="Garamond" w:hAnsi="Garamond"/>
              </w:rPr>
            </w:pPr>
            <w:r w:rsidRPr="0071138D">
              <w:rPr>
                <w:rFonts w:ascii="Garamond" w:hAnsi="Garamond"/>
              </w:rPr>
              <w:t>ej hypoglykemi</w:t>
            </w:r>
          </w:p>
          <w:p w14:paraId="0784701E" w14:textId="77777777" w:rsidR="00EC79BD" w:rsidRPr="0071138D" w:rsidRDefault="00EC79BD" w:rsidP="00632FCC">
            <w:pPr>
              <w:pStyle w:val="Tabelltext"/>
              <w:rPr>
                <w:rFonts w:ascii="Garamond" w:hAnsi="Garamond"/>
              </w:rPr>
            </w:pPr>
            <w:r w:rsidRPr="0071138D">
              <w:rPr>
                <w:rFonts w:ascii="Garamond" w:hAnsi="Garamond"/>
              </w:rPr>
              <w:t>↓ vikt</w:t>
            </w:r>
          </w:p>
          <w:p w14:paraId="7ECDE957" w14:textId="77777777" w:rsidR="00EC79BD" w:rsidRPr="0071138D" w:rsidRDefault="00EC79BD" w:rsidP="00632FCC">
            <w:pPr>
              <w:pStyle w:val="Tabelltext"/>
              <w:rPr>
                <w:rFonts w:ascii="Garamond" w:hAnsi="Garamond"/>
              </w:rPr>
            </w:pPr>
            <w:r w:rsidRPr="0071138D">
              <w:rPr>
                <w:rFonts w:ascii="Garamond" w:hAnsi="Garamond"/>
              </w:rPr>
              <w:t>↓ BT</w:t>
            </w:r>
          </w:p>
        </w:tc>
        <w:tc>
          <w:tcPr>
            <w:tcW w:w="884" w:type="pct"/>
          </w:tcPr>
          <w:p w14:paraId="3C7DA285" w14:textId="77777777" w:rsidR="00EC79BD" w:rsidRPr="0071138D" w:rsidRDefault="00EC79BD" w:rsidP="00632FCC">
            <w:pPr>
              <w:pStyle w:val="Tabelltext"/>
              <w:rPr>
                <w:rFonts w:ascii="Garamond" w:hAnsi="Garamond"/>
              </w:rPr>
            </w:pPr>
            <w:r w:rsidRPr="0071138D">
              <w:rPr>
                <w:rFonts w:ascii="Garamond" w:hAnsi="Garamond"/>
              </w:rPr>
              <w:t>UVI, svamp</w:t>
            </w:r>
          </w:p>
          <w:p w14:paraId="3AD0A228" w14:textId="77777777" w:rsidR="00EC79BD" w:rsidRPr="0071138D" w:rsidRDefault="00EC79BD" w:rsidP="00632FCC">
            <w:pPr>
              <w:pStyle w:val="Tabelltext"/>
              <w:rPr>
                <w:rFonts w:ascii="Garamond" w:hAnsi="Garamond"/>
              </w:rPr>
            </w:pPr>
            <w:r w:rsidRPr="0071138D">
              <w:rPr>
                <w:rFonts w:ascii="Garamond" w:hAnsi="Garamond"/>
              </w:rPr>
              <w:t>↑ LDL</w:t>
            </w:r>
          </w:p>
          <w:p w14:paraId="70E9AA33" w14:textId="77777777" w:rsidR="00EC79BD" w:rsidRPr="0071138D" w:rsidRDefault="00EC79BD" w:rsidP="00632FCC">
            <w:pPr>
              <w:pStyle w:val="Tabelltext"/>
              <w:rPr>
                <w:rFonts w:ascii="Garamond" w:hAnsi="Garamond"/>
              </w:rPr>
            </w:pPr>
            <w:r w:rsidRPr="0071138D">
              <w:rPr>
                <w:rFonts w:ascii="Garamond" w:hAnsi="Garamond"/>
              </w:rPr>
              <w:t xml:space="preserve">↑ GFR (lindrig, </w:t>
            </w:r>
            <w:r w:rsidRPr="0071138D">
              <w:rPr>
                <w:rFonts w:ascii="Garamond" w:hAnsi="Garamond" w:cs="Corbel"/>
              </w:rPr>
              <w:t>ö</w:t>
            </w:r>
            <w:r w:rsidRPr="0071138D">
              <w:rPr>
                <w:rFonts w:ascii="Garamond" w:hAnsi="Garamond"/>
              </w:rPr>
              <w:t>verg</w:t>
            </w:r>
            <w:r w:rsidRPr="0071138D">
              <w:rPr>
                <w:rFonts w:ascii="Garamond" w:hAnsi="Garamond" w:cs="Corbel"/>
              </w:rPr>
              <w:t>å</w:t>
            </w:r>
            <w:r w:rsidRPr="0071138D">
              <w:rPr>
                <w:rFonts w:ascii="Garamond" w:hAnsi="Garamond"/>
              </w:rPr>
              <w:t>ende)</w:t>
            </w:r>
          </w:p>
          <w:p w14:paraId="4F336648" w14:textId="77777777" w:rsidR="00EC79BD" w:rsidRPr="0071138D" w:rsidRDefault="00EC79BD" w:rsidP="00632FCC">
            <w:pPr>
              <w:pStyle w:val="Tabelltext"/>
              <w:rPr>
                <w:rFonts w:ascii="Garamond" w:hAnsi="Garamond"/>
              </w:rPr>
            </w:pPr>
            <w:r w:rsidRPr="0071138D">
              <w:rPr>
                <w:rFonts w:ascii="Garamond" w:hAnsi="Garamond"/>
              </w:rPr>
              <w:t>↑ diures</w:t>
            </w:r>
          </w:p>
        </w:tc>
        <w:tc>
          <w:tcPr>
            <w:tcW w:w="605" w:type="pct"/>
          </w:tcPr>
          <w:p w14:paraId="01E7A676" w14:textId="77777777" w:rsidR="00EC79BD" w:rsidRPr="0071138D" w:rsidRDefault="00EC79BD" w:rsidP="00632FCC">
            <w:pPr>
              <w:rPr>
                <w:rFonts w:cs="Arial"/>
              </w:rPr>
            </w:pPr>
            <w:r w:rsidRPr="0071138D">
              <w:rPr>
                <w:rFonts w:cs="Arial"/>
              </w:rPr>
              <w:t>Hög</w:t>
            </w:r>
          </w:p>
        </w:tc>
      </w:tr>
      <w:tr w:rsidR="00EC79BD" w:rsidRPr="0071138D" w14:paraId="1FCB819E" w14:textId="77777777" w:rsidTr="00632FCC">
        <w:trPr>
          <w:trHeight w:val="1777"/>
        </w:trPr>
        <w:tc>
          <w:tcPr>
            <w:tcW w:w="681" w:type="pct"/>
          </w:tcPr>
          <w:p w14:paraId="550DDDEE" w14:textId="77777777" w:rsidR="00EC79BD" w:rsidRPr="0071138D" w:rsidRDefault="00EC79BD" w:rsidP="00632FCC">
            <w:pPr>
              <w:spacing w:before="30" w:after="150"/>
              <w:rPr>
                <w:rFonts w:eastAsia="Garamond" w:cs="Arial"/>
              </w:rPr>
            </w:pPr>
            <w:r w:rsidRPr="3C344A4E">
              <w:rPr>
                <w:rFonts w:eastAsia="Garamond" w:cs="Arial"/>
              </w:rPr>
              <w:t>GLP-1-analoger</w:t>
            </w:r>
          </w:p>
        </w:tc>
        <w:tc>
          <w:tcPr>
            <w:tcW w:w="1064" w:type="pct"/>
          </w:tcPr>
          <w:p w14:paraId="1007C55C" w14:textId="77777777" w:rsidR="00EC79BD" w:rsidRPr="0071138D" w:rsidRDefault="00EC79BD" w:rsidP="00632FCC">
            <w:pPr>
              <w:spacing w:before="30" w:after="150"/>
              <w:rPr>
                <w:rFonts w:eastAsia="Garamond" w:cs="Arial"/>
                <w:lang w:val="en-US"/>
              </w:rPr>
            </w:pPr>
            <w:r w:rsidRPr="3C344A4E">
              <w:rPr>
                <w:rFonts w:eastAsia="Garamond" w:cs="Arial"/>
                <w:lang w:val="en-US"/>
              </w:rPr>
              <w:t>Trulicity</w:t>
            </w:r>
          </w:p>
          <w:p w14:paraId="152B225B" w14:textId="77777777" w:rsidR="00EC79BD" w:rsidRPr="0071138D" w:rsidRDefault="00EC79BD" w:rsidP="00632FCC">
            <w:pPr>
              <w:spacing w:before="30" w:after="150"/>
              <w:rPr>
                <w:rFonts w:eastAsia="Garamond" w:cs="Arial"/>
                <w:lang w:val="en-US"/>
              </w:rPr>
            </w:pPr>
            <w:r w:rsidRPr="29610C94">
              <w:rPr>
                <w:rFonts w:eastAsia="Garamond" w:cs="Arial"/>
                <w:lang w:val="en-US"/>
              </w:rPr>
              <w:t>Ozempic</w:t>
            </w:r>
          </w:p>
        </w:tc>
        <w:tc>
          <w:tcPr>
            <w:tcW w:w="874" w:type="pct"/>
          </w:tcPr>
          <w:p w14:paraId="32D1BEEC" w14:textId="77777777" w:rsidR="00EC79BD" w:rsidRPr="0071138D" w:rsidRDefault="00EC79BD" w:rsidP="00632FCC">
            <w:pPr>
              <w:pStyle w:val="Tabelltext"/>
              <w:rPr>
                <w:rFonts w:ascii="Garamond" w:hAnsi="Garamond"/>
              </w:rPr>
            </w:pPr>
            <w:r w:rsidRPr="3C344A4E">
              <w:rPr>
                <w:rFonts w:ascii="Garamond" w:hAnsi="Garamond"/>
              </w:rPr>
              <w:t>↑ insulinsekretion</w:t>
            </w:r>
          </w:p>
          <w:p w14:paraId="3396309D" w14:textId="77777777" w:rsidR="00EC79BD" w:rsidRPr="0071138D" w:rsidRDefault="00EC79BD" w:rsidP="00632FCC">
            <w:pPr>
              <w:pStyle w:val="Tabelltext"/>
              <w:rPr>
                <w:rFonts w:ascii="Garamond" w:hAnsi="Garamond"/>
              </w:rPr>
            </w:pPr>
            <w:r w:rsidRPr="29610C94">
              <w:rPr>
                <w:rFonts w:ascii="Garamond" w:hAnsi="Garamond"/>
              </w:rPr>
              <w:t>↓ glukagonsekretion</w:t>
            </w:r>
          </w:p>
          <w:p w14:paraId="23D3B873" w14:textId="77777777" w:rsidR="00EC79BD" w:rsidRPr="0071138D" w:rsidRDefault="00EC79BD" w:rsidP="00632FCC">
            <w:pPr>
              <w:pStyle w:val="Tabelltext"/>
              <w:rPr>
                <w:rFonts w:ascii="Garamond" w:hAnsi="Garamond"/>
              </w:rPr>
            </w:pPr>
            <w:r w:rsidRPr="29610C94">
              <w:rPr>
                <w:rFonts w:ascii="Garamond" w:hAnsi="Garamond"/>
              </w:rPr>
              <w:t>↑ m</w:t>
            </w:r>
            <w:r w:rsidRPr="29610C94">
              <w:rPr>
                <w:rFonts w:ascii="Garamond" w:hAnsi="Garamond" w:cs="Corbel"/>
              </w:rPr>
              <w:t>ä</w:t>
            </w:r>
            <w:r w:rsidRPr="29610C94">
              <w:rPr>
                <w:rFonts w:ascii="Garamond" w:hAnsi="Garamond"/>
              </w:rPr>
              <w:t>ttnadk</w:t>
            </w:r>
            <w:r w:rsidRPr="29610C94">
              <w:rPr>
                <w:rFonts w:ascii="Garamond" w:hAnsi="Garamond" w:cs="Corbel"/>
              </w:rPr>
              <w:t>ä</w:t>
            </w:r>
            <w:r w:rsidRPr="29610C94">
              <w:rPr>
                <w:rFonts w:ascii="Garamond" w:hAnsi="Garamond"/>
              </w:rPr>
              <w:t>nsla</w:t>
            </w:r>
          </w:p>
        </w:tc>
        <w:tc>
          <w:tcPr>
            <w:tcW w:w="891" w:type="pct"/>
          </w:tcPr>
          <w:p w14:paraId="0C57DD36" w14:textId="77777777" w:rsidR="00EC79BD" w:rsidRPr="00776518" w:rsidRDefault="00EC79BD" w:rsidP="00632FCC">
            <w:pPr>
              <w:pStyle w:val="Tabelltext"/>
              <w:rPr>
                <w:rFonts w:ascii="Garamond" w:hAnsi="Garamond"/>
                <w:b/>
                <w:bCs/>
              </w:rPr>
            </w:pPr>
            <w:r w:rsidRPr="3C344A4E">
              <w:rPr>
                <w:rFonts w:ascii="Garamond" w:hAnsi="Garamond"/>
                <w:b/>
                <w:bCs/>
              </w:rPr>
              <w:t>↓CVD/d</w:t>
            </w:r>
            <w:r w:rsidRPr="3C344A4E">
              <w:rPr>
                <w:rFonts w:ascii="Garamond" w:hAnsi="Garamond" w:cs="Corbel"/>
                <w:b/>
                <w:bCs/>
              </w:rPr>
              <w:t>ö</w:t>
            </w:r>
            <w:r w:rsidRPr="3C344A4E">
              <w:rPr>
                <w:rFonts w:ascii="Garamond" w:hAnsi="Garamond"/>
                <w:b/>
                <w:bCs/>
              </w:rPr>
              <w:t>dlighet</w:t>
            </w:r>
          </w:p>
          <w:p w14:paraId="21CE1465" w14:textId="77777777" w:rsidR="00EC79BD" w:rsidRPr="0071138D" w:rsidRDefault="00EC79BD" w:rsidP="00632FCC">
            <w:pPr>
              <w:pStyle w:val="Tabelltext"/>
              <w:rPr>
                <w:rFonts w:ascii="Garamond" w:hAnsi="Garamond"/>
              </w:rPr>
            </w:pPr>
            <w:r w:rsidRPr="3C344A4E">
              <w:rPr>
                <w:rFonts w:ascii="Garamond" w:hAnsi="Garamond"/>
              </w:rPr>
              <w:t>Ej hypoglykemi</w:t>
            </w:r>
          </w:p>
          <w:p w14:paraId="79F12DDF" w14:textId="77777777" w:rsidR="00EC79BD" w:rsidRPr="0071138D" w:rsidRDefault="00EC79BD" w:rsidP="00632FCC">
            <w:pPr>
              <w:pStyle w:val="Tabelltext"/>
              <w:rPr>
                <w:rFonts w:ascii="Garamond" w:hAnsi="Garamond"/>
              </w:rPr>
            </w:pPr>
            <w:r w:rsidRPr="3C344A4E">
              <w:rPr>
                <w:rFonts w:ascii="Garamond" w:hAnsi="Garamond"/>
              </w:rPr>
              <w:t>↓ vikt</w:t>
            </w:r>
          </w:p>
          <w:p w14:paraId="3479B348" w14:textId="77777777" w:rsidR="00EC79BD" w:rsidRDefault="00EC79BD" w:rsidP="00632FCC">
            <w:pPr>
              <w:pStyle w:val="Tabelltext"/>
              <w:rPr>
                <w:rFonts w:ascii="Garamond" w:hAnsi="Garamond"/>
              </w:rPr>
            </w:pPr>
            <w:r w:rsidRPr="29610C94">
              <w:rPr>
                <w:rFonts w:ascii="Garamond" w:hAnsi="Garamond"/>
              </w:rPr>
              <w:t>↓ postprandiell glukos</w:t>
            </w:r>
          </w:p>
          <w:p w14:paraId="3BDFA0F5" w14:textId="77777777" w:rsidR="00EC79BD" w:rsidRPr="0071138D" w:rsidRDefault="00EC79BD" w:rsidP="00632FCC">
            <w:pPr>
              <w:pStyle w:val="Tabelltext"/>
              <w:rPr>
                <w:rFonts w:ascii="Garamond" w:hAnsi="Garamond"/>
              </w:rPr>
            </w:pPr>
            <w:r>
              <w:rPr>
                <w:rFonts w:ascii="Garamond" w:hAnsi="Garamond"/>
              </w:rPr>
              <w:t>njurskyddande effekt</w:t>
            </w:r>
          </w:p>
        </w:tc>
        <w:tc>
          <w:tcPr>
            <w:tcW w:w="884" w:type="pct"/>
          </w:tcPr>
          <w:p w14:paraId="0D2E9BA4" w14:textId="77777777" w:rsidR="00EC79BD" w:rsidRPr="0071138D" w:rsidRDefault="00EC79BD" w:rsidP="00632FCC">
            <w:pPr>
              <w:pStyle w:val="Tabelltext"/>
              <w:rPr>
                <w:rFonts w:ascii="Garamond" w:hAnsi="Garamond"/>
              </w:rPr>
            </w:pPr>
            <w:r w:rsidRPr="29610C94">
              <w:rPr>
                <w:rFonts w:ascii="Garamond" w:hAnsi="Garamond"/>
              </w:rPr>
              <w:t>GI-biverk</w:t>
            </w:r>
          </w:p>
          <w:p w14:paraId="5015A4BD" w14:textId="77777777" w:rsidR="00EC79BD" w:rsidRPr="0071138D" w:rsidRDefault="00EC79BD" w:rsidP="00632FCC">
            <w:pPr>
              <w:pStyle w:val="Tabelltext"/>
              <w:rPr>
                <w:rFonts w:ascii="Garamond" w:hAnsi="Garamond"/>
              </w:rPr>
            </w:pPr>
            <w:r w:rsidRPr="3C344A4E">
              <w:rPr>
                <w:rFonts w:ascii="Garamond" w:hAnsi="Garamond"/>
              </w:rPr>
              <w:t>↑ hj</w:t>
            </w:r>
            <w:r w:rsidRPr="3C344A4E">
              <w:rPr>
                <w:rFonts w:ascii="Garamond" w:hAnsi="Garamond" w:cs="Corbel"/>
              </w:rPr>
              <w:t>ä</w:t>
            </w:r>
            <w:r w:rsidRPr="3C344A4E">
              <w:rPr>
                <w:rFonts w:ascii="Garamond" w:hAnsi="Garamond"/>
              </w:rPr>
              <w:t>rtfrekvens</w:t>
            </w:r>
          </w:p>
          <w:p w14:paraId="695DCF68" w14:textId="77777777" w:rsidR="00EC79BD" w:rsidRPr="0071138D" w:rsidRDefault="00EC79BD" w:rsidP="00632FCC">
            <w:pPr>
              <w:pStyle w:val="Tabelltext"/>
              <w:rPr>
                <w:rFonts w:ascii="Garamond" w:hAnsi="Garamond"/>
              </w:rPr>
            </w:pPr>
            <w:r w:rsidRPr="3C344A4E">
              <w:rPr>
                <w:rFonts w:ascii="Garamond" w:hAnsi="Garamond"/>
              </w:rPr>
              <w:t>injektion</w:t>
            </w:r>
          </w:p>
        </w:tc>
        <w:tc>
          <w:tcPr>
            <w:tcW w:w="605" w:type="pct"/>
          </w:tcPr>
          <w:p w14:paraId="4EEAC66F" w14:textId="77777777" w:rsidR="00EC79BD" w:rsidRPr="0071138D" w:rsidRDefault="00EC79BD" w:rsidP="00632FCC">
            <w:pPr>
              <w:rPr>
                <w:rFonts w:cs="Arial"/>
              </w:rPr>
            </w:pPr>
            <w:r w:rsidRPr="3C344A4E">
              <w:rPr>
                <w:rFonts w:cs="Arial"/>
              </w:rPr>
              <w:t>Mycket hög</w:t>
            </w:r>
          </w:p>
        </w:tc>
      </w:tr>
    </w:tbl>
    <w:p w14:paraId="5D385673" w14:textId="77777777" w:rsidR="00EC79BD" w:rsidRPr="00B40ECE" w:rsidRDefault="00EC79BD" w:rsidP="00EC79BD">
      <w:pPr>
        <w:pStyle w:val="Rubrik2"/>
      </w:pPr>
      <w:r w:rsidRPr="00B40ECE">
        <w:rPr>
          <w:rStyle w:val="Stark"/>
          <w:b/>
        </w:rPr>
        <w:t>Insulinbehandling vid typ 2 diabetes</w:t>
      </w:r>
    </w:p>
    <w:p w14:paraId="555961A1" w14:textId="77777777" w:rsidR="00EC79BD" w:rsidRPr="006762A0" w:rsidRDefault="00EC79BD" w:rsidP="00EC79BD">
      <w:pPr>
        <w:rPr>
          <w:sz w:val="24"/>
          <w:szCs w:val="24"/>
        </w:rPr>
      </w:pPr>
      <w:r w:rsidRPr="00A27364">
        <w:rPr>
          <w:sz w:val="24"/>
          <w:szCs w:val="24"/>
        </w:rPr>
        <w:t xml:space="preserve">Typ 2 diabetes är en progressiv sjukdom, vilket innebär att behandlingen för att uppnå glukoskontroll successivt måste förstärkas. Flera typer av behandlingar kan vara aktuella. </w:t>
      </w:r>
      <w:r>
        <w:rPr>
          <w:sz w:val="24"/>
          <w:szCs w:val="24"/>
        </w:rPr>
        <w:br/>
      </w:r>
      <w:r w:rsidRPr="00A27364">
        <w:rPr>
          <w:sz w:val="24"/>
          <w:szCs w:val="24"/>
        </w:rPr>
        <w:t>Vanligast är en kombination av tablettbehandling</w:t>
      </w:r>
      <w:r>
        <w:rPr>
          <w:sz w:val="24"/>
          <w:szCs w:val="24"/>
        </w:rPr>
        <w:t xml:space="preserve"> och l</w:t>
      </w:r>
      <w:r w:rsidRPr="00A27364">
        <w:rPr>
          <w:sz w:val="24"/>
          <w:szCs w:val="24"/>
        </w:rPr>
        <w:t xml:space="preserve">ångverkande insulinanaloger. Injektioner med tvåfasinsulin (en fast kombination av snabbverkande måltidsinsulin och medellångverkande insulin) används också ofta, antingen enbart, eller i kombination med tabletter. Vissa patienter använder kortverkande måltidsinsulin i kombination med basinsulin som vid </w:t>
      </w:r>
      <w:r>
        <w:rPr>
          <w:sz w:val="24"/>
          <w:szCs w:val="24"/>
        </w:rPr>
        <w:br/>
      </w:r>
      <w:r w:rsidRPr="00A27364">
        <w:rPr>
          <w:sz w:val="24"/>
          <w:szCs w:val="24"/>
        </w:rPr>
        <w:t>typ 1 diabetes.</w:t>
      </w:r>
    </w:p>
    <w:p w14:paraId="61032DE2" w14:textId="77777777" w:rsidR="00EC79BD" w:rsidRPr="00B40ECE" w:rsidRDefault="00EC79BD" w:rsidP="00EC79BD">
      <w:pPr>
        <w:pStyle w:val="Rubrik2"/>
      </w:pPr>
      <w:r w:rsidRPr="00B40ECE">
        <w:rPr>
          <w:rStyle w:val="Stark"/>
          <w:b/>
        </w:rPr>
        <w:lastRenderedPageBreak/>
        <w:t>Insulin och insulinanaloger</w:t>
      </w:r>
    </w:p>
    <w:p w14:paraId="5204337B" w14:textId="77777777" w:rsidR="00EC79BD" w:rsidRPr="00B40ECE" w:rsidRDefault="00EC79BD" w:rsidP="00EC79BD">
      <w:pPr>
        <w:pStyle w:val="Rubrik3"/>
      </w:pPr>
      <w:r w:rsidRPr="00B40ECE">
        <w:rPr>
          <w:rStyle w:val="Stark"/>
          <w:b/>
        </w:rPr>
        <w:t xml:space="preserve">Snabbverkande insulinanaloger </w:t>
      </w:r>
      <w:r w:rsidRPr="00B40ECE">
        <w:br/>
      </w:r>
      <w:r w:rsidRPr="00B40ECE">
        <w:rPr>
          <w:rStyle w:val="Stark"/>
          <w:b/>
        </w:rPr>
        <w:t>(Humalog, Lispro Sanofi, Novorapid, Fiasp, Aspart Sanofi)</w:t>
      </w:r>
    </w:p>
    <w:p w14:paraId="0637E39B" w14:textId="77777777" w:rsidR="00EC79BD" w:rsidRPr="00E44D89" w:rsidRDefault="00EC79BD" w:rsidP="00EC79BD">
      <w:pPr>
        <w:rPr>
          <w:sz w:val="28"/>
          <w:szCs w:val="28"/>
        </w:rPr>
      </w:pPr>
      <w:r>
        <w:rPr>
          <w:sz w:val="28"/>
          <w:szCs w:val="28"/>
        </w:rPr>
        <w:t>Dessa insuliner</w:t>
      </w:r>
      <w:r w:rsidRPr="00E44D89">
        <w:rPr>
          <w:sz w:val="28"/>
          <w:szCs w:val="28"/>
        </w:rPr>
        <w:t xml:space="preserve"> ges inför måltider (15-20 min innan), generellt effekt kommer om cirka 15-20 minuter efter injektion. Efter cirka 1 till 1,5 timmar har behandlingen uppnått maximal effekt och effekten avtar generellt efter 3-5 timmar.</w:t>
      </w:r>
    </w:p>
    <w:p w14:paraId="292376B2" w14:textId="77777777" w:rsidR="00EC79BD" w:rsidRPr="00E44D89" w:rsidRDefault="00EC79BD" w:rsidP="00EC79BD">
      <w:pPr>
        <w:rPr>
          <w:sz w:val="28"/>
          <w:szCs w:val="28"/>
        </w:rPr>
      </w:pPr>
      <w:r w:rsidRPr="00E44D89">
        <w:rPr>
          <w:sz w:val="28"/>
          <w:szCs w:val="28"/>
        </w:rPr>
        <w:t>Fiasp administrering direkt vid måltider med möjlighet att administrera upp till 20 minuter efter måltiden startar.</w:t>
      </w:r>
    </w:p>
    <w:p w14:paraId="508D45C8" w14:textId="77777777" w:rsidR="00EC79BD" w:rsidRDefault="00EC79BD" w:rsidP="00EC79BD">
      <w:pPr>
        <w:rPr>
          <w:sz w:val="24"/>
          <w:szCs w:val="24"/>
        </w:rPr>
      </w:pPr>
      <w:r w:rsidRPr="00A27364">
        <w:rPr>
          <w:sz w:val="24"/>
          <w:szCs w:val="24"/>
        </w:rPr>
        <w:t xml:space="preserve">Snabbverkande humaninsulin (Actrapid) </w:t>
      </w:r>
      <w:r>
        <w:rPr>
          <w:sz w:val="24"/>
          <w:szCs w:val="24"/>
        </w:rPr>
        <w:t xml:space="preserve">rekommenderas vid enstaka fall, till ex. vid gastropares. </w:t>
      </w:r>
      <w:r w:rsidRPr="00A27364">
        <w:rPr>
          <w:sz w:val="24"/>
          <w:szCs w:val="24"/>
        </w:rPr>
        <w:t xml:space="preserve">Fördelen är att de kan tas direkt i anslutning till måltid, under måltid eller efter måltid. Durationen är kortare för de snabbverkande analogerna, vilket gör att risken för hypoglykemi och behovet av mellanmål mellan huvudmålen är mindre. </w:t>
      </w:r>
    </w:p>
    <w:p w14:paraId="56BAEF8F" w14:textId="77777777" w:rsidR="00EC79BD" w:rsidRPr="00B40ECE" w:rsidRDefault="00EC79BD" w:rsidP="00EC79BD">
      <w:pPr>
        <w:pStyle w:val="Rubrik3"/>
      </w:pPr>
      <w:r w:rsidRPr="00B40ECE">
        <w:rPr>
          <w:rStyle w:val="Stark"/>
          <w:b/>
        </w:rPr>
        <w:t>Medellångverkande NPH-insulin (Humulin NPH)</w:t>
      </w:r>
    </w:p>
    <w:p w14:paraId="5C851BFC" w14:textId="77777777" w:rsidR="00EC79BD" w:rsidRDefault="00EC79BD" w:rsidP="00EC79BD">
      <w:pPr>
        <w:rPr>
          <w:sz w:val="24"/>
          <w:szCs w:val="24"/>
        </w:rPr>
      </w:pPr>
      <w:r w:rsidRPr="00A27364">
        <w:rPr>
          <w:sz w:val="24"/>
          <w:szCs w:val="24"/>
        </w:rPr>
        <w:t xml:space="preserve">NPH-insuliner är suspensioner av ett protein (Neutral Protamin Hagedorn) och humaninsulin. Insulinet binds reversibelt till protaminet och frisätts långsamt efter injektion. </w:t>
      </w:r>
      <w:r>
        <w:rPr>
          <w:sz w:val="24"/>
          <w:szCs w:val="24"/>
        </w:rPr>
        <w:br/>
      </w:r>
      <w:r w:rsidRPr="00A27364">
        <w:rPr>
          <w:sz w:val="24"/>
          <w:szCs w:val="24"/>
        </w:rPr>
        <w:t>Effekt inträder efter 1 – 3 timmar, är maximal efter 4 - 6 timmar och upphör efter 16 – 24 timmar. Durationen beror på dosen – högre dos ger längre duration. Insulinbehandling av typ 2 diabetiker bör alltid inledas med medellångverkande insulin alternativt kombinationsinsulin för att åstadkomma bästa behandling till lägsta möjliga läkemedelskostnad. Risk för nattliga hypoglykemier.</w:t>
      </w:r>
    </w:p>
    <w:p w14:paraId="798F86FB" w14:textId="77777777" w:rsidR="00EC79BD" w:rsidRDefault="00EC79BD" w:rsidP="00EC79BD">
      <w:pPr>
        <w:rPr>
          <w:sz w:val="24"/>
          <w:szCs w:val="24"/>
        </w:rPr>
      </w:pPr>
    </w:p>
    <w:p w14:paraId="123A55BB" w14:textId="77777777" w:rsidR="00EC79BD" w:rsidRDefault="00EC79BD" w:rsidP="00EC79BD">
      <w:pPr>
        <w:rPr>
          <w:sz w:val="24"/>
          <w:szCs w:val="24"/>
        </w:rPr>
      </w:pPr>
    </w:p>
    <w:p w14:paraId="62F794DD" w14:textId="77777777" w:rsidR="00EC79BD" w:rsidRPr="00A1374B" w:rsidRDefault="00EC79BD" w:rsidP="00EC79BD">
      <w:pPr>
        <w:rPr>
          <w:rFonts w:asciiTheme="majorHAnsi" w:hAnsiTheme="majorHAnsi"/>
          <w:b/>
          <w:bCs/>
          <w:sz w:val="24"/>
          <w:szCs w:val="24"/>
        </w:rPr>
      </w:pPr>
      <w:r w:rsidRPr="00A1374B">
        <w:rPr>
          <w:rFonts w:asciiTheme="majorHAnsi" w:hAnsiTheme="majorHAnsi"/>
          <w:b/>
          <w:bCs/>
          <w:sz w:val="24"/>
          <w:szCs w:val="24"/>
        </w:rPr>
        <w:t xml:space="preserve">NPH-insulin. </w:t>
      </w:r>
    </w:p>
    <w:p w14:paraId="4F16C963" w14:textId="77777777" w:rsidR="00EC79BD" w:rsidRPr="006762A0" w:rsidRDefault="00EC79BD" w:rsidP="00EC79BD">
      <w:pPr>
        <w:rPr>
          <w:sz w:val="24"/>
          <w:szCs w:val="24"/>
        </w:rPr>
      </w:pPr>
      <w:r w:rsidRPr="00A1374B">
        <w:rPr>
          <w:sz w:val="24"/>
          <w:szCs w:val="24"/>
        </w:rPr>
        <w:t>NPH insulin rekommenderas i första hand för dem som har högdos kortisonbehandling eller till den patientgruppen som har enteral nutrition dvs har sondmat.</w:t>
      </w:r>
    </w:p>
    <w:p w14:paraId="3838B268" w14:textId="77777777" w:rsidR="00EC79BD" w:rsidRPr="00B25139" w:rsidRDefault="00EC79BD" w:rsidP="00EC79BD">
      <w:pPr>
        <w:pStyle w:val="Rubrik3"/>
        <w:rPr>
          <w:rStyle w:val="Stark"/>
        </w:rPr>
      </w:pPr>
      <w:r w:rsidRPr="005305FC">
        <w:rPr>
          <w:rStyle w:val="Stark"/>
          <w:b/>
        </w:rPr>
        <w:t>Långverkande insulinanaloger (Abasaglar, Toujeo, Tresiba)</w:t>
      </w:r>
    </w:p>
    <w:p w14:paraId="722118A5" w14:textId="77777777" w:rsidR="00EC79BD" w:rsidRDefault="00EC79BD" w:rsidP="00EC79BD">
      <w:pPr>
        <w:rPr>
          <w:sz w:val="24"/>
          <w:szCs w:val="24"/>
        </w:rPr>
      </w:pPr>
      <w:r w:rsidRPr="00A27364">
        <w:rPr>
          <w:sz w:val="24"/>
          <w:szCs w:val="24"/>
        </w:rPr>
        <w:t>Effektdurationen är väsentligt längre än för medellångverkande NPH-insulin. Risken för nattliga hypoglykemier vid intensiv glukossänkande behandling har med långverkande insulinanaloger visats vara lägre jämfört med NPH-insulin</w:t>
      </w:r>
      <w:r>
        <w:rPr>
          <w:sz w:val="24"/>
          <w:szCs w:val="24"/>
        </w:rPr>
        <w:t>.</w:t>
      </w:r>
      <w:r w:rsidRPr="00A27364">
        <w:rPr>
          <w:sz w:val="24"/>
          <w:szCs w:val="24"/>
        </w:rPr>
        <w:t xml:space="preserve"> </w:t>
      </w:r>
    </w:p>
    <w:p w14:paraId="7ABB5C1D" w14:textId="77777777" w:rsidR="00EC79BD" w:rsidRDefault="00EC79BD" w:rsidP="00EC79BD">
      <w:pPr>
        <w:rPr>
          <w:sz w:val="24"/>
          <w:szCs w:val="24"/>
        </w:rPr>
      </w:pPr>
    </w:p>
    <w:p w14:paraId="00C9AD37" w14:textId="77777777" w:rsidR="00EC79BD" w:rsidRPr="005305FC" w:rsidRDefault="00EC79BD" w:rsidP="00EC79BD">
      <w:pPr>
        <w:rPr>
          <w:sz w:val="24"/>
          <w:szCs w:val="24"/>
        </w:rPr>
      </w:pPr>
      <w:r w:rsidRPr="005305FC">
        <w:rPr>
          <w:sz w:val="24"/>
          <w:szCs w:val="24"/>
        </w:rPr>
        <w:t xml:space="preserve">Abasaglar (100 E/ml) är en humaninsulinanalog (glargin) tillhör gruppen ”biosimilars”. </w:t>
      </w:r>
      <w:r>
        <w:rPr>
          <w:sz w:val="24"/>
          <w:szCs w:val="24"/>
        </w:rPr>
        <w:br/>
      </w:r>
      <w:r w:rsidRPr="005305FC">
        <w:rPr>
          <w:sz w:val="24"/>
          <w:szCs w:val="24"/>
        </w:rPr>
        <w:t>Är föremål för utökad övervakning.</w:t>
      </w:r>
      <w:r>
        <w:rPr>
          <w:sz w:val="24"/>
          <w:szCs w:val="24"/>
        </w:rPr>
        <w:t xml:space="preserve"> </w:t>
      </w:r>
      <w:r w:rsidRPr="005305FC">
        <w:rPr>
          <w:sz w:val="24"/>
          <w:szCs w:val="24"/>
        </w:rPr>
        <w:t xml:space="preserve">Toujeo (300 E/ml) är en beredning av insulin glargin (Lantus 100 E/ml). Den högre koncentrationen hos Toujeo medför dels lägre injektionsvolym, dels förändrade farmakokinetiska egenskaper jämfört med Lantus. Toujeo har en stabilare och förlängd effekt som varar längre än 24 timmar (upp till 36 timmar), möjlighet till flexibel dosering, färre nattliga hypoglykemier. Prismässigt billigare än Lantus och jämförbart med Abasaglar, då högre dos kan behövas för samma effekt. Insulin degludek, Tresiba, bildar efter injektion en depå varifrån insulin absorberas långsamt och kontinuerligt. Halveringstid för Tresiba är 25 timmar och verkningstiden över 42 timmar inom det terapeutiska dosintervallet. Injiceras 1 gång per dygn. </w:t>
      </w:r>
      <w:r w:rsidRPr="005305FC">
        <w:rPr>
          <w:sz w:val="24"/>
          <w:szCs w:val="24"/>
        </w:rPr>
        <w:lastRenderedPageBreak/>
        <w:t>Finns i koncentration 100 och 200E/ml. Ofta lite lägre dos för samma effekt som glargin. Rekommenderas om problem med nattliga hypoglykemier.</w:t>
      </w:r>
    </w:p>
    <w:p w14:paraId="5406C104" w14:textId="77777777" w:rsidR="00EC79BD" w:rsidRPr="00F51F19" w:rsidRDefault="00EC79BD" w:rsidP="00EC79BD">
      <w:pPr>
        <w:pStyle w:val="Normal6"/>
        <w:spacing w:before="0" w:beforeAutospacing="0" w:after="0" w:afterAutospacing="0"/>
        <w:rPr>
          <w:rFonts w:ascii="Open Sans" w:hAnsi="Open Sans" w:cs="Open Sans"/>
          <w:color w:val="404040"/>
        </w:rPr>
      </w:pPr>
      <w:r>
        <w:rPr>
          <w:rStyle w:val="Stark"/>
          <w:rFonts w:asciiTheme="minorHAnsi" w:hAnsiTheme="minorHAnsi" w:cs="Open Sans"/>
          <w:color w:val="404040"/>
        </w:rPr>
        <w:br/>
      </w:r>
      <w:r w:rsidRPr="00B40ECE">
        <w:rPr>
          <w:rStyle w:val="Stark"/>
          <w:rFonts w:asciiTheme="minorHAnsi" w:hAnsiTheme="minorHAnsi" w:cs="Open Sans"/>
          <w:color w:val="404040"/>
        </w:rPr>
        <w:t xml:space="preserve">Kombinationsinsulin (HumalogMix 25/50, NovoMix30) </w:t>
      </w:r>
      <w:r w:rsidRPr="00B40ECE">
        <w:rPr>
          <w:rFonts w:asciiTheme="minorHAnsi" w:hAnsiTheme="minorHAnsi" w:cs="Open Sans"/>
          <w:b/>
          <w:bCs/>
          <w:color w:val="404040"/>
        </w:rPr>
        <w:br/>
      </w:r>
      <w:r w:rsidRPr="00B40ECE">
        <w:rPr>
          <w:rFonts w:asciiTheme="minorHAnsi" w:hAnsiTheme="minorHAnsi" w:cs="Open Sans"/>
          <w:color w:val="404040"/>
        </w:rPr>
        <w:t>Mix 25/Mix 30 används normalt som tvådos och mix 50 som tredosalternativ</w:t>
      </w:r>
      <w:r>
        <w:rPr>
          <w:rFonts w:ascii="Open Sans" w:hAnsi="Open Sans" w:cs="Open Sans"/>
          <w:color w:val="404040"/>
        </w:rPr>
        <w:t>.</w:t>
      </w:r>
      <w:r>
        <w:rPr>
          <w:i/>
          <w:iCs/>
        </w:rPr>
        <w:br w:type="page"/>
      </w:r>
    </w:p>
    <w:p w14:paraId="22278C79" w14:textId="77777777" w:rsidR="00EC79BD" w:rsidRPr="00B40ECE" w:rsidRDefault="00EC79BD" w:rsidP="00EC79BD">
      <w:pPr>
        <w:pStyle w:val="Rubrik2"/>
      </w:pPr>
      <w:r w:rsidRPr="00B40ECE">
        <w:rPr>
          <w:rStyle w:val="Stark"/>
          <w:b/>
        </w:rPr>
        <w:lastRenderedPageBreak/>
        <w:t>Fetmakirurgi</w:t>
      </w:r>
    </w:p>
    <w:p w14:paraId="6244D0FA" w14:textId="77777777" w:rsidR="00EC79BD" w:rsidRPr="00B40ECE" w:rsidRDefault="00EC79BD" w:rsidP="00EC79BD">
      <w:pPr>
        <w:pStyle w:val="Rubrik3"/>
      </w:pPr>
      <w:r w:rsidRPr="00B40ECE">
        <w:rPr>
          <w:rStyle w:val="Stark"/>
          <w:b/>
        </w:rPr>
        <w:t>NDR-optimal kvalitetssäkring</w:t>
      </w:r>
    </w:p>
    <w:p w14:paraId="0511EA8E" w14:textId="77777777" w:rsidR="00EC79BD" w:rsidRPr="00A27364" w:rsidRDefault="00EC79BD" w:rsidP="00EC79BD">
      <w:pPr>
        <w:rPr>
          <w:sz w:val="24"/>
          <w:szCs w:val="24"/>
        </w:rPr>
      </w:pPr>
      <w:r w:rsidRPr="00A27364">
        <w:rPr>
          <w:sz w:val="24"/>
          <w:szCs w:val="24"/>
        </w:rPr>
        <w:t xml:space="preserve">Rapportering till Nationella diabetesregistret möjliggör reflektion och en värdering av den egna verksamheten både från ett nationellt, regionalt och lokalt perspektiv. Detta gäller inte minst vid utvärdering av insatt läkemedelsterapi. Man kan i psykologiskt syfte sitta tillsammans med patienten och via NDR se hur individuella mål uppnås, vilket kan leda till ökad compliance. Rapporter i NDR kan användas som ett verktyg för förbättring av vårdkvalitén genom skräddarsydd statistik eller genom att söka fram vissa målgrupper för riktade satsningar på till exempel blodtryck eller blodfetter. Enklast sker rapportering till NDR online på </w:t>
      </w:r>
      <w:hyperlink r:id="rId53" w:history="1">
        <w:r w:rsidRPr="00A27364">
          <w:rPr>
            <w:sz w:val="24"/>
            <w:szCs w:val="24"/>
          </w:rPr>
          <w:t>www.ndr.nu</w:t>
        </w:r>
        <w:r w:rsidRPr="00A27364">
          <w:rPr>
            <w:noProof/>
            <w:sz w:val="24"/>
            <w:szCs w:val="24"/>
          </w:rPr>
          <w:drawing>
            <wp:inline distT="0" distB="0" distL="0" distR="0" wp14:anchorId="1BDE9976" wp14:editId="45B209C6">
              <wp:extent cx="95250" cy="95250"/>
              <wp:effectExtent l="0" t="0" r="0" b="0"/>
              <wp:docPr id="37" name="Bildobjekt 37">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hyperlink>
    </w:p>
    <w:p w14:paraId="1B5FF3FF" w14:textId="77777777" w:rsidR="00EC79BD" w:rsidRPr="00B40ECE" w:rsidRDefault="00EC79BD" w:rsidP="00EC79BD">
      <w:pPr>
        <w:pStyle w:val="Rubrik3"/>
      </w:pPr>
      <w:r w:rsidRPr="00B40ECE">
        <w:rPr>
          <w:rStyle w:val="Stark"/>
          <w:b/>
        </w:rPr>
        <w:t xml:space="preserve">Riktlinjer för egenkontroll av plasmaglukos </w:t>
      </w:r>
    </w:p>
    <w:p w14:paraId="4B205022" w14:textId="77777777" w:rsidR="00EC79BD" w:rsidRPr="00A27364" w:rsidRDefault="00EC79BD" w:rsidP="00EC79BD">
      <w:pPr>
        <w:rPr>
          <w:sz w:val="24"/>
          <w:szCs w:val="24"/>
        </w:rPr>
      </w:pPr>
      <w:r w:rsidRPr="00A27364">
        <w:rPr>
          <w:sz w:val="24"/>
          <w:szCs w:val="24"/>
        </w:rPr>
        <w:t>Egenmätning av blodsocker, SMBG (Self Monitoring of Blood Glucose), innebär att patienten själv avläser blodglukosvärdet med hjälp av en mätare. Diabetessköterskan lämnar ut mätare och ger utbildning i handhavandet. I samråd med patienten görs en överenskommelse om när blodsocker ska testas samt vilket målvärde som kan vara aktuellt för den enskilde individen. Tillhörande teststickor skrivs ut som ett kostnadsfritt hjälpmedel. Önskar patienten mer än en blodsockermätare bör de vara av samma märke (samma teststicka). Detta för att inte ytterligare öka kostnaderna. Val av mätare bör ske efter hur priset på teststickorna och lancetterna ligger.</w:t>
      </w:r>
    </w:p>
    <w:p w14:paraId="31AF01AB" w14:textId="77777777" w:rsidR="00EC79BD" w:rsidRPr="00A27364" w:rsidRDefault="00EC79BD" w:rsidP="00EC79BD">
      <w:pPr>
        <w:rPr>
          <w:sz w:val="24"/>
          <w:szCs w:val="24"/>
        </w:rPr>
      </w:pPr>
      <w:r w:rsidRPr="00A27364">
        <w:rPr>
          <w:sz w:val="24"/>
          <w:szCs w:val="24"/>
        </w:rPr>
        <w:t>Förskriv teststickor i den mängd de beräknas gå åt. Tänk på hållbarhet och förvaring.</w:t>
      </w:r>
    </w:p>
    <w:p w14:paraId="21DFC461" w14:textId="77777777" w:rsidR="00EC79BD" w:rsidRPr="005305FC" w:rsidRDefault="00EC79BD" w:rsidP="00EC79BD">
      <w:pPr>
        <w:rPr>
          <w:rStyle w:val="Stark"/>
        </w:rPr>
      </w:pPr>
      <w:r w:rsidRPr="00A27364">
        <w:rPr>
          <w:sz w:val="24"/>
          <w:szCs w:val="24"/>
        </w:rPr>
        <w:t>Kvalitetskontroll av patientens mätare bör ske regelbundet mot godkänt referensinstrument (t.ex. Hemocue) ansluten till Equalis kvalitetsprogram. För patienter i dialys eller annan parenteral tillförsel ska mätare med teststickor som inte interfererar med aktuell dialysvätska/läkemedel användas.</w:t>
      </w:r>
      <w:r>
        <w:rPr>
          <w:sz w:val="24"/>
          <w:szCs w:val="24"/>
        </w:rPr>
        <w:br/>
      </w:r>
      <w:r>
        <w:br/>
      </w:r>
      <w:r w:rsidRPr="00B40ECE">
        <w:rPr>
          <w:rStyle w:val="Stark"/>
        </w:rPr>
        <w:t>Egenmätning vid kost-/tablettbehandlad diabetes</w:t>
      </w:r>
    </w:p>
    <w:p w14:paraId="207D8D1D" w14:textId="77777777" w:rsidR="00EC79BD" w:rsidRDefault="00EC79BD" w:rsidP="00EC79BD">
      <w:pPr>
        <w:rPr>
          <w:sz w:val="24"/>
          <w:szCs w:val="24"/>
        </w:rPr>
      </w:pPr>
      <w:r w:rsidRPr="00A27364">
        <w:rPr>
          <w:sz w:val="24"/>
          <w:szCs w:val="24"/>
        </w:rPr>
        <w:t xml:space="preserve">Enligt Socialstyrelsens Nationella riktlinjer for diabetesvården (2018) bör personer med </w:t>
      </w:r>
      <w:r>
        <w:rPr>
          <w:sz w:val="24"/>
          <w:szCs w:val="24"/>
        </w:rPr>
        <w:br/>
      </w:r>
      <w:r w:rsidRPr="00A27364">
        <w:rPr>
          <w:sz w:val="24"/>
          <w:szCs w:val="24"/>
        </w:rPr>
        <w:t xml:space="preserve">typ 2 diabetes som inte behandlas med insulin erbjudas att genomföra riktad egenmätning </w:t>
      </w:r>
      <w:r>
        <w:rPr>
          <w:sz w:val="24"/>
          <w:szCs w:val="24"/>
        </w:rPr>
        <w:br/>
      </w:r>
      <w:r w:rsidRPr="00A27364">
        <w:rPr>
          <w:sz w:val="24"/>
          <w:szCs w:val="24"/>
        </w:rPr>
        <w:t xml:space="preserve">(prioritet 3, se nedan). </w:t>
      </w:r>
      <w:r w:rsidRPr="00A27364">
        <w:rPr>
          <w:sz w:val="24"/>
          <w:szCs w:val="24"/>
        </w:rPr>
        <w:br/>
        <w:t>Systematisk egenmätning (se nedan) har prioritet 8. Frekvensen av mätningar får bedömas efter varje enskild individs behov där hänsyn tas till behandling, målsättning, risk för hypo- eller hyperglykemi samt behov av mätningar i pedagogiskt syfte.</w:t>
      </w:r>
    </w:p>
    <w:p w14:paraId="0B9B5D24" w14:textId="77777777" w:rsidR="00EC79BD" w:rsidRDefault="00EC79BD" w:rsidP="00EC79BD">
      <w:pPr>
        <w:tabs>
          <w:tab w:val="clear" w:pos="284"/>
        </w:tabs>
        <w:spacing w:after="120" w:line="260" w:lineRule="atLeast"/>
        <w:rPr>
          <w:sz w:val="24"/>
          <w:szCs w:val="24"/>
        </w:rPr>
      </w:pPr>
    </w:p>
    <w:p w14:paraId="6250EC1E" w14:textId="77777777" w:rsidR="00EC79BD" w:rsidRPr="006762A0" w:rsidRDefault="00EC79BD" w:rsidP="00EC79BD">
      <w:pPr>
        <w:tabs>
          <w:tab w:val="clear" w:pos="284"/>
        </w:tabs>
        <w:spacing w:after="120" w:line="260" w:lineRule="atLeast"/>
        <w:rPr>
          <w:sz w:val="24"/>
          <w:szCs w:val="24"/>
        </w:rPr>
      </w:pPr>
      <w:r w:rsidRPr="00A1374B">
        <w:rPr>
          <w:b/>
          <w:bCs/>
          <w:sz w:val="24"/>
          <w:szCs w:val="24"/>
        </w:rPr>
        <w:t>Generella råd:</w:t>
      </w:r>
    </w:p>
    <w:p w14:paraId="557F2406" w14:textId="77777777" w:rsidR="00EC79BD" w:rsidRPr="00A27364" w:rsidRDefault="00EC79BD" w:rsidP="00EC79BD">
      <w:pPr>
        <w:pStyle w:val="Liststycke"/>
        <w:numPr>
          <w:ilvl w:val="0"/>
          <w:numId w:val="58"/>
        </w:numPr>
        <w:rPr>
          <w:sz w:val="24"/>
          <w:szCs w:val="24"/>
        </w:rPr>
      </w:pPr>
      <w:r w:rsidRPr="00A27364">
        <w:rPr>
          <w:sz w:val="24"/>
          <w:szCs w:val="24"/>
        </w:rPr>
        <w:t>vid debut och vid uppföljning av förändring i behandlingen kan dygnsprofiler med mätning före och två timmar efter påbörjad måltid under några dagar vara ett viktigt underlag för val av behandling respektive ställningstagande till förändring.</w:t>
      </w:r>
    </w:p>
    <w:p w14:paraId="0995CDF4" w14:textId="77777777" w:rsidR="00EC79BD" w:rsidRPr="00A27364" w:rsidRDefault="00EC79BD" w:rsidP="00EC79BD">
      <w:pPr>
        <w:pStyle w:val="Liststycke"/>
        <w:numPr>
          <w:ilvl w:val="0"/>
          <w:numId w:val="58"/>
        </w:numPr>
        <w:rPr>
          <w:sz w:val="24"/>
          <w:szCs w:val="24"/>
        </w:rPr>
      </w:pPr>
      <w:r w:rsidRPr="00A27364">
        <w:rPr>
          <w:sz w:val="24"/>
          <w:szCs w:val="24"/>
        </w:rPr>
        <w:t>vid akuta tillstånd som infektion, operation, behandling med kortison och situationer av akut stress kan frekventare mätning behövas.</w:t>
      </w:r>
    </w:p>
    <w:p w14:paraId="530ABFF6" w14:textId="77777777" w:rsidR="00EC79BD" w:rsidRPr="00A27364" w:rsidRDefault="00EC79BD" w:rsidP="00EC79BD">
      <w:pPr>
        <w:pStyle w:val="Liststycke"/>
        <w:numPr>
          <w:ilvl w:val="0"/>
          <w:numId w:val="58"/>
        </w:numPr>
        <w:rPr>
          <w:sz w:val="24"/>
          <w:szCs w:val="24"/>
        </w:rPr>
      </w:pPr>
      <w:r w:rsidRPr="00A27364">
        <w:rPr>
          <w:sz w:val="24"/>
          <w:szCs w:val="24"/>
        </w:rPr>
        <w:t>i pedagogiskt syfte kan blodsockermätning i samband med fysisk aktivitet samt före och två timmar efter påbörjad måltid ge värdefull information.</w:t>
      </w:r>
    </w:p>
    <w:p w14:paraId="5E7334A8" w14:textId="77777777" w:rsidR="00EC79BD" w:rsidRPr="00A27364" w:rsidRDefault="00EC79BD" w:rsidP="00EC79BD">
      <w:pPr>
        <w:pStyle w:val="Liststycke"/>
        <w:numPr>
          <w:ilvl w:val="0"/>
          <w:numId w:val="58"/>
        </w:numPr>
        <w:spacing w:after="240"/>
        <w:rPr>
          <w:rFonts w:ascii="Open Sans" w:hAnsi="Open Sans" w:cs="Open Sans"/>
          <w:color w:val="404040"/>
          <w:sz w:val="24"/>
          <w:szCs w:val="24"/>
        </w:rPr>
      </w:pPr>
      <w:r w:rsidRPr="00A27364">
        <w:rPr>
          <w:sz w:val="24"/>
          <w:szCs w:val="24"/>
        </w:rPr>
        <w:t>har patienten ingen behandling som kan orsaka hypoglykemi bör hen inte mäta blodsocker regelbundet.</w:t>
      </w:r>
    </w:p>
    <w:p w14:paraId="04B7E747" w14:textId="77777777" w:rsidR="00EC79BD" w:rsidRPr="00B40ECE" w:rsidRDefault="00EC79BD" w:rsidP="00EC79BD">
      <w:pPr>
        <w:pStyle w:val="Rubrik3"/>
      </w:pPr>
      <w:r w:rsidRPr="00B40ECE">
        <w:rPr>
          <w:rStyle w:val="Stark"/>
          <w:b/>
        </w:rPr>
        <w:lastRenderedPageBreak/>
        <w:t>Egenmätning vid insulinbehandling</w:t>
      </w:r>
    </w:p>
    <w:p w14:paraId="1E3044E5" w14:textId="77777777" w:rsidR="00EC79BD" w:rsidRPr="00A27364" w:rsidRDefault="00EC79BD" w:rsidP="00EC79BD">
      <w:pPr>
        <w:rPr>
          <w:sz w:val="24"/>
          <w:szCs w:val="24"/>
        </w:rPr>
      </w:pPr>
      <w:r w:rsidRPr="00A27364">
        <w:rPr>
          <w:sz w:val="24"/>
          <w:szCs w:val="24"/>
        </w:rPr>
        <w:t xml:space="preserve">Egenmätning vid insulinbehandling har enligt Socialstyrelsens nationella riktlinjer för diabetesvården (2018), prioritet 1 vid insulinbehandlad diabetes (både typ 1 och typ 2 diabetes). Egenmätning av blodglukos är en förutsättning för att uppnå målet för långsiktig glukoskontroll och för att patienten själv ska kunna anpassa insulindoserna efter aktuellt blodglukosvärde, måltid och fysisk aktivitet. </w:t>
      </w:r>
      <w:r>
        <w:rPr>
          <w:sz w:val="24"/>
          <w:szCs w:val="24"/>
        </w:rPr>
        <w:br/>
      </w:r>
      <w:r w:rsidRPr="00A27364">
        <w:rPr>
          <w:sz w:val="24"/>
          <w:szCs w:val="24"/>
        </w:rPr>
        <w:t>De flesta med intensiv insulinbehandling behöver mäta minst fyra värden per dygn såsom morgon och kväll samt före och 1,5 timma efter något av huvudmålen.</w:t>
      </w:r>
      <w:r w:rsidRPr="00A27364">
        <w:rPr>
          <w:sz w:val="24"/>
          <w:szCs w:val="24"/>
        </w:rPr>
        <w:br/>
      </w:r>
    </w:p>
    <w:p w14:paraId="3CCFBE36" w14:textId="77777777" w:rsidR="00EC79BD" w:rsidRPr="00A27364" w:rsidRDefault="00EC79BD" w:rsidP="00EC79BD">
      <w:pPr>
        <w:rPr>
          <w:rFonts w:asciiTheme="minorHAnsi" w:hAnsiTheme="minorHAnsi"/>
          <w:sz w:val="24"/>
          <w:szCs w:val="24"/>
        </w:rPr>
      </w:pPr>
      <w:r w:rsidRPr="0057530E">
        <w:rPr>
          <w:rStyle w:val="Stark"/>
          <w:rFonts w:asciiTheme="minorHAnsi" w:hAnsiTheme="minorHAnsi" w:cs="Open Sans"/>
          <w:b w:val="0"/>
          <w:bCs/>
          <w:color w:val="404040"/>
          <w:sz w:val="24"/>
          <w:szCs w:val="24"/>
        </w:rPr>
        <w:t>Riktad</w:t>
      </w:r>
      <w:r w:rsidRPr="00A27364">
        <w:rPr>
          <w:rFonts w:asciiTheme="minorHAnsi" w:hAnsiTheme="minorHAnsi"/>
          <w:sz w:val="24"/>
          <w:szCs w:val="24"/>
        </w:rPr>
        <w:t xml:space="preserve"> egenmätning innebär mätning vid speciella situationer, såsom:</w:t>
      </w:r>
      <w:r w:rsidRPr="00A27364">
        <w:rPr>
          <w:rFonts w:asciiTheme="minorHAnsi" w:hAnsiTheme="minorHAnsi"/>
          <w:sz w:val="24"/>
          <w:szCs w:val="24"/>
        </w:rPr>
        <w:br/>
        <w:t xml:space="preserve">Vid </w:t>
      </w:r>
      <w:r w:rsidRPr="00A27364">
        <w:rPr>
          <w:rStyle w:val="Betoning"/>
          <w:rFonts w:asciiTheme="minorHAnsi" w:hAnsiTheme="minorHAnsi" w:cs="Open Sans"/>
          <w:color w:val="404040"/>
          <w:sz w:val="24"/>
          <w:szCs w:val="24"/>
        </w:rPr>
        <w:t>nydebut och vid uppföljning av förändrad behandling</w:t>
      </w:r>
      <w:r w:rsidRPr="00A27364">
        <w:rPr>
          <w:rFonts w:asciiTheme="minorHAnsi" w:hAnsiTheme="minorHAnsi"/>
          <w:sz w:val="24"/>
          <w:szCs w:val="24"/>
        </w:rPr>
        <w:t xml:space="preserve">. Mätning före samt 1,5 timma efter påbörjad måltid under några dagar kan vara värdefullt ur pedagogiskt syfte samt för att utvärdera behandlingen. Vid </w:t>
      </w:r>
      <w:r w:rsidRPr="00A27364">
        <w:rPr>
          <w:rStyle w:val="Betoning"/>
          <w:rFonts w:asciiTheme="minorHAnsi" w:hAnsiTheme="minorHAnsi" w:cs="Open Sans"/>
          <w:color w:val="404040"/>
          <w:sz w:val="24"/>
          <w:szCs w:val="24"/>
        </w:rPr>
        <w:t>akuta tillstånd</w:t>
      </w:r>
      <w:r w:rsidRPr="00A27364">
        <w:rPr>
          <w:rFonts w:asciiTheme="minorHAnsi" w:hAnsiTheme="minorHAnsi"/>
          <w:sz w:val="24"/>
          <w:szCs w:val="24"/>
        </w:rPr>
        <w:t xml:space="preserve"> såsom infektion, operation, i situationer med akut stress samt vid kortisonbehandling kan blodsockermätning behövas vid minst 3 - 4 tillfällen/dygn. I </w:t>
      </w:r>
      <w:r w:rsidRPr="00A27364">
        <w:rPr>
          <w:rStyle w:val="Betoning"/>
          <w:rFonts w:asciiTheme="minorHAnsi" w:hAnsiTheme="minorHAnsi" w:cs="Open Sans"/>
          <w:color w:val="404040"/>
          <w:sz w:val="24"/>
          <w:szCs w:val="24"/>
        </w:rPr>
        <w:t>pedagogiskt syfte</w:t>
      </w:r>
      <w:r w:rsidRPr="00A27364">
        <w:rPr>
          <w:rFonts w:asciiTheme="minorHAnsi" w:hAnsiTheme="minorHAnsi"/>
          <w:sz w:val="24"/>
          <w:szCs w:val="24"/>
        </w:rPr>
        <w:t xml:space="preserve"> kan mätning vara värdefullt före och 1,5 timma efter påbörjad måltid samt i samband med fysisk aktivitet. Viktigt att tänka på är att insulinfrisättande tabletter ökar risken för hypoglykemi.</w:t>
      </w:r>
      <w:r w:rsidRPr="00A27364">
        <w:rPr>
          <w:rFonts w:asciiTheme="minorHAnsi" w:hAnsiTheme="minorHAnsi"/>
          <w:sz w:val="24"/>
          <w:szCs w:val="24"/>
        </w:rPr>
        <w:br/>
      </w:r>
    </w:p>
    <w:p w14:paraId="08C1003A" w14:textId="77777777" w:rsidR="00EC79BD" w:rsidRPr="00A27364" w:rsidRDefault="00EC79BD" w:rsidP="00EC79BD">
      <w:pPr>
        <w:rPr>
          <w:rFonts w:ascii="Open Sans" w:hAnsi="Open Sans" w:cs="Open Sans"/>
          <w:color w:val="404040"/>
          <w:sz w:val="24"/>
          <w:szCs w:val="24"/>
        </w:rPr>
      </w:pPr>
      <w:r w:rsidRPr="00A27364">
        <w:rPr>
          <w:rFonts w:asciiTheme="minorHAnsi" w:hAnsiTheme="minorHAnsi" w:cs="Open Sans"/>
          <w:color w:val="404040"/>
          <w:sz w:val="24"/>
          <w:szCs w:val="24"/>
        </w:rPr>
        <w:t>Vid kostbehandlad typ 2 diabetes finns ingen hypoglykemirisk och patientens blodglukosvärden förändras inte mycket från dag till dag. Inriktningen av behandlingen bör vara att upptäcka en pågående försämring av glukoskontrollen</w:t>
      </w:r>
      <w:r w:rsidRPr="00A27364">
        <w:rPr>
          <w:rFonts w:ascii="Open Sans" w:hAnsi="Open Sans" w:cs="Open Sans"/>
          <w:color w:val="404040"/>
          <w:sz w:val="24"/>
          <w:szCs w:val="24"/>
        </w:rPr>
        <w:t xml:space="preserve"> </w:t>
      </w:r>
      <w:r w:rsidRPr="00A27364">
        <w:rPr>
          <w:sz w:val="24"/>
          <w:szCs w:val="24"/>
        </w:rPr>
        <w:t>genom enstaka blodglukoskontroller samt att ha tillgång till riktad glukosmätning under speciella omständigheter</w:t>
      </w:r>
      <w:r w:rsidRPr="00A27364">
        <w:rPr>
          <w:rFonts w:ascii="Open Sans" w:hAnsi="Open Sans" w:cs="Open Sans"/>
          <w:color w:val="404040"/>
          <w:sz w:val="24"/>
          <w:szCs w:val="24"/>
        </w:rPr>
        <w:t>.</w:t>
      </w:r>
    </w:p>
    <w:p w14:paraId="6F32660B" w14:textId="77777777" w:rsidR="00EC79BD" w:rsidRPr="00A27364" w:rsidRDefault="00EC79BD" w:rsidP="00EC79BD">
      <w:pPr>
        <w:rPr>
          <w:sz w:val="24"/>
          <w:szCs w:val="24"/>
        </w:rPr>
      </w:pPr>
      <w:r w:rsidRPr="00A27364">
        <w:rPr>
          <w:sz w:val="24"/>
          <w:szCs w:val="24"/>
        </w:rPr>
        <w:t>Systematisk egenmätning hos typ 2-diabetiker (utan insulinbehandling) innebär upprepad mätning under dygnet, ofta före och 1,5 timma efter påbörjad måltid (6 - 7 teststickor/dag), och utförs två dagar/vecka. Av central betydelse vid egenkontroll är att individen har tillräckliga kunskaper att tolka och förstå sina blodsockervärden samt agerar på dessa.</w:t>
      </w:r>
      <w:r w:rsidRPr="00A27364">
        <w:rPr>
          <w:sz w:val="24"/>
          <w:szCs w:val="24"/>
        </w:rPr>
        <w:br/>
      </w:r>
    </w:p>
    <w:p w14:paraId="7B819DF1" w14:textId="77777777" w:rsidR="00EC79BD" w:rsidRPr="00A27364" w:rsidRDefault="00EC79BD" w:rsidP="00EC79BD">
      <w:pPr>
        <w:rPr>
          <w:sz w:val="24"/>
          <w:szCs w:val="24"/>
        </w:rPr>
      </w:pPr>
      <w:r w:rsidRPr="00A27364">
        <w:rPr>
          <w:sz w:val="24"/>
          <w:szCs w:val="24"/>
        </w:rPr>
        <w:t>Vid behandling med insulin i flerdos kan blodsockermätning i samma utsträckning som vid typ 1 diabetes krävas, d.v.s. systematisk mätning med tillägg av kvälls-/nattvärde flera dagar/vecka. DiGEM-studien visar dock att egenkontroller av blodsocker hos välinställda insulinbehandlade typ 2 diabetiker inte ger bättre glykemisk kontroll än återkommande (var 3:e månad) mätningar av HbA1c.</w:t>
      </w:r>
      <w:r w:rsidRPr="00A27364">
        <w:rPr>
          <w:sz w:val="24"/>
          <w:szCs w:val="24"/>
        </w:rPr>
        <w:br/>
      </w:r>
    </w:p>
    <w:p w14:paraId="369520C2" w14:textId="77777777" w:rsidR="00EC79BD" w:rsidRDefault="00EC79BD" w:rsidP="00EC79BD">
      <w:r w:rsidRPr="00A27364">
        <w:rPr>
          <w:sz w:val="24"/>
          <w:szCs w:val="24"/>
        </w:rPr>
        <w:t>Frekvensen av mätningarna måste bedömas utifrån varje patients behov där hänsyn tas till bl.a. individuell målsättning samt risk för hypo- respektive hyperglykemi. Det viktiga är att det ska finnas nytta med mätningarna. Före förskrivning av teststickor är det viktigt att göra en bedömning av lämplig förpackningsstorlek i förhållande till rekommenderade provtagningstillfällen och hållbarhet på teststickor.</w:t>
      </w:r>
    </w:p>
    <w:tbl>
      <w:tblPr>
        <w:tblStyle w:val="Oformateradtabell5"/>
        <w:tblW w:w="0" w:type="auto"/>
        <w:tblLook w:val="04A0" w:firstRow="1" w:lastRow="0" w:firstColumn="1" w:lastColumn="0" w:noHBand="0" w:noVBand="1"/>
      </w:tblPr>
      <w:tblGrid>
        <w:gridCol w:w="2265"/>
        <w:gridCol w:w="2274"/>
        <w:gridCol w:w="2257"/>
        <w:gridCol w:w="2276"/>
      </w:tblGrid>
      <w:tr w:rsidR="00EC79BD" w:rsidRPr="0071138D" w14:paraId="2CC08089" w14:textId="77777777" w:rsidTr="00632FC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5" w:type="dxa"/>
          </w:tcPr>
          <w:p w14:paraId="12169636" w14:textId="77777777" w:rsidR="00EC79BD" w:rsidRPr="0071138D" w:rsidRDefault="00EC79BD" w:rsidP="00632FCC">
            <w:pPr>
              <w:rPr>
                <w:color w:val="191919"/>
                <w:sz w:val="22"/>
                <w:szCs w:val="22"/>
              </w:rPr>
            </w:pPr>
          </w:p>
        </w:tc>
        <w:tc>
          <w:tcPr>
            <w:tcW w:w="2274" w:type="dxa"/>
          </w:tcPr>
          <w:p w14:paraId="078D4008" w14:textId="77777777" w:rsidR="00EC79BD" w:rsidRPr="0071138D" w:rsidRDefault="00EC79BD" w:rsidP="00632FCC">
            <w:pPr>
              <w:cnfStyle w:val="100000000000" w:firstRow="1" w:lastRow="0" w:firstColumn="0" w:lastColumn="0" w:oddVBand="0" w:evenVBand="0" w:oddHBand="0" w:evenHBand="0" w:firstRowFirstColumn="0" w:firstRowLastColumn="0" w:lastRowFirstColumn="0" w:lastRowLastColumn="0"/>
              <w:rPr>
                <w:color w:val="191919"/>
                <w:sz w:val="22"/>
                <w:szCs w:val="22"/>
              </w:rPr>
            </w:pPr>
          </w:p>
        </w:tc>
        <w:tc>
          <w:tcPr>
            <w:tcW w:w="2257" w:type="dxa"/>
          </w:tcPr>
          <w:p w14:paraId="50DE1F0A" w14:textId="77777777" w:rsidR="00EC79BD" w:rsidRPr="0071138D" w:rsidRDefault="00EC79BD" w:rsidP="00632FCC">
            <w:pPr>
              <w:cnfStyle w:val="100000000000" w:firstRow="1" w:lastRow="0" w:firstColumn="0" w:lastColumn="0" w:oddVBand="0" w:evenVBand="0" w:oddHBand="0" w:evenHBand="0" w:firstRowFirstColumn="0" w:firstRowLastColumn="0" w:lastRowFirstColumn="0" w:lastRowLastColumn="0"/>
              <w:rPr>
                <w:color w:val="191919"/>
                <w:sz w:val="22"/>
                <w:szCs w:val="22"/>
              </w:rPr>
            </w:pPr>
          </w:p>
        </w:tc>
        <w:tc>
          <w:tcPr>
            <w:tcW w:w="2276" w:type="dxa"/>
          </w:tcPr>
          <w:p w14:paraId="74599BF2" w14:textId="77777777" w:rsidR="00EC79BD" w:rsidRPr="0071138D" w:rsidRDefault="00EC79BD" w:rsidP="00632FCC">
            <w:pPr>
              <w:cnfStyle w:val="100000000000" w:firstRow="1" w:lastRow="0" w:firstColumn="0" w:lastColumn="0" w:oddVBand="0" w:evenVBand="0" w:oddHBand="0" w:evenHBand="0" w:firstRowFirstColumn="0" w:firstRowLastColumn="0" w:lastRowFirstColumn="0" w:lastRowLastColumn="0"/>
              <w:rPr>
                <w:color w:val="191919"/>
                <w:sz w:val="22"/>
                <w:szCs w:val="22"/>
              </w:rPr>
            </w:pPr>
          </w:p>
        </w:tc>
      </w:tr>
      <w:tr w:rsidR="00EC79BD" w:rsidRPr="0071138D" w14:paraId="142F0A22"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00FD7B7" w14:textId="77777777" w:rsidR="00EC79BD" w:rsidRPr="0071138D" w:rsidRDefault="00EC79BD" w:rsidP="00632FCC">
            <w:pPr>
              <w:rPr>
                <w:color w:val="191919"/>
                <w:sz w:val="22"/>
                <w:szCs w:val="22"/>
              </w:rPr>
            </w:pPr>
            <w:r w:rsidRPr="0071138D">
              <w:rPr>
                <w:color w:val="191919"/>
                <w:sz w:val="22"/>
                <w:szCs w:val="22"/>
              </w:rPr>
              <w:t>Lathund för förskrivning</w:t>
            </w:r>
          </w:p>
        </w:tc>
        <w:tc>
          <w:tcPr>
            <w:tcW w:w="2274" w:type="dxa"/>
          </w:tcPr>
          <w:p w14:paraId="2AD3806B" w14:textId="77777777" w:rsidR="00EC79BD" w:rsidRPr="0071138D" w:rsidRDefault="00EC79BD" w:rsidP="00632FCC">
            <w:pPr>
              <w:cnfStyle w:val="000000100000" w:firstRow="0" w:lastRow="0" w:firstColumn="0" w:lastColumn="0" w:oddVBand="0" w:evenVBand="0" w:oddHBand="1" w:evenHBand="0" w:firstRowFirstColumn="0" w:firstRowLastColumn="0" w:lastRowFirstColumn="0" w:lastRowLastColumn="0"/>
              <w:rPr>
                <w:color w:val="191919"/>
                <w:sz w:val="22"/>
                <w:szCs w:val="22"/>
              </w:rPr>
            </w:pPr>
            <w:r w:rsidRPr="0071138D">
              <w:rPr>
                <w:color w:val="191919"/>
                <w:sz w:val="22"/>
                <w:szCs w:val="22"/>
              </w:rPr>
              <w:t>1 gång/vecka</w:t>
            </w:r>
          </w:p>
        </w:tc>
        <w:tc>
          <w:tcPr>
            <w:tcW w:w="2257" w:type="dxa"/>
          </w:tcPr>
          <w:p w14:paraId="0EF242F2" w14:textId="77777777" w:rsidR="00EC79BD" w:rsidRPr="0071138D" w:rsidRDefault="00EC79BD" w:rsidP="00632FCC">
            <w:pPr>
              <w:cnfStyle w:val="000000100000" w:firstRow="0" w:lastRow="0" w:firstColumn="0" w:lastColumn="0" w:oddVBand="0" w:evenVBand="0" w:oddHBand="1" w:evenHBand="0" w:firstRowFirstColumn="0" w:firstRowLastColumn="0" w:lastRowFirstColumn="0" w:lastRowLastColumn="0"/>
              <w:rPr>
                <w:color w:val="191919"/>
                <w:sz w:val="22"/>
                <w:szCs w:val="22"/>
              </w:rPr>
            </w:pPr>
            <w:r w:rsidRPr="0071138D">
              <w:rPr>
                <w:color w:val="191919"/>
                <w:sz w:val="22"/>
                <w:szCs w:val="22"/>
              </w:rPr>
              <w:t>25 stickor</w:t>
            </w:r>
          </w:p>
        </w:tc>
        <w:tc>
          <w:tcPr>
            <w:tcW w:w="2276" w:type="dxa"/>
          </w:tcPr>
          <w:p w14:paraId="7EFEE89F" w14:textId="77777777" w:rsidR="00EC79BD" w:rsidRPr="0071138D" w:rsidRDefault="00EC79BD" w:rsidP="00632FCC">
            <w:pPr>
              <w:cnfStyle w:val="000000100000" w:firstRow="0" w:lastRow="0" w:firstColumn="0" w:lastColumn="0" w:oddVBand="0" w:evenVBand="0" w:oddHBand="1" w:evenHBand="0" w:firstRowFirstColumn="0" w:firstRowLastColumn="0" w:lastRowFirstColumn="0" w:lastRowLastColumn="0"/>
              <w:rPr>
                <w:color w:val="191919"/>
                <w:sz w:val="22"/>
                <w:szCs w:val="22"/>
              </w:rPr>
            </w:pPr>
            <w:r w:rsidRPr="0071138D">
              <w:rPr>
                <w:color w:val="191919"/>
                <w:sz w:val="22"/>
                <w:szCs w:val="22"/>
              </w:rPr>
              <w:t>1 förpackning 2 ggr/år</w:t>
            </w:r>
          </w:p>
        </w:tc>
      </w:tr>
      <w:tr w:rsidR="00EC79BD" w:rsidRPr="0071138D" w14:paraId="15F2E050" w14:textId="77777777" w:rsidTr="00632FCC">
        <w:tc>
          <w:tcPr>
            <w:cnfStyle w:val="001000000000" w:firstRow="0" w:lastRow="0" w:firstColumn="1" w:lastColumn="0" w:oddVBand="0" w:evenVBand="0" w:oddHBand="0" w:evenHBand="0" w:firstRowFirstColumn="0" w:firstRowLastColumn="0" w:lastRowFirstColumn="0" w:lastRowLastColumn="0"/>
            <w:tcW w:w="2265" w:type="dxa"/>
          </w:tcPr>
          <w:p w14:paraId="6BA48341" w14:textId="77777777" w:rsidR="00EC79BD" w:rsidRPr="0071138D" w:rsidRDefault="00EC79BD" w:rsidP="00632FCC">
            <w:pPr>
              <w:rPr>
                <w:color w:val="191919"/>
                <w:sz w:val="22"/>
                <w:szCs w:val="22"/>
              </w:rPr>
            </w:pPr>
          </w:p>
        </w:tc>
        <w:tc>
          <w:tcPr>
            <w:tcW w:w="2274" w:type="dxa"/>
          </w:tcPr>
          <w:p w14:paraId="214C4AB4" w14:textId="77777777" w:rsidR="00EC79BD" w:rsidRPr="0071138D" w:rsidRDefault="00EC79BD" w:rsidP="00632FCC">
            <w:pPr>
              <w:cnfStyle w:val="000000000000" w:firstRow="0" w:lastRow="0" w:firstColumn="0" w:lastColumn="0" w:oddVBand="0" w:evenVBand="0" w:oddHBand="0" w:evenHBand="0" w:firstRowFirstColumn="0" w:firstRowLastColumn="0" w:lastRowFirstColumn="0" w:lastRowLastColumn="0"/>
              <w:rPr>
                <w:color w:val="191919"/>
                <w:sz w:val="22"/>
                <w:szCs w:val="22"/>
              </w:rPr>
            </w:pPr>
            <w:r w:rsidRPr="0071138D">
              <w:rPr>
                <w:color w:val="191919"/>
                <w:sz w:val="22"/>
                <w:szCs w:val="22"/>
              </w:rPr>
              <w:t>2 gånger/vecka</w:t>
            </w:r>
          </w:p>
        </w:tc>
        <w:tc>
          <w:tcPr>
            <w:tcW w:w="2257" w:type="dxa"/>
          </w:tcPr>
          <w:p w14:paraId="06DA990F" w14:textId="77777777" w:rsidR="00EC79BD" w:rsidRPr="0071138D" w:rsidRDefault="00EC79BD" w:rsidP="00632FCC">
            <w:pPr>
              <w:cnfStyle w:val="000000000000" w:firstRow="0" w:lastRow="0" w:firstColumn="0" w:lastColumn="0" w:oddVBand="0" w:evenVBand="0" w:oddHBand="0" w:evenHBand="0" w:firstRowFirstColumn="0" w:firstRowLastColumn="0" w:lastRowFirstColumn="0" w:lastRowLastColumn="0"/>
              <w:rPr>
                <w:color w:val="191919"/>
                <w:sz w:val="22"/>
                <w:szCs w:val="22"/>
              </w:rPr>
            </w:pPr>
            <w:r w:rsidRPr="0071138D">
              <w:rPr>
                <w:color w:val="191919"/>
                <w:sz w:val="22"/>
                <w:szCs w:val="22"/>
              </w:rPr>
              <w:t>25 stickor</w:t>
            </w:r>
          </w:p>
        </w:tc>
        <w:tc>
          <w:tcPr>
            <w:tcW w:w="2276" w:type="dxa"/>
          </w:tcPr>
          <w:p w14:paraId="0B2E9ABC" w14:textId="77777777" w:rsidR="00EC79BD" w:rsidRPr="0071138D" w:rsidRDefault="00EC79BD" w:rsidP="00632FCC">
            <w:pPr>
              <w:cnfStyle w:val="000000000000" w:firstRow="0" w:lastRow="0" w:firstColumn="0" w:lastColumn="0" w:oddVBand="0" w:evenVBand="0" w:oddHBand="0" w:evenHBand="0" w:firstRowFirstColumn="0" w:firstRowLastColumn="0" w:lastRowFirstColumn="0" w:lastRowLastColumn="0"/>
              <w:rPr>
                <w:color w:val="191919"/>
                <w:sz w:val="22"/>
                <w:szCs w:val="22"/>
              </w:rPr>
            </w:pPr>
            <w:r w:rsidRPr="0071138D">
              <w:rPr>
                <w:color w:val="191919"/>
                <w:sz w:val="22"/>
                <w:szCs w:val="22"/>
              </w:rPr>
              <w:t>1 förpackning 4 ggr/år</w:t>
            </w:r>
          </w:p>
        </w:tc>
      </w:tr>
      <w:tr w:rsidR="00EC79BD" w:rsidRPr="0071138D" w14:paraId="39484529"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1941184" w14:textId="77777777" w:rsidR="00EC79BD" w:rsidRPr="0071138D" w:rsidRDefault="00EC79BD" w:rsidP="00632FCC">
            <w:pPr>
              <w:rPr>
                <w:color w:val="191919"/>
                <w:sz w:val="22"/>
                <w:szCs w:val="22"/>
              </w:rPr>
            </w:pPr>
          </w:p>
        </w:tc>
        <w:tc>
          <w:tcPr>
            <w:tcW w:w="2274" w:type="dxa"/>
          </w:tcPr>
          <w:p w14:paraId="4870AE20" w14:textId="77777777" w:rsidR="00EC79BD" w:rsidRPr="0071138D" w:rsidRDefault="00EC79BD" w:rsidP="00632FCC">
            <w:pPr>
              <w:cnfStyle w:val="000000100000" w:firstRow="0" w:lastRow="0" w:firstColumn="0" w:lastColumn="0" w:oddVBand="0" w:evenVBand="0" w:oddHBand="1" w:evenHBand="0" w:firstRowFirstColumn="0" w:firstRowLastColumn="0" w:lastRowFirstColumn="0" w:lastRowLastColumn="0"/>
              <w:rPr>
                <w:color w:val="191919"/>
                <w:sz w:val="22"/>
                <w:szCs w:val="22"/>
              </w:rPr>
            </w:pPr>
            <w:r w:rsidRPr="0071138D">
              <w:rPr>
                <w:color w:val="191919"/>
                <w:sz w:val="22"/>
                <w:szCs w:val="22"/>
              </w:rPr>
              <w:t>4 gånger/vecka</w:t>
            </w:r>
          </w:p>
        </w:tc>
        <w:tc>
          <w:tcPr>
            <w:tcW w:w="2257" w:type="dxa"/>
          </w:tcPr>
          <w:p w14:paraId="25D4CBCE" w14:textId="77777777" w:rsidR="00EC79BD" w:rsidRPr="0071138D" w:rsidRDefault="00EC79BD" w:rsidP="00632FCC">
            <w:pPr>
              <w:cnfStyle w:val="000000100000" w:firstRow="0" w:lastRow="0" w:firstColumn="0" w:lastColumn="0" w:oddVBand="0" w:evenVBand="0" w:oddHBand="1" w:evenHBand="0" w:firstRowFirstColumn="0" w:firstRowLastColumn="0" w:lastRowFirstColumn="0" w:lastRowLastColumn="0"/>
              <w:rPr>
                <w:color w:val="191919"/>
                <w:sz w:val="22"/>
                <w:szCs w:val="22"/>
              </w:rPr>
            </w:pPr>
            <w:r w:rsidRPr="0071138D">
              <w:rPr>
                <w:color w:val="191919"/>
                <w:sz w:val="22"/>
                <w:szCs w:val="22"/>
              </w:rPr>
              <w:t>50 stickor</w:t>
            </w:r>
          </w:p>
        </w:tc>
        <w:tc>
          <w:tcPr>
            <w:tcW w:w="2276" w:type="dxa"/>
          </w:tcPr>
          <w:p w14:paraId="6F9B70EE" w14:textId="77777777" w:rsidR="00EC79BD" w:rsidRPr="0071138D" w:rsidRDefault="00EC79BD" w:rsidP="00632FCC">
            <w:pPr>
              <w:cnfStyle w:val="000000100000" w:firstRow="0" w:lastRow="0" w:firstColumn="0" w:lastColumn="0" w:oddVBand="0" w:evenVBand="0" w:oddHBand="1" w:evenHBand="0" w:firstRowFirstColumn="0" w:firstRowLastColumn="0" w:lastRowFirstColumn="0" w:lastRowLastColumn="0"/>
              <w:rPr>
                <w:color w:val="191919"/>
                <w:sz w:val="22"/>
                <w:szCs w:val="22"/>
              </w:rPr>
            </w:pPr>
            <w:r w:rsidRPr="0071138D">
              <w:rPr>
                <w:color w:val="191919"/>
                <w:sz w:val="22"/>
                <w:szCs w:val="22"/>
              </w:rPr>
              <w:t>1 förpackning 4 ggr/år</w:t>
            </w:r>
          </w:p>
        </w:tc>
      </w:tr>
      <w:tr w:rsidR="00EC79BD" w:rsidRPr="0071138D" w14:paraId="26D3BA3E" w14:textId="77777777" w:rsidTr="00632FCC">
        <w:tc>
          <w:tcPr>
            <w:cnfStyle w:val="001000000000" w:firstRow="0" w:lastRow="0" w:firstColumn="1" w:lastColumn="0" w:oddVBand="0" w:evenVBand="0" w:oddHBand="0" w:evenHBand="0" w:firstRowFirstColumn="0" w:firstRowLastColumn="0" w:lastRowFirstColumn="0" w:lastRowLastColumn="0"/>
            <w:tcW w:w="2265" w:type="dxa"/>
          </w:tcPr>
          <w:p w14:paraId="2492028C" w14:textId="77777777" w:rsidR="00EC79BD" w:rsidRPr="0071138D" w:rsidRDefault="00EC79BD" w:rsidP="00632FCC">
            <w:pPr>
              <w:rPr>
                <w:color w:val="191919"/>
                <w:sz w:val="22"/>
                <w:szCs w:val="22"/>
              </w:rPr>
            </w:pPr>
          </w:p>
        </w:tc>
        <w:tc>
          <w:tcPr>
            <w:tcW w:w="2274" w:type="dxa"/>
          </w:tcPr>
          <w:p w14:paraId="107887BC" w14:textId="77777777" w:rsidR="00EC79BD" w:rsidRPr="0071138D" w:rsidRDefault="00EC79BD" w:rsidP="00632FCC">
            <w:pPr>
              <w:cnfStyle w:val="000000000000" w:firstRow="0" w:lastRow="0" w:firstColumn="0" w:lastColumn="0" w:oddVBand="0" w:evenVBand="0" w:oddHBand="0" w:evenHBand="0" w:firstRowFirstColumn="0" w:firstRowLastColumn="0" w:lastRowFirstColumn="0" w:lastRowLastColumn="0"/>
              <w:rPr>
                <w:color w:val="191919"/>
                <w:sz w:val="22"/>
                <w:szCs w:val="22"/>
              </w:rPr>
            </w:pPr>
            <w:r w:rsidRPr="0071138D">
              <w:rPr>
                <w:color w:val="191919"/>
                <w:sz w:val="22"/>
                <w:szCs w:val="22"/>
              </w:rPr>
              <w:t>1 gång / dag</w:t>
            </w:r>
          </w:p>
        </w:tc>
        <w:tc>
          <w:tcPr>
            <w:tcW w:w="2257" w:type="dxa"/>
          </w:tcPr>
          <w:p w14:paraId="7AFBE6B9" w14:textId="77777777" w:rsidR="00EC79BD" w:rsidRPr="0071138D" w:rsidRDefault="00EC79BD" w:rsidP="00632FCC">
            <w:pPr>
              <w:cnfStyle w:val="000000000000" w:firstRow="0" w:lastRow="0" w:firstColumn="0" w:lastColumn="0" w:oddVBand="0" w:evenVBand="0" w:oddHBand="0" w:evenHBand="0" w:firstRowFirstColumn="0" w:firstRowLastColumn="0" w:lastRowFirstColumn="0" w:lastRowLastColumn="0"/>
              <w:rPr>
                <w:color w:val="191919"/>
                <w:sz w:val="22"/>
                <w:szCs w:val="22"/>
              </w:rPr>
            </w:pPr>
            <w:r w:rsidRPr="0071138D">
              <w:rPr>
                <w:color w:val="191919"/>
                <w:sz w:val="22"/>
                <w:szCs w:val="22"/>
              </w:rPr>
              <w:t>50 stickor</w:t>
            </w:r>
          </w:p>
        </w:tc>
        <w:tc>
          <w:tcPr>
            <w:tcW w:w="2276" w:type="dxa"/>
          </w:tcPr>
          <w:p w14:paraId="2CCF4696" w14:textId="77777777" w:rsidR="00EC79BD" w:rsidRPr="0071138D" w:rsidRDefault="00EC79BD" w:rsidP="00632FCC">
            <w:pPr>
              <w:cnfStyle w:val="000000000000" w:firstRow="0" w:lastRow="0" w:firstColumn="0" w:lastColumn="0" w:oddVBand="0" w:evenVBand="0" w:oddHBand="0" w:evenHBand="0" w:firstRowFirstColumn="0" w:firstRowLastColumn="0" w:lastRowFirstColumn="0" w:lastRowLastColumn="0"/>
              <w:rPr>
                <w:color w:val="191919"/>
                <w:sz w:val="22"/>
                <w:szCs w:val="22"/>
              </w:rPr>
            </w:pPr>
            <w:r w:rsidRPr="0071138D">
              <w:rPr>
                <w:color w:val="191919"/>
                <w:sz w:val="22"/>
                <w:szCs w:val="22"/>
              </w:rPr>
              <w:t>2 förpackningar 4 ggr/år</w:t>
            </w:r>
          </w:p>
        </w:tc>
      </w:tr>
      <w:tr w:rsidR="00EC79BD" w:rsidRPr="0071138D" w14:paraId="71BF0FCC" w14:textId="77777777" w:rsidTr="00632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39C9685" w14:textId="77777777" w:rsidR="00EC79BD" w:rsidRPr="0071138D" w:rsidRDefault="00EC79BD" w:rsidP="00632FCC">
            <w:pPr>
              <w:rPr>
                <w:color w:val="191919"/>
                <w:sz w:val="22"/>
                <w:szCs w:val="22"/>
              </w:rPr>
            </w:pPr>
          </w:p>
        </w:tc>
        <w:tc>
          <w:tcPr>
            <w:tcW w:w="2274" w:type="dxa"/>
          </w:tcPr>
          <w:p w14:paraId="4947366C" w14:textId="77777777" w:rsidR="00EC79BD" w:rsidRPr="0071138D" w:rsidRDefault="00EC79BD" w:rsidP="00632FCC">
            <w:pPr>
              <w:cnfStyle w:val="000000100000" w:firstRow="0" w:lastRow="0" w:firstColumn="0" w:lastColumn="0" w:oddVBand="0" w:evenVBand="0" w:oddHBand="1" w:evenHBand="0" w:firstRowFirstColumn="0" w:firstRowLastColumn="0" w:lastRowFirstColumn="0" w:lastRowLastColumn="0"/>
              <w:rPr>
                <w:color w:val="191919"/>
                <w:sz w:val="22"/>
                <w:szCs w:val="22"/>
              </w:rPr>
            </w:pPr>
            <w:r w:rsidRPr="0071138D">
              <w:rPr>
                <w:color w:val="191919"/>
                <w:sz w:val="22"/>
                <w:szCs w:val="22"/>
              </w:rPr>
              <w:t>5 gånger /dag</w:t>
            </w:r>
          </w:p>
        </w:tc>
        <w:tc>
          <w:tcPr>
            <w:tcW w:w="2257" w:type="dxa"/>
          </w:tcPr>
          <w:p w14:paraId="4BFF995C" w14:textId="77777777" w:rsidR="00EC79BD" w:rsidRPr="0071138D" w:rsidRDefault="00EC79BD" w:rsidP="00632FCC">
            <w:pPr>
              <w:cnfStyle w:val="000000100000" w:firstRow="0" w:lastRow="0" w:firstColumn="0" w:lastColumn="0" w:oddVBand="0" w:evenVBand="0" w:oddHBand="1" w:evenHBand="0" w:firstRowFirstColumn="0" w:firstRowLastColumn="0" w:lastRowFirstColumn="0" w:lastRowLastColumn="0"/>
              <w:rPr>
                <w:color w:val="191919"/>
                <w:sz w:val="22"/>
                <w:szCs w:val="22"/>
              </w:rPr>
            </w:pPr>
            <w:r w:rsidRPr="0071138D">
              <w:rPr>
                <w:color w:val="191919"/>
                <w:sz w:val="22"/>
                <w:szCs w:val="22"/>
              </w:rPr>
              <w:t>50 stickor</w:t>
            </w:r>
          </w:p>
        </w:tc>
        <w:tc>
          <w:tcPr>
            <w:tcW w:w="2276" w:type="dxa"/>
          </w:tcPr>
          <w:p w14:paraId="27AB4D3E" w14:textId="77777777" w:rsidR="00EC79BD" w:rsidRPr="0071138D" w:rsidRDefault="00EC79BD" w:rsidP="00632FCC">
            <w:pPr>
              <w:cnfStyle w:val="000000100000" w:firstRow="0" w:lastRow="0" w:firstColumn="0" w:lastColumn="0" w:oddVBand="0" w:evenVBand="0" w:oddHBand="1" w:evenHBand="0" w:firstRowFirstColumn="0" w:firstRowLastColumn="0" w:lastRowFirstColumn="0" w:lastRowLastColumn="0"/>
              <w:rPr>
                <w:color w:val="191919"/>
                <w:sz w:val="22"/>
                <w:szCs w:val="22"/>
              </w:rPr>
            </w:pPr>
            <w:r w:rsidRPr="0071138D">
              <w:rPr>
                <w:color w:val="191919"/>
                <w:sz w:val="22"/>
                <w:szCs w:val="22"/>
              </w:rPr>
              <w:t>9 förpackningar 4 ggr/år</w:t>
            </w:r>
          </w:p>
        </w:tc>
      </w:tr>
    </w:tbl>
    <w:p w14:paraId="49CE01DD" w14:textId="77777777" w:rsidR="00EC79BD" w:rsidRPr="00FB267F" w:rsidRDefault="00EC79BD" w:rsidP="00EC79BD">
      <w:pPr>
        <w:pStyle w:val="Rubrik3"/>
      </w:pPr>
      <w:r w:rsidRPr="00FB267F">
        <w:rPr>
          <w:rStyle w:val="Stark"/>
          <w:b/>
        </w:rPr>
        <w:lastRenderedPageBreak/>
        <w:t xml:space="preserve">Mätning av blodketoner </w:t>
      </w:r>
    </w:p>
    <w:bookmarkEnd w:id="74"/>
    <w:p w14:paraId="7F2A65C1" w14:textId="77777777" w:rsidR="00EC79BD" w:rsidRPr="00A27364" w:rsidRDefault="00EC79BD" w:rsidP="00EC79BD">
      <w:pPr>
        <w:rPr>
          <w:sz w:val="24"/>
          <w:szCs w:val="24"/>
        </w:rPr>
      </w:pPr>
      <w:r w:rsidRPr="00A27364">
        <w:rPr>
          <w:sz w:val="24"/>
          <w:szCs w:val="24"/>
        </w:rPr>
        <w:t xml:space="preserve">Speciell mätare med tillhörande stickor för mätning av blodketoner finns. Vid insulinpumpsbehandling ska ketoner mätas på vida indikationer även om blodglukos inte är högt. Akut sjukdom vid insulinpumpsbehandling – misstänk alltid ketoacidos tills motsatsen är bevisad. Alla patienter som har insulinpumpsbehandling ska undervisas kring ketonmätning och utrustas med mätare och tillhörande mätstickor. Typ 1 diabetes med hög risk för diabetesketoacidos, patienter med tidigare ketoacidos (alltså även vid typ 2 diabetes) och vid graviditet är andra patientgrupper som bör ha utrustning för mätning av blodketoner. Mätare för blodketonmätning bör finnas att tillgå på alla vårdcentraler. Frikostig mätning vid debut av diabetes med hög blodglukos, buksmärtor, illamående (misstanke om diabetes) eller oklara buksmärtor hos person med känd diabetes! </w:t>
      </w:r>
      <w:r>
        <w:rPr>
          <w:sz w:val="24"/>
          <w:szCs w:val="24"/>
        </w:rPr>
        <w:br/>
      </w:r>
      <w:r w:rsidRPr="00A27364">
        <w:rPr>
          <w:sz w:val="24"/>
          <w:szCs w:val="24"/>
        </w:rPr>
        <w:t>Beakta möjlighet till normoglykem ketoacidos, ex. vid behandling med SGLT 2-hämmare.</w:t>
      </w:r>
    </w:p>
    <w:p w14:paraId="188EA197" w14:textId="77777777" w:rsidR="00EC79BD" w:rsidRPr="0067095C" w:rsidRDefault="00EC79BD" w:rsidP="00EC79BD">
      <w:pPr>
        <w:pStyle w:val="Rubrik3"/>
      </w:pPr>
      <w:r w:rsidRPr="0067095C">
        <w:rPr>
          <w:rStyle w:val="Stark"/>
          <w:b/>
        </w:rPr>
        <w:t>FGM/CGM</w:t>
      </w:r>
    </w:p>
    <w:p w14:paraId="32D9D6BA" w14:textId="77777777" w:rsidR="00EC79BD" w:rsidRPr="00F91B81" w:rsidRDefault="00EC79BD" w:rsidP="00EC79BD">
      <w:pPr>
        <w:rPr>
          <w:color w:val="0070C0"/>
          <w:sz w:val="24"/>
          <w:szCs w:val="24"/>
        </w:rPr>
      </w:pPr>
      <w:r w:rsidRPr="00A27364">
        <w:rPr>
          <w:sz w:val="24"/>
          <w:szCs w:val="24"/>
        </w:rPr>
        <w:t xml:space="preserve">Enligt Nationella riktlinjer för diabetesvård </w:t>
      </w:r>
      <w:r w:rsidRPr="00A27364">
        <w:rPr>
          <w:i/>
          <w:iCs/>
          <w:sz w:val="24"/>
          <w:szCs w:val="24"/>
        </w:rPr>
        <w:t>kan</w:t>
      </w:r>
      <w:r w:rsidRPr="00A27364">
        <w:rPr>
          <w:sz w:val="24"/>
          <w:szCs w:val="24"/>
        </w:rPr>
        <w:t xml:space="preserve"> Hälso- och sjukvården erbjuda </w:t>
      </w:r>
      <w:r w:rsidRPr="00A27364">
        <w:rPr>
          <w:sz w:val="24"/>
          <w:szCs w:val="24"/>
        </w:rPr>
        <w:br/>
      </w:r>
      <w:r w:rsidRPr="00C0216E">
        <w:rPr>
          <w:bCs/>
          <w:sz w:val="24"/>
          <w:szCs w:val="24"/>
        </w:rPr>
        <w:t>kontinuerlig</w:t>
      </w:r>
      <w:r w:rsidRPr="00A27364">
        <w:rPr>
          <w:sz w:val="24"/>
          <w:szCs w:val="24"/>
        </w:rPr>
        <w:t xml:space="preserve"> subkutan glukosmätning med intermittent avläsning (FGM) till personer med </w:t>
      </w:r>
      <w:r>
        <w:rPr>
          <w:sz w:val="24"/>
          <w:szCs w:val="24"/>
        </w:rPr>
        <w:br/>
      </w:r>
      <w:r w:rsidRPr="00A27364">
        <w:rPr>
          <w:sz w:val="24"/>
          <w:szCs w:val="24"/>
        </w:rPr>
        <w:t xml:space="preserve">typ 2 diabetes som behandlas med måltids- och basinsulin samt har problem med återkommande hyper- eller hypoglykemi. </w:t>
      </w:r>
      <w:r w:rsidRPr="00CF1A08">
        <w:rPr>
          <w:rFonts w:asciiTheme="minorHAnsi" w:hAnsiTheme="minorHAnsi"/>
          <w:sz w:val="24"/>
          <w:szCs w:val="24"/>
          <w14:numForm w14:val="lining"/>
        </w:rPr>
        <w:t>Riktlinjer för ordination av Freestyle Libre för typ 2 diabetes i primärvården finns på intranätet</w:t>
      </w:r>
      <w:r>
        <w:rPr>
          <w:rFonts w:asciiTheme="minorHAnsi" w:hAnsiTheme="minorHAnsi"/>
          <w:sz w:val="24"/>
          <w:szCs w:val="24"/>
          <w14:numForm w14:val="lining"/>
        </w:rPr>
        <w:t xml:space="preserve">, se länk </w:t>
      </w:r>
      <w:hyperlink r:id="rId56" w:history="1">
        <w:r w:rsidRPr="00F91B81">
          <w:rPr>
            <w:rStyle w:val="Hyperlnk"/>
            <w:rFonts w:asciiTheme="minorHAnsi" w:hAnsiTheme="minorHAnsi"/>
            <w:color w:val="0070C0"/>
            <w:sz w:val="24"/>
            <w:szCs w:val="24"/>
          </w:rPr>
          <w:t>Rutin och kriterier för användning av Freestyle Libre hos personer med diabetes typ 2 i primärvården</w:t>
        </w:r>
        <w:r w:rsidRPr="00F91B81">
          <w:rPr>
            <w:rStyle w:val="Hyperlnk"/>
            <w:rFonts w:asciiTheme="minorHAnsi" w:hAnsiTheme="minorHAnsi"/>
            <w:color w:val="0070C0"/>
            <w:sz w:val="24"/>
            <w:szCs w:val="24"/>
            <w14:numForm w14:val="lining"/>
          </w:rPr>
          <w:t>.</w:t>
        </w:r>
      </w:hyperlink>
      <w:r w:rsidRPr="00F91B81">
        <w:rPr>
          <w:rFonts w:asciiTheme="minorHAnsi" w:hAnsiTheme="minorHAnsi"/>
          <w:color w:val="0070C0"/>
          <w:sz w:val="24"/>
          <w:szCs w:val="24"/>
          <w14:numForm w14:val="lining"/>
        </w:rPr>
        <w:t xml:space="preserve"> </w:t>
      </w:r>
    </w:p>
    <w:p w14:paraId="6A0F723D" w14:textId="77777777" w:rsidR="00EC79BD" w:rsidRPr="00A27364" w:rsidRDefault="00EC79BD" w:rsidP="00EC79BD">
      <w:pPr>
        <w:rPr>
          <w:sz w:val="24"/>
          <w:szCs w:val="24"/>
        </w:rPr>
      </w:pPr>
      <w:r w:rsidRPr="00A27364">
        <w:rPr>
          <w:sz w:val="24"/>
          <w:szCs w:val="24"/>
        </w:rPr>
        <w:t xml:space="preserve">Hälso- och sjukvården </w:t>
      </w:r>
      <w:r w:rsidRPr="00A27364">
        <w:rPr>
          <w:i/>
          <w:iCs/>
          <w:sz w:val="24"/>
          <w:szCs w:val="24"/>
        </w:rPr>
        <w:t>kan i undantagsfall</w:t>
      </w:r>
      <w:r w:rsidRPr="00A27364">
        <w:rPr>
          <w:sz w:val="24"/>
          <w:szCs w:val="24"/>
        </w:rPr>
        <w:t xml:space="preserve"> erbjuda subkutan glukosmätning med direktavläsning (realtids-CGM) till personer med typ 2 diabetes som behandlas med måltids- och basinsulin samt har problem med återkommande hyper- eller hypoglykemi.</w:t>
      </w:r>
      <w:r>
        <w:rPr>
          <w:sz w:val="24"/>
          <w:szCs w:val="24"/>
        </w:rPr>
        <w:t xml:space="preserve"> </w:t>
      </w:r>
      <w:r>
        <w:rPr>
          <w:sz w:val="24"/>
          <w:szCs w:val="24"/>
        </w:rPr>
        <w:br/>
      </w:r>
      <w:r w:rsidRPr="00A27364">
        <w:rPr>
          <w:sz w:val="24"/>
          <w:szCs w:val="24"/>
        </w:rPr>
        <w:t xml:space="preserve">Vid start med FGM / realtids-CGM bör information ges kring hur systemet fungerar och hur det ska användas för att de mål som eftersträvas kan uppnås i så hög grad som möjligt. </w:t>
      </w:r>
      <w:r>
        <w:rPr>
          <w:sz w:val="24"/>
          <w:szCs w:val="24"/>
        </w:rPr>
        <w:br/>
      </w:r>
      <w:r w:rsidRPr="00A27364">
        <w:rPr>
          <w:sz w:val="24"/>
          <w:szCs w:val="24"/>
        </w:rPr>
        <w:t>Riktlinjer kring mål och användning av systemet ska på ett tydligt sätt klargöras för den enskilde patienten.</w:t>
      </w:r>
      <w:r>
        <w:rPr>
          <w:sz w:val="24"/>
          <w:szCs w:val="24"/>
        </w:rPr>
        <w:t xml:space="preserve"> </w:t>
      </w:r>
    </w:p>
    <w:p w14:paraId="6D9E71BD" w14:textId="77777777" w:rsidR="00EC79BD" w:rsidRPr="00FB267F" w:rsidRDefault="00EC79BD" w:rsidP="00EC79BD">
      <w:pPr>
        <w:pStyle w:val="Rubrik3"/>
      </w:pPr>
      <w:r w:rsidRPr="00FB267F">
        <w:rPr>
          <w:rStyle w:val="Stark"/>
          <w:b/>
        </w:rPr>
        <w:t>Injektionsteknik</w:t>
      </w:r>
    </w:p>
    <w:p w14:paraId="727E48DB" w14:textId="77777777" w:rsidR="00EC79BD" w:rsidRPr="00A27364" w:rsidRDefault="00EC79BD" w:rsidP="00EC79BD">
      <w:pPr>
        <w:rPr>
          <w:sz w:val="24"/>
          <w:szCs w:val="24"/>
        </w:rPr>
      </w:pPr>
      <w:r w:rsidRPr="00A27364">
        <w:rPr>
          <w:sz w:val="24"/>
          <w:szCs w:val="24"/>
        </w:rPr>
        <w:t>Insulin ska injiceras sub</w:t>
      </w:r>
      <w:r>
        <w:rPr>
          <w:sz w:val="24"/>
          <w:szCs w:val="24"/>
        </w:rPr>
        <w:t>c</w:t>
      </w:r>
      <w:r w:rsidRPr="00A27364">
        <w:rPr>
          <w:sz w:val="24"/>
          <w:szCs w:val="24"/>
        </w:rPr>
        <w:t>utant. Engångskanyler med längd 4-5 mm anses tillräckliga. Vid injektion av insulinanaloger är absorptionen samma oberoende var insulinet ges. Vid injektion av NPH-insulin är upptaget snabbast i magen och långsammast i låret/skinkan. För att insulinabsorptionen ska vara så lik som möjligt dag för dag rekommenderas följande injektionsområden:</w:t>
      </w:r>
    </w:p>
    <w:p w14:paraId="71BDFAA8" w14:textId="77777777" w:rsidR="00EC79BD" w:rsidRPr="00A27364" w:rsidRDefault="00EC79BD" w:rsidP="00EC79BD">
      <w:pPr>
        <w:pStyle w:val="Liststycke"/>
        <w:numPr>
          <w:ilvl w:val="0"/>
          <w:numId w:val="59"/>
        </w:numPr>
        <w:rPr>
          <w:sz w:val="24"/>
          <w:szCs w:val="24"/>
        </w:rPr>
      </w:pPr>
      <w:r w:rsidRPr="00A27364">
        <w:rPr>
          <w:sz w:val="24"/>
          <w:szCs w:val="24"/>
        </w:rPr>
        <w:t>Snabb- och långverkande insulinanaloger: mage, skinka, lår</w:t>
      </w:r>
    </w:p>
    <w:p w14:paraId="2045FE09" w14:textId="77777777" w:rsidR="00EC79BD" w:rsidRPr="00A27364" w:rsidRDefault="00EC79BD" w:rsidP="00EC79BD">
      <w:pPr>
        <w:pStyle w:val="Liststycke"/>
        <w:numPr>
          <w:ilvl w:val="0"/>
          <w:numId w:val="59"/>
        </w:numPr>
        <w:rPr>
          <w:sz w:val="24"/>
          <w:szCs w:val="24"/>
        </w:rPr>
      </w:pPr>
      <w:r w:rsidRPr="00A27364">
        <w:rPr>
          <w:sz w:val="24"/>
          <w:szCs w:val="24"/>
        </w:rPr>
        <w:t>Medellångverkande/långverkande: skinka, lår</w:t>
      </w:r>
    </w:p>
    <w:p w14:paraId="382F749D" w14:textId="77777777" w:rsidR="00EC79BD" w:rsidRPr="00A27364" w:rsidRDefault="00EC79BD" w:rsidP="00EC79BD">
      <w:pPr>
        <w:pStyle w:val="Liststycke"/>
        <w:numPr>
          <w:ilvl w:val="0"/>
          <w:numId w:val="59"/>
        </w:numPr>
        <w:rPr>
          <w:sz w:val="24"/>
          <w:szCs w:val="24"/>
        </w:rPr>
      </w:pPr>
      <w:r w:rsidRPr="00A27364">
        <w:rPr>
          <w:sz w:val="24"/>
          <w:szCs w:val="24"/>
        </w:rPr>
        <w:t>Mixinsulin: mage på morgonen, låret/skinka på kvällen</w:t>
      </w:r>
    </w:p>
    <w:p w14:paraId="0F99809B" w14:textId="77777777" w:rsidR="00EC79BD" w:rsidRPr="00A27364" w:rsidRDefault="00EC79BD" w:rsidP="00EC79BD">
      <w:pPr>
        <w:rPr>
          <w:sz w:val="24"/>
          <w:szCs w:val="24"/>
        </w:rPr>
      </w:pPr>
      <w:r w:rsidRPr="00A27364">
        <w:rPr>
          <w:sz w:val="24"/>
          <w:szCs w:val="24"/>
        </w:rPr>
        <w:t>Vid stora insulindoser (över 40 E) bör man ge halva dosen först och sedan ställa in resterande dos och injicera på nytt.</w:t>
      </w:r>
    </w:p>
    <w:p w14:paraId="0EE77E6C" w14:textId="77777777" w:rsidR="00EC79BD" w:rsidRPr="00CF2B7D" w:rsidRDefault="00EC79BD" w:rsidP="00EC79BD">
      <w:pPr>
        <w:pStyle w:val="Rubrik3"/>
        <w:rPr>
          <w:lang w:val="en-US"/>
        </w:rPr>
      </w:pPr>
      <w:bookmarkStart w:id="76" w:name="_Hlk130301018"/>
      <w:r w:rsidRPr="00CF2B7D">
        <w:rPr>
          <w:lang w:val="en-US"/>
        </w:rPr>
        <w:t>Referenser</w:t>
      </w:r>
    </w:p>
    <w:bookmarkEnd w:id="76"/>
    <w:p w14:paraId="61E9ACFB" w14:textId="77777777" w:rsidR="00EC79BD" w:rsidRPr="00B7367B" w:rsidRDefault="00EC79BD" w:rsidP="00EC79BD">
      <w:pPr>
        <w:pStyle w:val="Normal7"/>
        <w:rPr>
          <w:rFonts w:asciiTheme="minorHAnsi" w:hAnsiTheme="minorHAnsi"/>
          <w:lang w:val="en-US"/>
        </w:rPr>
      </w:pPr>
      <w:r w:rsidRPr="00B7367B">
        <w:rPr>
          <w:rFonts w:asciiTheme="minorHAnsi" w:hAnsiTheme="minorHAnsi"/>
          <w:lang w:val="en-US"/>
        </w:rPr>
        <w:t xml:space="preserve">Frid, A. et. al. New insulin delivery recommendations. </w:t>
      </w:r>
      <w:r w:rsidRPr="00B7367B">
        <w:rPr>
          <w:rStyle w:val="Betoning"/>
          <w:rFonts w:asciiTheme="minorHAnsi" w:hAnsiTheme="minorHAnsi"/>
          <w:lang w:val="en-US"/>
        </w:rPr>
        <w:t>Mayo Clinic Proceedings</w:t>
      </w:r>
      <w:r w:rsidRPr="00B7367B">
        <w:rPr>
          <w:rFonts w:asciiTheme="minorHAnsi" w:hAnsiTheme="minorHAnsi"/>
          <w:lang w:val="en-US"/>
        </w:rPr>
        <w:t>. 2016;91(9):1231-1255</w:t>
      </w:r>
    </w:p>
    <w:p w14:paraId="5C9DF86B" w14:textId="77777777" w:rsidR="00EC79BD" w:rsidRPr="00B7367B" w:rsidRDefault="00EC79BD" w:rsidP="00EC79BD">
      <w:pPr>
        <w:pStyle w:val="Normal7"/>
        <w:rPr>
          <w:rFonts w:asciiTheme="minorHAnsi" w:hAnsiTheme="minorHAnsi"/>
        </w:rPr>
      </w:pPr>
      <w:hyperlink r:id="rId57" w:history="1">
        <w:r w:rsidRPr="00B7367B">
          <w:rPr>
            <w:rStyle w:val="Hyperlnk"/>
            <w:rFonts w:asciiTheme="minorHAnsi" w:hAnsiTheme="minorHAnsi"/>
          </w:rPr>
          <w:t>Nationella riktlinjer fördiabetesvård - Stöd för styrning och ledning (socialstyrelsen.se)</w:t>
        </w:r>
      </w:hyperlink>
    </w:p>
    <w:p w14:paraId="334FF58B" w14:textId="77777777" w:rsidR="00EC79BD" w:rsidRPr="00B7367B" w:rsidRDefault="00EC79BD" w:rsidP="00EC79BD">
      <w:pPr>
        <w:pStyle w:val="Normal7"/>
        <w:rPr>
          <w:rFonts w:asciiTheme="minorHAnsi" w:hAnsiTheme="minorHAnsi"/>
        </w:rPr>
      </w:pPr>
      <w:hyperlink r:id="rId58">
        <w:r w:rsidRPr="00B7367B">
          <w:rPr>
            <w:rStyle w:val="Hyperlnk"/>
            <w:rFonts w:asciiTheme="minorHAnsi" w:hAnsiTheme="minorHAnsi"/>
          </w:rPr>
          <w:t>www.socialstyrelsen.se/globalassets/sharepoint-dokument/artikelkatalog/nationella-riktlinjer/2018-10-25.pdf</w:t>
        </w:r>
      </w:hyperlink>
      <w:r w:rsidRPr="00B7367B">
        <w:rPr>
          <w:rFonts w:asciiTheme="minorHAnsi" w:hAnsiTheme="minorHAnsi"/>
        </w:rPr>
        <w:t>  </w:t>
      </w:r>
    </w:p>
    <w:p w14:paraId="1D8B92B7" w14:textId="77777777" w:rsidR="00EC79BD" w:rsidRPr="00B7367B" w:rsidRDefault="00EC79BD" w:rsidP="00EC79BD">
      <w:pPr>
        <w:pStyle w:val="Normal7"/>
        <w:rPr>
          <w:rFonts w:asciiTheme="minorHAnsi" w:hAnsiTheme="minorHAnsi"/>
        </w:rPr>
      </w:pPr>
      <w:hyperlink r:id="rId59">
        <w:r w:rsidRPr="00B7367B">
          <w:rPr>
            <w:rStyle w:val="Hyperlnk"/>
            <w:rFonts w:asciiTheme="minorHAnsi" w:hAnsiTheme="minorHAnsi"/>
            <w:color w:val="0000FF"/>
          </w:rPr>
          <w:t>Regional medicinsk riktlinje Läkemedel Diabetes Typ 2 (vgregion.se)</w:t>
        </w:r>
      </w:hyperlink>
      <w:r w:rsidRPr="00B7367B">
        <w:rPr>
          <w:rFonts w:asciiTheme="minorHAnsi" w:hAnsiTheme="minorHAnsi"/>
        </w:rPr>
        <w:t>  Fastställd mars 2023. Giltig t.o.m mars 2025</w:t>
      </w:r>
    </w:p>
    <w:p w14:paraId="0E883952" w14:textId="77777777" w:rsidR="00EC79BD" w:rsidRPr="00B7367B" w:rsidRDefault="00EC79BD" w:rsidP="00EC79BD">
      <w:pPr>
        <w:pStyle w:val="Normal7"/>
        <w:rPr>
          <w:rFonts w:asciiTheme="minorHAnsi" w:hAnsiTheme="minorHAnsi"/>
          <w:color w:val="FF0000"/>
        </w:rPr>
      </w:pPr>
      <w:hyperlink r:id="rId60" w:history="1">
        <w:r w:rsidRPr="00B7367B">
          <w:rPr>
            <w:rStyle w:val="Hyperlnk"/>
            <w:rFonts w:asciiTheme="minorHAnsi" w:hAnsiTheme="minorHAnsi" w:cs="Calibri"/>
            <w:color w:val="0000FF"/>
            <w:lang w:eastAsia="en-US"/>
          </w:rPr>
          <w:t>Typ 2-diabetes - Vårdgivare Skåne (skane.se)</w:t>
        </w:r>
      </w:hyperlink>
    </w:p>
    <w:p w14:paraId="1B0BB32B" w14:textId="77777777" w:rsidR="00EC79BD" w:rsidRPr="00B7367B" w:rsidRDefault="00EC79BD" w:rsidP="00EC79BD">
      <w:pPr>
        <w:pStyle w:val="Normal7"/>
        <w:rPr>
          <w:rFonts w:asciiTheme="minorHAnsi" w:hAnsiTheme="minorHAnsi"/>
        </w:rPr>
      </w:pPr>
      <w:hyperlink r:id="rId61" w:history="1">
        <w:r w:rsidRPr="00B7367B">
          <w:rPr>
            <w:rStyle w:val="Hyperlnk"/>
            <w:rFonts w:asciiTheme="minorHAnsi" w:hAnsiTheme="minorHAnsi"/>
          </w:rPr>
          <w:t>https://vardgivare.skane.se/siteassets/1.-vardriktlinjer/lakemedel/riktlinjer/skanelistan/bakgrundsmaterial.pdf</w:t>
        </w:r>
      </w:hyperlink>
    </w:p>
    <w:p w14:paraId="2AE52AD3" w14:textId="77777777" w:rsidR="00EC79BD" w:rsidRPr="00B7367B" w:rsidRDefault="00EC79BD" w:rsidP="00EC79BD">
      <w:pPr>
        <w:pStyle w:val="Normal6"/>
        <w:rPr>
          <w:rFonts w:asciiTheme="minorHAnsi" w:eastAsiaTheme="minorHAnsi" w:hAnsiTheme="minorHAnsi" w:cstheme="minorBidi"/>
          <w:lang w:eastAsia="en-US"/>
        </w:rPr>
      </w:pPr>
      <w:hyperlink r:id="rId62" w:history="1">
        <w:r w:rsidRPr="00B7367B">
          <w:rPr>
            <w:rFonts w:asciiTheme="minorHAnsi" w:eastAsiaTheme="minorHAnsi" w:hAnsiTheme="minorHAnsi" w:cstheme="minorBidi"/>
            <w:lang w:eastAsia="en-US"/>
          </w:rPr>
          <w:t>ISO-standard och mätnoggrannhet (ascensia.se)</w:t>
        </w:r>
      </w:hyperlink>
      <w:r w:rsidRPr="00B7367B">
        <w:rPr>
          <w:rFonts w:asciiTheme="minorHAnsi" w:eastAsiaTheme="minorHAnsi" w:hAnsiTheme="minorHAnsi" w:cstheme="minorBidi"/>
          <w:lang w:eastAsia="en-US"/>
        </w:rPr>
        <w:t xml:space="preserve"> </w:t>
      </w:r>
      <w:hyperlink r:id="rId63" w:history="1">
        <w:r w:rsidRPr="00B7367B">
          <w:rPr>
            <w:rStyle w:val="Hyperlnk"/>
            <w:rFonts w:asciiTheme="minorHAnsi" w:eastAsiaTheme="minorHAnsi" w:hAnsiTheme="minorHAnsi" w:cstheme="minorBidi"/>
            <w:lang w:eastAsia="en-US"/>
          </w:rPr>
          <w:t>www.diabetes.ascensia.se/sjukvardspersonal/ny-iso-standard</w:t>
        </w:r>
      </w:hyperlink>
      <w:r w:rsidRPr="00B7367B">
        <w:rPr>
          <w:rFonts w:asciiTheme="minorHAnsi" w:eastAsiaTheme="minorHAnsi" w:hAnsiTheme="minorHAnsi" w:cstheme="minorBidi"/>
          <w:lang w:eastAsia="en-US"/>
        </w:rPr>
        <w:t xml:space="preserve"> </w:t>
      </w:r>
    </w:p>
    <w:p w14:paraId="34A8AEF4" w14:textId="77777777" w:rsidR="00EC79BD" w:rsidRPr="00B7367B" w:rsidRDefault="00EC79BD" w:rsidP="00EC79BD">
      <w:pPr>
        <w:pStyle w:val="Normal6"/>
        <w:rPr>
          <w:rFonts w:asciiTheme="minorHAnsi" w:eastAsiaTheme="minorHAnsi" w:hAnsiTheme="minorHAnsi" w:cstheme="minorBidi"/>
          <w:lang w:eastAsia="en-US"/>
        </w:rPr>
      </w:pPr>
      <w:hyperlink r:id="rId64" w:history="1">
        <w:r w:rsidRPr="00B7367B">
          <w:rPr>
            <w:rFonts w:asciiTheme="minorHAnsi" w:eastAsiaTheme="minorHAnsi" w:hAnsiTheme="minorHAnsi" w:cstheme="minorBidi"/>
            <w:lang w:eastAsia="en-US"/>
          </w:rPr>
          <w:t>Equalis | SKUP</w:t>
        </w:r>
      </w:hyperlink>
    </w:p>
    <w:p w14:paraId="464C995D" w14:textId="77777777" w:rsidR="00EC79BD" w:rsidRPr="00B7367B" w:rsidRDefault="00EC79BD" w:rsidP="00EC79BD">
      <w:pPr>
        <w:pStyle w:val="Normal6"/>
        <w:rPr>
          <w:rFonts w:asciiTheme="minorHAnsi" w:eastAsiaTheme="minorEastAsia" w:hAnsiTheme="minorHAnsi" w:cstheme="minorBidi"/>
          <w:lang w:eastAsia="en-US"/>
        </w:rPr>
      </w:pPr>
      <w:hyperlink r:id="rId65">
        <w:r w:rsidRPr="00B7367B">
          <w:rPr>
            <w:rStyle w:val="Hyperlnk"/>
            <w:rFonts w:asciiTheme="minorHAnsi" w:eastAsiaTheme="minorEastAsia" w:hAnsiTheme="minorHAnsi" w:cstheme="minorBidi"/>
            <w:lang w:eastAsia="en-US"/>
          </w:rPr>
          <w:t>www.equalis.se/sv</w:t>
        </w:r>
      </w:hyperlink>
      <w:r w:rsidRPr="00B7367B">
        <w:rPr>
          <w:rFonts w:asciiTheme="minorHAnsi" w:eastAsiaTheme="minorEastAsia" w:hAnsiTheme="minorHAnsi" w:cstheme="minorBidi"/>
          <w:lang w:eastAsia="en-US"/>
        </w:rPr>
        <w:t xml:space="preserve"> (hämtad 211001)</w:t>
      </w:r>
    </w:p>
    <w:p w14:paraId="03A44CA5" w14:textId="77777777" w:rsidR="00EC79BD" w:rsidRPr="00B7367B" w:rsidRDefault="00EC79BD" w:rsidP="00EC79BD">
      <w:pPr>
        <w:pStyle w:val="Normal6"/>
        <w:rPr>
          <w:rFonts w:asciiTheme="minorHAnsi" w:eastAsiaTheme="minorHAnsi" w:hAnsiTheme="minorHAnsi" w:cstheme="minorBidi"/>
          <w:lang w:eastAsia="en-US"/>
        </w:rPr>
      </w:pPr>
      <w:hyperlink r:id="rId66" w:history="1">
        <w:r w:rsidRPr="00B7367B">
          <w:rPr>
            <w:rFonts w:asciiTheme="minorHAnsi" w:eastAsiaTheme="minorHAnsi" w:hAnsiTheme="minorHAnsi" w:cstheme="minorBidi"/>
            <w:lang w:eastAsia="en-US"/>
          </w:rPr>
          <w:t>SKUP</w:t>
        </w:r>
      </w:hyperlink>
    </w:p>
    <w:p w14:paraId="511D10D6" w14:textId="77777777" w:rsidR="00EC79BD" w:rsidRPr="00CF2B7D" w:rsidRDefault="00EC79BD" w:rsidP="00EC79BD">
      <w:pPr>
        <w:pStyle w:val="Normal6"/>
        <w:rPr>
          <w:rFonts w:asciiTheme="minorHAnsi" w:eastAsiaTheme="minorEastAsia" w:hAnsiTheme="minorHAnsi" w:cstheme="minorBidi"/>
          <w:lang w:eastAsia="en-US"/>
        </w:rPr>
      </w:pPr>
      <w:hyperlink r:id="rId67">
        <w:r w:rsidRPr="00B7367B">
          <w:rPr>
            <w:rStyle w:val="Hyperlnk"/>
            <w:rFonts w:asciiTheme="minorHAnsi" w:eastAsiaTheme="minorEastAsia" w:hAnsiTheme="minorHAnsi" w:cstheme="minorBidi"/>
            <w:lang w:eastAsia="en-US"/>
          </w:rPr>
          <w:t>www.skup.org</w:t>
        </w:r>
      </w:hyperlink>
      <w:r w:rsidRPr="00B7367B">
        <w:rPr>
          <w:rFonts w:asciiTheme="minorHAnsi" w:eastAsiaTheme="minorEastAsia" w:hAnsiTheme="minorHAnsi" w:cstheme="minorBidi"/>
          <w:lang w:eastAsia="en-US"/>
        </w:rPr>
        <w:t xml:space="preserve"> (hämtad 211001)</w:t>
      </w:r>
    </w:p>
    <w:p w14:paraId="631BB2BD" w14:textId="77777777" w:rsidR="00EC79BD" w:rsidRDefault="00EC79BD" w:rsidP="00EC79BD">
      <w:pPr>
        <w:tabs>
          <w:tab w:val="clear" w:pos="284"/>
        </w:tabs>
        <w:spacing w:after="120" w:line="260" w:lineRule="atLeast"/>
      </w:pPr>
      <w:r>
        <w:br w:type="page"/>
      </w:r>
    </w:p>
    <w:p w14:paraId="38A4E410" w14:textId="77777777" w:rsidR="00EC79BD" w:rsidRPr="0012647C" w:rsidRDefault="00EC79BD" w:rsidP="00EC79BD">
      <w:pPr>
        <w:pStyle w:val="Rubrik1"/>
      </w:pPr>
      <w:bookmarkStart w:id="77" w:name="_Toc164686703"/>
      <w:bookmarkEnd w:id="75"/>
      <w:r w:rsidRPr="0012647C">
        <w:lastRenderedPageBreak/>
        <w:t>Endokrinologi</w:t>
      </w:r>
      <w:bookmarkEnd w:id="77"/>
    </w:p>
    <w:p w14:paraId="28CE06C4" w14:textId="77777777" w:rsidR="00EC79BD" w:rsidRPr="00A403F5" w:rsidRDefault="00EC79BD" w:rsidP="00EC79BD">
      <w:pPr>
        <w:pStyle w:val="Rubrik3"/>
      </w:pPr>
      <w:r w:rsidRPr="00A403F5">
        <w:t xml:space="preserve">Senast uppdaterad </w:t>
      </w:r>
      <w:r>
        <w:t>2026-03-24</w:t>
      </w:r>
    </w:p>
    <w:p w14:paraId="02E65597" w14:textId="77777777" w:rsidR="00EC79BD" w:rsidRPr="00A403F5" w:rsidRDefault="00EC79BD" w:rsidP="00EC79BD">
      <w:pPr>
        <w:rPr>
          <w:rFonts w:cstheme="minorHAnsi"/>
          <w:i/>
          <w:sz w:val="24"/>
          <w:szCs w:val="24"/>
        </w:rPr>
      </w:pPr>
    </w:p>
    <w:p w14:paraId="596E20CD" w14:textId="77777777" w:rsidR="00EC79BD" w:rsidRPr="00506878" w:rsidRDefault="00EC79BD" w:rsidP="00EC79BD">
      <w:pPr>
        <w:rPr>
          <w:rFonts w:ascii="Corbel" w:hAnsi="Corbel" w:cstheme="minorHAnsi"/>
          <w:b/>
          <w:bCs/>
          <w:sz w:val="28"/>
          <w:szCs w:val="28"/>
        </w:rPr>
      </w:pPr>
      <w:r w:rsidRPr="00506878">
        <w:rPr>
          <w:rFonts w:ascii="Corbel" w:hAnsi="Corbel" w:cstheme="minorHAnsi"/>
          <w:b/>
          <w:bCs/>
          <w:sz w:val="28"/>
          <w:szCs w:val="28"/>
        </w:rPr>
        <w:t>Terapigruppsmedlemmar</w:t>
      </w:r>
      <w:r>
        <w:rPr>
          <w:rFonts w:ascii="Corbel" w:hAnsi="Corbel" w:cstheme="minorHAnsi"/>
          <w:b/>
          <w:bCs/>
          <w:sz w:val="28"/>
          <w:szCs w:val="28"/>
        </w:rPr>
        <w:t xml:space="preserve"> </w:t>
      </w:r>
    </w:p>
    <w:p w14:paraId="70ED32FC" w14:textId="77777777" w:rsidR="00EC79BD" w:rsidRDefault="00EC79BD" w:rsidP="00EC79BD">
      <w:pPr>
        <w:rPr>
          <w:sz w:val="24"/>
          <w:szCs w:val="24"/>
        </w:rPr>
      </w:pPr>
      <w:r>
        <w:rPr>
          <w:sz w:val="24"/>
          <w:szCs w:val="24"/>
        </w:rPr>
        <w:t>Kitti Bela Csekene</w:t>
      </w:r>
      <w:r w:rsidRPr="00A65D0E">
        <w:rPr>
          <w:sz w:val="24"/>
          <w:szCs w:val="24"/>
        </w:rPr>
        <w:t>, överläkare Medicinkliniken</w:t>
      </w:r>
      <w:r w:rsidRPr="00A65D0E">
        <w:rPr>
          <w:sz w:val="24"/>
          <w:szCs w:val="24"/>
        </w:rPr>
        <w:br/>
        <w:t>Bela Cseke, överläkare</w:t>
      </w:r>
      <w:r>
        <w:rPr>
          <w:sz w:val="24"/>
          <w:szCs w:val="24"/>
        </w:rPr>
        <w:t>,</w:t>
      </w:r>
      <w:r w:rsidRPr="00A65D0E">
        <w:rPr>
          <w:sz w:val="24"/>
          <w:szCs w:val="24"/>
        </w:rPr>
        <w:t xml:space="preserve"> Medicinkliniken</w:t>
      </w:r>
      <w:r w:rsidRPr="00A65D0E">
        <w:rPr>
          <w:sz w:val="24"/>
          <w:szCs w:val="24"/>
        </w:rPr>
        <w:br/>
        <w:t>Barbara Jasna, överläkare</w:t>
      </w:r>
      <w:r>
        <w:rPr>
          <w:sz w:val="24"/>
          <w:szCs w:val="24"/>
        </w:rPr>
        <w:t>,</w:t>
      </w:r>
      <w:r w:rsidRPr="00A65D0E">
        <w:rPr>
          <w:sz w:val="24"/>
          <w:szCs w:val="24"/>
        </w:rPr>
        <w:t xml:space="preserve"> Medicinkliniken</w:t>
      </w:r>
      <w:r w:rsidRPr="00A65D0E">
        <w:rPr>
          <w:sz w:val="24"/>
          <w:szCs w:val="24"/>
        </w:rPr>
        <w:br/>
      </w:r>
      <w:r>
        <w:rPr>
          <w:sz w:val="24"/>
          <w:szCs w:val="24"/>
        </w:rPr>
        <w:t>Titti Mattsson, specialistläkare, Valjehälsan</w:t>
      </w:r>
      <w:r w:rsidRPr="00A65D0E">
        <w:rPr>
          <w:sz w:val="24"/>
          <w:szCs w:val="24"/>
        </w:rPr>
        <w:br/>
      </w:r>
      <w:r>
        <w:rPr>
          <w:sz w:val="24"/>
          <w:szCs w:val="24"/>
        </w:rPr>
        <w:t>Martina Björkhem</w:t>
      </w:r>
      <w:r w:rsidRPr="00A65D0E">
        <w:rPr>
          <w:sz w:val="24"/>
          <w:szCs w:val="24"/>
        </w:rPr>
        <w:t>, diabetessköterska</w:t>
      </w:r>
      <w:r>
        <w:rPr>
          <w:sz w:val="24"/>
          <w:szCs w:val="24"/>
        </w:rPr>
        <w:t>, Valjehälsan</w:t>
      </w:r>
      <w:r>
        <w:rPr>
          <w:sz w:val="24"/>
          <w:szCs w:val="24"/>
        </w:rPr>
        <w:br/>
      </w:r>
      <w:r w:rsidRPr="005E579A">
        <w:rPr>
          <w:sz w:val="24"/>
          <w:szCs w:val="24"/>
        </w:rPr>
        <w:t>Julia Andersson, diabetessjuksköterska, Medicinkliniken</w:t>
      </w:r>
      <w:r w:rsidRPr="00A65D0E">
        <w:rPr>
          <w:sz w:val="24"/>
          <w:szCs w:val="24"/>
        </w:rPr>
        <w:br/>
      </w:r>
      <w:r w:rsidRPr="0012647C">
        <w:rPr>
          <w:sz w:val="24"/>
          <w:szCs w:val="24"/>
        </w:rPr>
        <w:t xml:space="preserve">Hanna Justad, apotekare, </w:t>
      </w:r>
      <w:r>
        <w:rPr>
          <w:sz w:val="24"/>
          <w:szCs w:val="24"/>
        </w:rPr>
        <w:t>Läkemedelsenheten</w:t>
      </w:r>
    </w:p>
    <w:p w14:paraId="56C9EE93" w14:textId="77777777" w:rsidR="00EC79BD" w:rsidRDefault="00EC79BD" w:rsidP="00EC79BD">
      <w:pPr>
        <w:rPr>
          <w:rStyle w:val="Rubrik3Char"/>
          <w:rFonts w:ascii="Garamond" w:hAnsi="Garamond"/>
          <w:szCs w:val="24"/>
          <w:lang w:eastAsia="sv-SE"/>
        </w:rPr>
      </w:pPr>
    </w:p>
    <w:p w14:paraId="1BD24F27" w14:textId="77777777" w:rsidR="00EC79BD" w:rsidRPr="00B25139" w:rsidRDefault="00EC79BD" w:rsidP="00EC79BD">
      <w:pPr>
        <w:rPr>
          <w:rStyle w:val="Rubrik3Char"/>
          <w:rFonts w:cs="Times New Roman"/>
          <w:szCs w:val="24"/>
          <w:lang w:eastAsia="sv-SE"/>
        </w:rPr>
      </w:pPr>
      <w:r w:rsidRPr="00B25139">
        <w:rPr>
          <w:rStyle w:val="Rubrik3Char"/>
          <w:rFonts w:cs="Times New Roman"/>
          <w:szCs w:val="24"/>
          <w:lang w:eastAsia="sv-SE"/>
        </w:rPr>
        <w:t>Glukokortikoider - systemisk behandling</w:t>
      </w:r>
      <w:r>
        <w:rPr>
          <w:rStyle w:val="Rubrik3Char"/>
          <w:rFonts w:cs="Times New Roman"/>
          <w:szCs w:val="24"/>
          <w:lang w:eastAsia="sv-SE"/>
        </w:rPr>
        <w:br/>
      </w:r>
    </w:p>
    <w:tbl>
      <w:tblPr>
        <w:tblW w:w="8831" w:type="dxa"/>
        <w:tblInd w:w="-8" w:type="dxa"/>
        <w:tblCellMar>
          <w:top w:w="15" w:type="dxa"/>
          <w:left w:w="15" w:type="dxa"/>
          <w:bottom w:w="15" w:type="dxa"/>
          <w:right w:w="15" w:type="dxa"/>
        </w:tblCellMar>
        <w:tblLook w:val="04A0" w:firstRow="1" w:lastRow="0" w:firstColumn="1" w:lastColumn="0" w:noHBand="0" w:noVBand="1"/>
      </w:tblPr>
      <w:tblGrid>
        <w:gridCol w:w="4004"/>
        <w:gridCol w:w="4827"/>
      </w:tblGrid>
      <w:tr w:rsidR="00EC79BD" w:rsidRPr="00A65D0E" w14:paraId="215989FD" w14:textId="77777777" w:rsidTr="00632FCC">
        <w:trPr>
          <w:trHeight w:val="678"/>
        </w:trPr>
        <w:tc>
          <w:tcPr>
            <w:tcW w:w="4004" w:type="dxa"/>
            <w:tcBorders>
              <w:top w:val="single" w:sz="6" w:space="0" w:color="000000"/>
              <w:left w:val="single" w:sz="6" w:space="0" w:color="000000"/>
              <w:bottom w:val="single" w:sz="6" w:space="0" w:color="000000"/>
              <w:right w:val="single" w:sz="6" w:space="0" w:color="000000"/>
            </w:tcBorders>
            <w:vAlign w:val="center"/>
            <w:hideMark/>
          </w:tcPr>
          <w:p w14:paraId="6E334529" w14:textId="77777777" w:rsidR="00EC79BD" w:rsidRPr="00A65D0E" w:rsidRDefault="00EC79BD" w:rsidP="00632FCC">
            <w:pPr>
              <w:rPr>
                <w:bCs/>
                <w:sz w:val="24"/>
                <w:szCs w:val="24"/>
              </w:rPr>
            </w:pPr>
            <w:r w:rsidRPr="00A65D0E">
              <w:rPr>
                <w:rStyle w:val="Stark"/>
                <w:rFonts w:cs="Open Sans"/>
                <w:color w:val="404040"/>
                <w:sz w:val="24"/>
                <w:szCs w:val="24"/>
              </w:rPr>
              <w:t>Betametason</w:t>
            </w:r>
            <w:r>
              <w:rPr>
                <w:rStyle w:val="Stark"/>
                <w:rFonts w:cs="Open Sans"/>
                <w:color w:val="404040"/>
                <w:sz w:val="24"/>
                <w:szCs w:val="24"/>
              </w:rPr>
              <w:br/>
            </w:r>
          </w:p>
        </w:tc>
        <w:tc>
          <w:tcPr>
            <w:tcW w:w="4827" w:type="dxa"/>
            <w:tcBorders>
              <w:top w:val="single" w:sz="6" w:space="0" w:color="000000"/>
              <w:left w:val="single" w:sz="6" w:space="0" w:color="000000"/>
              <w:bottom w:val="single" w:sz="6" w:space="0" w:color="000000"/>
              <w:right w:val="single" w:sz="6" w:space="0" w:color="000000"/>
            </w:tcBorders>
            <w:vAlign w:val="center"/>
            <w:hideMark/>
          </w:tcPr>
          <w:p w14:paraId="3FF1265D" w14:textId="77777777" w:rsidR="00EC79BD" w:rsidRPr="00A65D0E" w:rsidRDefault="00EC79BD" w:rsidP="00632FCC">
            <w:pPr>
              <w:rPr>
                <w:sz w:val="24"/>
                <w:szCs w:val="24"/>
              </w:rPr>
            </w:pPr>
            <w:r w:rsidRPr="00A65D0E">
              <w:rPr>
                <w:sz w:val="24"/>
                <w:szCs w:val="24"/>
              </w:rPr>
              <w:t>Betametason</w:t>
            </w:r>
            <w:r w:rsidRPr="00A65D0E">
              <w:rPr>
                <w:sz w:val="24"/>
                <w:szCs w:val="24"/>
              </w:rPr>
              <w:br/>
              <w:t>Betapred</w:t>
            </w:r>
          </w:p>
        </w:tc>
      </w:tr>
      <w:tr w:rsidR="00EC79BD" w:rsidRPr="00A65D0E" w14:paraId="1C012CD4" w14:textId="77777777" w:rsidTr="00632FCC">
        <w:trPr>
          <w:trHeight w:val="532"/>
        </w:trPr>
        <w:tc>
          <w:tcPr>
            <w:tcW w:w="4004" w:type="dxa"/>
            <w:tcBorders>
              <w:top w:val="single" w:sz="6" w:space="0" w:color="000000"/>
              <w:left w:val="single" w:sz="6" w:space="0" w:color="000000"/>
              <w:bottom w:val="single" w:sz="6" w:space="0" w:color="000000"/>
              <w:right w:val="single" w:sz="6" w:space="0" w:color="000000"/>
            </w:tcBorders>
            <w:vAlign w:val="center"/>
            <w:hideMark/>
          </w:tcPr>
          <w:p w14:paraId="030F7E57" w14:textId="77777777" w:rsidR="00EC79BD" w:rsidRPr="00A65D0E" w:rsidRDefault="00EC79BD" w:rsidP="00632FCC">
            <w:pPr>
              <w:rPr>
                <w:rFonts w:asciiTheme="minorHAnsi" w:hAnsiTheme="minorHAnsi"/>
                <w:sz w:val="24"/>
                <w:szCs w:val="24"/>
              </w:rPr>
            </w:pPr>
            <w:r w:rsidRPr="00A65D0E">
              <w:rPr>
                <w:rStyle w:val="Stark"/>
                <w:rFonts w:asciiTheme="minorHAnsi" w:hAnsiTheme="minorHAnsi" w:cs="Open Sans"/>
                <w:color w:val="404040"/>
                <w:sz w:val="24"/>
                <w:szCs w:val="24"/>
              </w:rPr>
              <w:t>Prednisolon</w:t>
            </w:r>
            <w:r>
              <w:rPr>
                <w:rStyle w:val="Stark"/>
                <w:rFonts w:asciiTheme="minorHAnsi" w:hAnsiTheme="minorHAnsi" w:cs="Open Sans"/>
                <w:color w:val="404040"/>
                <w:sz w:val="24"/>
                <w:szCs w:val="24"/>
              </w:rPr>
              <w:br/>
            </w:r>
          </w:p>
        </w:tc>
        <w:tc>
          <w:tcPr>
            <w:tcW w:w="4827" w:type="dxa"/>
            <w:tcBorders>
              <w:top w:val="single" w:sz="6" w:space="0" w:color="000000"/>
              <w:left w:val="single" w:sz="6" w:space="0" w:color="000000"/>
              <w:bottom w:val="single" w:sz="6" w:space="0" w:color="000000"/>
              <w:right w:val="single" w:sz="6" w:space="0" w:color="000000"/>
            </w:tcBorders>
            <w:vAlign w:val="center"/>
            <w:hideMark/>
          </w:tcPr>
          <w:p w14:paraId="046E7167" w14:textId="77777777" w:rsidR="00EC79BD" w:rsidRPr="00A65D0E" w:rsidRDefault="00EC79BD" w:rsidP="00632FCC">
            <w:pPr>
              <w:rPr>
                <w:sz w:val="24"/>
                <w:szCs w:val="24"/>
              </w:rPr>
            </w:pPr>
            <w:r w:rsidRPr="00A65D0E">
              <w:rPr>
                <w:sz w:val="24"/>
                <w:szCs w:val="24"/>
              </w:rPr>
              <w:t>Prednisolon</w:t>
            </w:r>
            <w:r>
              <w:rPr>
                <w:sz w:val="24"/>
                <w:szCs w:val="24"/>
              </w:rPr>
              <w:br/>
            </w:r>
          </w:p>
        </w:tc>
      </w:tr>
    </w:tbl>
    <w:p w14:paraId="74217228" w14:textId="77777777" w:rsidR="00EC79BD" w:rsidRPr="00FB267F" w:rsidRDefault="00EC79BD" w:rsidP="00EC79BD">
      <w:pPr>
        <w:pStyle w:val="Normal6"/>
        <w:spacing w:before="0" w:beforeAutospacing="0" w:after="240" w:afterAutospacing="0"/>
        <w:rPr>
          <w:rFonts w:ascii="Garamond" w:hAnsi="Garamond"/>
          <w:sz w:val="22"/>
          <w:szCs w:val="22"/>
        </w:rPr>
      </w:pPr>
      <w:r>
        <w:rPr>
          <w:rStyle w:val="Rubrik3Char"/>
        </w:rPr>
        <w:br/>
      </w:r>
      <w:r w:rsidRPr="00FB267F">
        <w:rPr>
          <w:rStyle w:val="Rubrik3Char"/>
        </w:rPr>
        <w:t xml:space="preserve">D-vitaminbrist </w:t>
      </w:r>
      <w:r w:rsidRPr="00FB267F">
        <w:rPr>
          <w:rStyle w:val="Rubrik3Char"/>
        </w:rPr>
        <w:br/>
      </w:r>
      <w:r w:rsidRPr="00FB267F">
        <w:rPr>
          <w:rFonts w:ascii="Garamond" w:hAnsi="Garamond"/>
          <w:sz w:val="22"/>
          <w:szCs w:val="22"/>
        </w:rPr>
        <w:t>(s-25-OH-vitamin D &lt;25 nmol/L)</w:t>
      </w:r>
    </w:p>
    <w:tbl>
      <w:tblPr>
        <w:tblW w:w="8867" w:type="dxa"/>
        <w:tblCellMar>
          <w:top w:w="15" w:type="dxa"/>
          <w:left w:w="15" w:type="dxa"/>
          <w:bottom w:w="15" w:type="dxa"/>
          <w:right w:w="15" w:type="dxa"/>
        </w:tblCellMar>
        <w:tblLook w:val="04A0" w:firstRow="1" w:lastRow="0" w:firstColumn="1" w:lastColumn="0" w:noHBand="0" w:noVBand="1"/>
      </w:tblPr>
      <w:tblGrid>
        <w:gridCol w:w="4165"/>
        <w:gridCol w:w="4702"/>
      </w:tblGrid>
      <w:tr w:rsidR="00EC79BD" w:rsidRPr="00A65D0E" w14:paraId="00D3EEED" w14:textId="77777777" w:rsidTr="00632FCC">
        <w:trPr>
          <w:trHeight w:val="734"/>
          <w:tblHead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2255F7B" w14:textId="77777777" w:rsidR="00EC79BD" w:rsidRPr="00A65D0E" w:rsidRDefault="00EC79BD" w:rsidP="00632FCC">
            <w:pPr>
              <w:rPr>
                <w:rFonts w:asciiTheme="minorHAnsi" w:hAnsiTheme="minorHAnsi"/>
                <w:sz w:val="24"/>
                <w:szCs w:val="24"/>
              </w:rPr>
            </w:pPr>
            <w:r w:rsidRPr="00A65D0E">
              <w:rPr>
                <w:rStyle w:val="Stark"/>
                <w:rFonts w:asciiTheme="minorHAnsi" w:hAnsiTheme="minorHAnsi" w:cs="Open Sans"/>
                <w:color w:val="404040"/>
                <w:sz w:val="24"/>
                <w:szCs w:val="24"/>
              </w:rPr>
              <w:t>kolekalciferol</w:t>
            </w:r>
            <w:r w:rsidRPr="00A65D0E">
              <w:rPr>
                <w:rFonts w:asciiTheme="minorHAnsi" w:hAnsiTheme="minorHAnsi"/>
                <w:sz w:val="24"/>
                <w:szCs w:val="24"/>
              </w:rPr>
              <w:t xml:space="preserve"> </w:t>
            </w:r>
            <w:r w:rsidRPr="00A65D0E">
              <w:rPr>
                <w:rFonts w:asciiTheme="minorHAnsi" w:hAnsiTheme="minorHAnsi"/>
                <w:sz w:val="24"/>
                <w:szCs w:val="24"/>
              </w:rPr>
              <w:br/>
            </w:r>
            <w:r w:rsidRPr="00A65D0E">
              <w:rPr>
                <w:rFonts w:asciiTheme="minorHAnsi" w:hAnsiTheme="minorHAnsi"/>
                <w:sz w:val="24"/>
                <w:szCs w:val="24"/>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CCC5FB" w14:textId="77777777" w:rsidR="00EC79BD" w:rsidRPr="00A65D0E" w:rsidRDefault="00EC79BD" w:rsidP="00632FCC">
            <w:pPr>
              <w:rPr>
                <w:sz w:val="24"/>
                <w:szCs w:val="24"/>
              </w:rPr>
            </w:pPr>
            <w:r w:rsidRPr="00A65D0E">
              <w:rPr>
                <w:sz w:val="24"/>
                <w:szCs w:val="24"/>
              </w:rPr>
              <w:t xml:space="preserve">Benferol 800 IE </w:t>
            </w:r>
            <w:r w:rsidRPr="00A65D0E">
              <w:rPr>
                <w:sz w:val="24"/>
                <w:szCs w:val="24"/>
              </w:rPr>
              <w:br/>
              <w:t>Divisun 800 IE</w:t>
            </w:r>
            <w:r w:rsidRPr="00A65D0E">
              <w:rPr>
                <w:sz w:val="24"/>
                <w:szCs w:val="24"/>
              </w:rPr>
              <w:br/>
              <w:t>Divisun 2000 IE</w:t>
            </w:r>
          </w:p>
        </w:tc>
      </w:tr>
    </w:tbl>
    <w:p w14:paraId="5D81AB2D" w14:textId="77777777" w:rsidR="00EC79BD" w:rsidRPr="00FB267F" w:rsidRDefault="00EC79BD" w:rsidP="00EC79BD">
      <w:pPr>
        <w:pStyle w:val="Rubrik3"/>
      </w:pPr>
      <w:r w:rsidRPr="00FB267F">
        <w:rPr>
          <w:rStyle w:val="Stark"/>
          <w:b/>
        </w:rPr>
        <w:t>Hypotyreos</w:t>
      </w:r>
    </w:p>
    <w:tbl>
      <w:tblPr>
        <w:tblW w:w="8844" w:type="dxa"/>
        <w:tblCellMar>
          <w:top w:w="15" w:type="dxa"/>
          <w:left w:w="15" w:type="dxa"/>
          <w:bottom w:w="15" w:type="dxa"/>
          <w:right w:w="15" w:type="dxa"/>
        </w:tblCellMar>
        <w:tblLook w:val="04A0" w:firstRow="1" w:lastRow="0" w:firstColumn="1" w:lastColumn="0" w:noHBand="0" w:noVBand="1"/>
      </w:tblPr>
      <w:tblGrid>
        <w:gridCol w:w="4180"/>
        <w:gridCol w:w="4664"/>
      </w:tblGrid>
      <w:tr w:rsidR="00EC79BD" w14:paraId="14AB2B42" w14:textId="77777777" w:rsidTr="00632FCC">
        <w:trPr>
          <w:trHeight w:val="10"/>
          <w:tblHeader/>
        </w:trPr>
        <w:tc>
          <w:tcPr>
            <w:tcW w:w="0" w:type="auto"/>
            <w:gridSpan w:val="2"/>
            <w:tcBorders>
              <w:top w:val="nil"/>
              <w:left w:val="nil"/>
              <w:bottom w:val="nil"/>
              <w:right w:val="nil"/>
            </w:tcBorders>
            <w:vAlign w:val="center"/>
            <w:hideMark/>
          </w:tcPr>
          <w:p w14:paraId="5290B637" w14:textId="77777777" w:rsidR="00EC79BD" w:rsidRDefault="00EC79BD" w:rsidP="00632FCC">
            <w:pPr>
              <w:spacing w:after="240"/>
              <w:rPr>
                <w:rFonts w:ascii="Open Sans" w:hAnsi="Open Sans" w:cs="Open Sans"/>
                <w:color w:val="404040"/>
                <w:sz w:val="24"/>
                <w:szCs w:val="24"/>
              </w:rPr>
            </w:pPr>
          </w:p>
        </w:tc>
      </w:tr>
      <w:tr w:rsidR="00EC79BD" w:rsidRPr="00A65D0E" w14:paraId="629F2C1C" w14:textId="77777777" w:rsidTr="00632FCC">
        <w:trPr>
          <w:trHeight w:val="555"/>
          <w:tblHeader/>
        </w:trPr>
        <w:tc>
          <w:tcPr>
            <w:tcW w:w="4180" w:type="dxa"/>
            <w:tcBorders>
              <w:top w:val="single" w:sz="6" w:space="0" w:color="000000"/>
              <w:left w:val="single" w:sz="6" w:space="0" w:color="000000"/>
              <w:bottom w:val="single" w:sz="6" w:space="0" w:color="000000"/>
              <w:right w:val="single" w:sz="6" w:space="0" w:color="000000"/>
            </w:tcBorders>
            <w:vAlign w:val="center"/>
            <w:hideMark/>
          </w:tcPr>
          <w:p w14:paraId="05A73D33" w14:textId="77777777" w:rsidR="00EC79BD" w:rsidRPr="00A65D0E" w:rsidRDefault="00EC79BD" w:rsidP="00632FCC">
            <w:pPr>
              <w:rPr>
                <w:rFonts w:asciiTheme="minorHAnsi" w:hAnsiTheme="minorHAnsi"/>
                <w:sz w:val="24"/>
                <w:szCs w:val="24"/>
              </w:rPr>
            </w:pPr>
            <w:r w:rsidRPr="00A65D0E">
              <w:rPr>
                <w:rStyle w:val="Stark"/>
                <w:rFonts w:asciiTheme="minorHAnsi" w:hAnsiTheme="minorHAnsi" w:cs="Open Sans"/>
                <w:color w:val="404040"/>
                <w:sz w:val="24"/>
                <w:szCs w:val="24"/>
              </w:rPr>
              <w:t>levotyroxin</w:t>
            </w:r>
          </w:p>
        </w:tc>
        <w:tc>
          <w:tcPr>
            <w:tcW w:w="4663" w:type="dxa"/>
            <w:tcBorders>
              <w:top w:val="single" w:sz="6" w:space="0" w:color="000000"/>
              <w:left w:val="single" w:sz="6" w:space="0" w:color="000000"/>
              <w:bottom w:val="single" w:sz="6" w:space="0" w:color="000000"/>
              <w:right w:val="single" w:sz="6" w:space="0" w:color="000000"/>
            </w:tcBorders>
            <w:vAlign w:val="center"/>
            <w:hideMark/>
          </w:tcPr>
          <w:p w14:paraId="7BE3862B" w14:textId="77777777" w:rsidR="00EC79BD" w:rsidRPr="00A65D0E" w:rsidRDefault="00EC79BD" w:rsidP="00632FCC">
            <w:pPr>
              <w:rPr>
                <w:sz w:val="24"/>
                <w:szCs w:val="24"/>
              </w:rPr>
            </w:pPr>
            <w:r w:rsidRPr="00A65D0E">
              <w:rPr>
                <w:sz w:val="24"/>
                <w:szCs w:val="24"/>
              </w:rPr>
              <w:t>Levaxin</w:t>
            </w:r>
          </w:p>
        </w:tc>
      </w:tr>
    </w:tbl>
    <w:p w14:paraId="0F6C1E31" w14:textId="77777777" w:rsidR="00EC79BD" w:rsidRPr="00FB267F" w:rsidRDefault="00EC79BD" w:rsidP="00EC79BD">
      <w:pPr>
        <w:pStyle w:val="Rubrik2"/>
      </w:pPr>
      <w:r w:rsidRPr="00FB267F">
        <w:t>Systemisk glukokortikoid terapi</w:t>
      </w:r>
    </w:p>
    <w:p w14:paraId="41CF067B" w14:textId="77777777" w:rsidR="00EC79BD" w:rsidRPr="00081B26" w:rsidRDefault="00EC79BD" w:rsidP="00EC79BD">
      <w:pPr>
        <w:rPr>
          <w:rFonts w:asciiTheme="minorHAnsi" w:hAnsiTheme="minorHAnsi"/>
          <w:color w:val="0070C0"/>
          <w:sz w:val="24"/>
          <w:szCs w:val="24"/>
        </w:rPr>
      </w:pPr>
      <w:hyperlink r:id="rId68" w:anchor="table_1" w:history="1">
        <w:r w:rsidRPr="00081B26">
          <w:rPr>
            <w:rStyle w:val="Hyperlnk"/>
            <w:rFonts w:asciiTheme="minorHAnsi" w:hAnsiTheme="minorHAnsi" w:cs="Open Sans"/>
            <w:color w:val="0070C0"/>
            <w:sz w:val="24"/>
            <w:szCs w:val="24"/>
          </w:rPr>
          <w:t>(Läkemedelsboken)</w:t>
        </w:r>
        <w:r w:rsidRPr="00081B26">
          <w:rPr>
            <w:rStyle w:val="Hyperlnk"/>
            <w:rFonts w:asciiTheme="minorHAnsi" w:hAnsiTheme="minorHAnsi"/>
            <w:noProof/>
            <w:color w:val="0070C0"/>
            <w:sz w:val="24"/>
            <w:szCs w:val="24"/>
          </w:rPr>
          <w:drawing>
            <wp:inline distT="0" distB="0" distL="0" distR="0" wp14:anchorId="5A2DDCD3" wp14:editId="2C7D7A12">
              <wp:extent cx="102235" cy="95250"/>
              <wp:effectExtent l="0" t="0" r="0" b="0"/>
              <wp:docPr id="16" name="Bildobjekt 16">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6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235" cy="95250"/>
                      </a:xfrm>
                      <a:prstGeom prst="rect">
                        <a:avLst/>
                      </a:prstGeom>
                      <a:noFill/>
                      <a:ln>
                        <a:noFill/>
                      </a:ln>
                    </pic:spPr>
                  </pic:pic>
                </a:graphicData>
              </a:graphic>
            </wp:inline>
          </w:drawing>
        </w:r>
      </w:hyperlink>
      <w:r w:rsidRPr="00081B26">
        <w:rPr>
          <w:rStyle w:val="Hyperlnk"/>
          <w:rFonts w:asciiTheme="minorHAnsi" w:hAnsiTheme="minorHAnsi"/>
          <w:noProof/>
          <w:color w:val="0070C0"/>
          <w:sz w:val="24"/>
          <w:szCs w:val="24"/>
        </w:rPr>
        <w:t xml:space="preserve"> </w:t>
      </w:r>
    </w:p>
    <w:p w14:paraId="3E387DDE" w14:textId="77777777" w:rsidR="00EC79BD" w:rsidRPr="00A65D0E" w:rsidRDefault="00EC79BD" w:rsidP="00EC79BD">
      <w:pPr>
        <w:rPr>
          <w:sz w:val="24"/>
          <w:szCs w:val="24"/>
        </w:rPr>
      </w:pPr>
      <w:r w:rsidRPr="05D9DE4F">
        <w:rPr>
          <w:sz w:val="24"/>
          <w:szCs w:val="24"/>
        </w:rPr>
        <w:t>Då systemisk behandling med glukokortikoider i princip alltid ger upphov till biverkningar är det viktigt att behandlingseffekten utvärderas objektivt. I möjligaste mån bör systemisk glukokortikoidterapi ersättas med lokal sådan, t.ex. vid:</w:t>
      </w:r>
    </w:p>
    <w:p w14:paraId="184177AE" w14:textId="77777777" w:rsidR="00EC79BD" w:rsidRPr="00A65D0E" w:rsidRDefault="00EC79BD" w:rsidP="00EC79BD">
      <w:pPr>
        <w:pStyle w:val="Liststycke"/>
        <w:numPr>
          <w:ilvl w:val="0"/>
          <w:numId w:val="65"/>
        </w:numPr>
        <w:rPr>
          <w:sz w:val="24"/>
          <w:szCs w:val="24"/>
        </w:rPr>
      </w:pPr>
      <w:r w:rsidRPr="05D9DE4F">
        <w:rPr>
          <w:sz w:val="24"/>
          <w:szCs w:val="24"/>
        </w:rPr>
        <w:t>Astma bronkiale</w:t>
      </w:r>
    </w:p>
    <w:p w14:paraId="2299135F" w14:textId="77777777" w:rsidR="00EC79BD" w:rsidRPr="00A65D0E" w:rsidRDefault="00EC79BD" w:rsidP="00EC79BD">
      <w:pPr>
        <w:pStyle w:val="Liststycke"/>
        <w:numPr>
          <w:ilvl w:val="0"/>
          <w:numId w:val="65"/>
        </w:numPr>
        <w:rPr>
          <w:sz w:val="24"/>
          <w:szCs w:val="24"/>
        </w:rPr>
      </w:pPr>
      <w:r w:rsidRPr="05D9DE4F">
        <w:rPr>
          <w:sz w:val="24"/>
          <w:szCs w:val="24"/>
        </w:rPr>
        <w:t>Inflammatorisk tarmsjukdom</w:t>
      </w:r>
    </w:p>
    <w:p w14:paraId="6588F016" w14:textId="77777777" w:rsidR="00EC79BD" w:rsidRPr="00A65D0E" w:rsidRDefault="00EC79BD" w:rsidP="00EC79BD">
      <w:pPr>
        <w:pStyle w:val="Liststycke"/>
        <w:numPr>
          <w:ilvl w:val="0"/>
          <w:numId w:val="65"/>
        </w:numPr>
        <w:rPr>
          <w:sz w:val="24"/>
          <w:szCs w:val="24"/>
        </w:rPr>
      </w:pPr>
      <w:r w:rsidRPr="05D9DE4F">
        <w:rPr>
          <w:sz w:val="24"/>
          <w:szCs w:val="24"/>
        </w:rPr>
        <w:t>Ledinflammation</w:t>
      </w:r>
    </w:p>
    <w:p w14:paraId="516F6E42" w14:textId="77777777" w:rsidR="00EC79BD" w:rsidRPr="00A65D0E" w:rsidRDefault="00EC79BD" w:rsidP="00EC79BD">
      <w:pPr>
        <w:pStyle w:val="Liststycke"/>
        <w:numPr>
          <w:ilvl w:val="0"/>
          <w:numId w:val="65"/>
        </w:numPr>
        <w:rPr>
          <w:sz w:val="24"/>
          <w:szCs w:val="24"/>
        </w:rPr>
      </w:pPr>
      <w:r w:rsidRPr="05D9DE4F">
        <w:rPr>
          <w:sz w:val="24"/>
          <w:szCs w:val="24"/>
        </w:rPr>
        <w:t>Hudåkommor</w:t>
      </w:r>
      <w:r>
        <w:br/>
      </w:r>
    </w:p>
    <w:p w14:paraId="3AE5B3E4" w14:textId="77777777" w:rsidR="00EC79BD" w:rsidRPr="00A65D0E" w:rsidRDefault="00EC79BD" w:rsidP="00EC79BD">
      <w:pPr>
        <w:rPr>
          <w:sz w:val="24"/>
          <w:szCs w:val="24"/>
        </w:rPr>
      </w:pPr>
      <w:r w:rsidRPr="05D9DE4F">
        <w:rPr>
          <w:sz w:val="24"/>
          <w:szCs w:val="24"/>
        </w:rPr>
        <w:t xml:space="preserve">Även lokalbehandling förorsakar biverkningar på sikt eftersom absorptionen av steroider vid lokal terapi är mycket effektiv och regelmässigt medför att glukokortikoidmolekyler kommer ut i </w:t>
      </w:r>
      <w:r w:rsidRPr="05D9DE4F">
        <w:rPr>
          <w:sz w:val="24"/>
          <w:szCs w:val="24"/>
        </w:rPr>
        <w:lastRenderedPageBreak/>
        <w:t xml:space="preserve">cirkulationen. Applikation på slemhinnor, inflammerade hudytor och mera genomsläpplig hud hos små barn kan ge upphov till större systemeffekter. Vid antiinflammatorisk behandling bör preparat med kort halveringstid och minimal mineralkortikoid effekt väljas. Högre doser över längre tid kan hämma den egna kortisolproduktionen lång tid efter utsättning. Kortison i farmakologiska doser påverkar också glukosomsättningen. Det åstadkommer ökad insulinresistens och leder till en ökning av leverns glukosproduktion. Om patienten har tillräcklig kvarvarande betacellsfunktion ökar insulinutsöndringen så att blodsockernivån förblir väsentligen normal. </w:t>
      </w:r>
      <w:r>
        <w:br/>
      </w:r>
      <w:r w:rsidRPr="05D9DE4F">
        <w:rPr>
          <w:sz w:val="24"/>
          <w:szCs w:val="24"/>
        </w:rPr>
        <w:t>Om å andra sidan patienten har diabetes (känd eller tidigare inte känd) stiger blodsockret.</w:t>
      </w:r>
    </w:p>
    <w:p w14:paraId="19330A79" w14:textId="77777777" w:rsidR="00EC79BD" w:rsidRPr="00043153" w:rsidRDefault="00EC79BD" w:rsidP="00EC79BD">
      <w:pPr>
        <w:pStyle w:val="Rubrik2"/>
      </w:pPr>
      <w:r w:rsidRPr="00D21795">
        <w:t>Åtgärder i samband med kortisonbehandling under längre tid</w:t>
      </w:r>
    </w:p>
    <w:p w14:paraId="562572DC" w14:textId="77777777" w:rsidR="00EC79BD" w:rsidRPr="00A65D0E" w:rsidRDefault="00EC79BD" w:rsidP="00EC79BD">
      <w:pPr>
        <w:numPr>
          <w:ilvl w:val="0"/>
          <w:numId w:val="60"/>
        </w:numPr>
        <w:spacing w:before="100" w:beforeAutospacing="1" w:after="100" w:afterAutospacing="1" w:line="240" w:lineRule="auto"/>
        <w:rPr>
          <w:rFonts w:asciiTheme="minorHAnsi" w:hAnsiTheme="minorHAnsi" w:cs="Open Sans"/>
          <w:color w:val="404040" w:themeColor="text1" w:themeTint="BF"/>
          <w:sz w:val="24"/>
          <w:szCs w:val="24"/>
        </w:rPr>
      </w:pPr>
      <w:r w:rsidRPr="05D9DE4F">
        <w:rPr>
          <w:rFonts w:asciiTheme="minorHAnsi" w:hAnsiTheme="minorHAnsi" w:cs="Open Sans"/>
          <w:color w:val="404040" w:themeColor="text1" w:themeTint="BF"/>
          <w:sz w:val="24"/>
          <w:szCs w:val="24"/>
        </w:rPr>
        <w:t>fP-glukos bör alltid kontrolleras vid inledning av behandling</w:t>
      </w:r>
    </w:p>
    <w:p w14:paraId="75B456E2" w14:textId="77777777" w:rsidR="00EC79BD" w:rsidRPr="00A65D0E" w:rsidRDefault="00EC79BD" w:rsidP="00EC79BD">
      <w:pPr>
        <w:numPr>
          <w:ilvl w:val="0"/>
          <w:numId w:val="60"/>
        </w:numPr>
        <w:tabs>
          <w:tab w:val="clear" w:pos="284"/>
        </w:tabs>
        <w:spacing w:before="100" w:beforeAutospacing="1" w:after="100" w:afterAutospacing="1" w:line="240" w:lineRule="auto"/>
        <w:rPr>
          <w:rFonts w:asciiTheme="minorHAnsi" w:hAnsiTheme="minorHAnsi" w:cs="Open Sans"/>
          <w:color w:val="404040" w:themeColor="text1" w:themeTint="BF"/>
          <w:sz w:val="24"/>
          <w:szCs w:val="24"/>
        </w:rPr>
      </w:pPr>
      <w:r w:rsidRPr="05D9DE4F">
        <w:rPr>
          <w:rFonts w:asciiTheme="minorHAnsi" w:hAnsiTheme="minorHAnsi" w:cs="Open Sans"/>
          <w:color w:val="404040" w:themeColor="text1" w:themeTint="BF"/>
          <w:sz w:val="24"/>
          <w:szCs w:val="24"/>
        </w:rPr>
        <w:t>P-glukos bör kontrolleras framför allt under eftermiddagen (kl 15-18) senast 1 vecka efter inledd kortisonbehandling - om p-glukos &gt;9 mmol/L -kontrollera dygnskurva+HbA1c</w:t>
      </w:r>
    </w:p>
    <w:p w14:paraId="22760AB3" w14:textId="77777777" w:rsidR="00EC79BD" w:rsidRPr="00A65D0E" w:rsidRDefault="00EC79BD" w:rsidP="00EC79BD">
      <w:pPr>
        <w:numPr>
          <w:ilvl w:val="0"/>
          <w:numId w:val="60"/>
        </w:numPr>
        <w:tabs>
          <w:tab w:val="clear" w:pos="284"/>
        </w:tabs>
        <w:spacing w:before="100" w:beforeAutospacing="1" w:after="100" w:afterAutospacing="1" w:line="240" w:lineRule="auto"/>
        <w:rPr>
          <w:rFonts w:asciiTheme="minorHAnsi" w:hAnsiTheme="minorHAnsi" w:cs="Open Sans"/>
          <w:color w:val="404040" w:themeColor="text1" w:themeTint="BF"/>
          <w:sz w:val="24"/>
          <w:szCs w:val="24"/>
        </w:rPr>
      </w:pPr>
      <w:r w:rsidRPr="05D9DE4F">
        <w:rPr>
          <w:rFonts w:asciiTheme="minorHAnsi" w:hAnsiTheme="minorHAnsi" w:cs="Open Sans"/>
          <w:color w:val="404040" w:themeColor="text1" w:themeTint="BF"/>
          <w:sz w:val="24"/>
          <w:szCs w:val="24"/>
        </w:rPr>
        <w:t xml:space="preserve">Daglig kontroll (under några dagar) av p-glukos när man inleder högdos kortisonbehandling, </w:t>
      </w:r>
      <w:r>
        <w:br/>
      </w:r>
      <w:r w:rsidRPr="05D9DE4F">
        <w:rPr>
          <w:rFonts w:asciiTheme="minorHAnsi" w:hAnsiTheme="minorHAnsi" w:cs="Open Sans"/>
          <w:color w:val="404040" w:themeColor="text1" w:themeTint="BF"/>
          <w:sz w:val="24"/>
          <w:szCs w:val="24"/>
        </w:rPr>
        <w:t>därefter 1 g/v</w:t>
      </w:r>
    </w:p>
    <w:p w14:paraId="25852C67" w14:textId="77777777" w:rsidR="00EC79BD" w:rsidRPr="00A65D0E" w:rsidRDefault="00EC79BD" w:rsidP="00EC79BD">
      <w:pPr>
        <w:numPr>
          <w:ilvl w:val="0"/>
          <w:numId w:val="60"/>
        </w:numPr>
        <w:tabs>
          <w:tab w:val="clear" w:pos="284"/>
        </w:tabs>
        <w:spacing w:before="100" w:beforeAutospacing="1" w:after="100" w:afterAutospacing="1" w:line="240" w:lineRule="auto"/>
        <w:rPr>
          <w:rFonts w:asciiTheme="minorHAnsi" w:hAnsiTheme="minorHAnsi" w:cs="Open Sans"/>
          <w:color w:val="404040" w:themeColor="text1" w:themeTint="BF"/>
          <w:sz w:val="24"/>
          <w:szCs w:val="24"/>
        </w:rPr>
      </w:pPr>
      <w:r w:rsidRPr="05D9DE4F">
        <w:rPr>
          <w:rFonts w:asciiTheme="minorHAnsi" w:hAnsiTheme="minorHAnsi" w:cs="Open Sans"/>
          <w:color w:val="404040" w:themeColor="text1" w:themeTint="BF"/>
          <w:sz w:val="24"/>
          <w:szCs w:val="24"/>
        </w:rPr>
        <w:t>Kortisonutlöst diabetes – diabetesdebut under kortisonbehandling (f-p-glukos&gt;7,0; icke fastande, venöst &gt;11,1 kap. &gt;12,2 mmol/L)</w:t>
      </w:r>
    </w:p>
    <w:p w14:paraId="010527D0" w14:textId="77777777" w:rsidR="00EC79BD" w:rsidRPr="00A65D0E" w:rsidRDefault="00EC79BD" w:rsidP="00EC79BD">
      <w:pPr>
        <w:numPr>
          <w:ilvl w:val="0"/>
          <w:numId w:val="60"/>
        </w:numPr>
        <w:tabs>
          <w:tab w:val="clear" w:pos="284"/>
        </w:tabs>
        <w:spacing w:before="100" w:beforeAutospacing="1" w:after="100" w:afterAutospacing="1" w:line="240" w:lineRule="auto"/>
        <w:rPr>
          <w:rFonts w:asciiTheme="minorHAnsi" w:hAnsiTheme="minorHAnsi" w:cs="Open Sans"/>
          <w:color w:val="404040" w:themeColor="text1" w:themeTint="BF"/>
          <w:sz w:val="24"/>
          <w:szCs w:val="24"/>
        </w:rPr>
      </w:pPr>
      <w:r w:rsidRPr="05D9DE4F">
        <w:rPr>
          <w:rFonts w:asciiTheme="minorHAnsi" w:hAnsiTheme="minorHAnsi" w:cs="Open Sans"/>
          <w:color w:val="404040" w:themeColor="text1" w:themeTint="BF"/>
          <w:sz w:val="24"/>
          <w:szCs w:val="24"/>
        </w:rPr>
        <w:t>Mild hyperglykemi – avvakta om planerad kortvarig kortisonbehandling (1 v.); annars i första hand Metformin, kan prövas SU el. DPP-4 hämmare, alt. insulin i samband med kortisondos</w:t>
      </w:r>
    </w:p>
    <w:p w14:paraId="3DD51979" w14:textId="77777777" w:rsidR="00EC79BD" w:rsidRPr="00A65D0E" w:rsidRDefault="00EC79BD" w:rsidP="00EC79BD">
      <w:pPr>
        <w:numPr>
          <w:ilvl w:val="0"/>
          <w:numId w:val="60"/>
        </w:numPr>
        <w:tabs>
          <w:tab w:val="clear" w:pos="284"/>
        </w:tabs>
        <w:spacing w:before="100" w:beforeAutospacing="1" w:after="100" w:afterAutospacing="1" w:line="240" w:lineRule="auto"/>
        <w:rPr>
          <w:rFonts w:asciiTheme="minorHAnsi" w:hAnsiTheme="minorHAnsi" w:cs="Open Sans"/>
          <w:color w:val="404040" w:themeColor="text1" w:themeTint="BF"/>
          <w:sz w:val="24"/>
          <w:szCs w:val="24"/>
        </w:rPr>
      </w:pPr>
      <w:r w:rsidRPr="05D9DE4F">
        <w:rPr>
          <w:rFonts w:asciiTheme="minorHAnsi" w:hAnsiTheme="minorHAnsi" w:cs="Open Sans"/>
          <w:color w:val="404040" w:themeColor="text1" w:themeTint="BF"/>
          <w:sz w:val="24"/>
          <w:szCs w:val="24"/>
        </w:rPr>
        <w:t xml:space="preserve">Uttalad hyperglykemi alt. typ 2 diabetes -NPH-insulin alt. mixinsulin i samband med kortisondos; </w:t>
      </w:r>
      <w:r>
        <w:br/>
      </w:r>
      <w:r w:rsidRPr="05D9DE4F">
        <w:rPr>
          <w:rFonts w:asciiTheme="minorHAnsi" w:hAnsiTheme="minorHAnsi" w:cs="Open Sans"/>
          <w:color w:val="404040" w:themeColor="text1" w:themeTint="BF"/>
          <w:sz w:val="24"/>
          <w:szCs w:val="24"/>
        </w:rPr>
        <w:t>alt. 2-dos regim; i andra hand NPH-insulin på morgonen (om kortison doseras på morgonen) + måltidsinsulin ffa. till lunch och/eller till middag.</w:t>
      </w:r>
    </w:p>
    <w:p w14:paraId="333F18AA" w14:textId="77777777" w:rsidR="00EC79BD" w:rsidRPr="00A65D0E" w:rsidRDefault="00EC79BD" w:rsidP="00EC79BD">
      <w:pPr>
        <w:numPr>
          <w:ilvl w:val="0"/>
          <w:numId w:val="60"/>
        </w:numPr>
        <w:tabs>
          <w:tab w:val="clear" w:pos="284"/>
        </w:tabs>
        <w:spacing w:before="100" w:beforeAutospacing="1" w:after="100" w:afterAutospacing="1" w:line="240" w:lineRule="auto"/>
        <w:rPr>
          <w:rFonts w:asciiTheme="minorHAnsi" w:hAnsiTheme="minorHAnsi" w:cs="Open Sans"/>
          <w:color w:val="404040" w:themeColor="text1" w:themeTint="BF"/>
          <w:sz w:val="24"/>
          <w:szCs w:val="24"/>
        </w:rPr>
      </w:pPr>
      <w:r w:rsidRPr="05D9DE4F">
        <w:rPr>
          <w:rFonts w:asciiTheme="minorHAnsi" w:hAnsiTheme="minorHAnsi" w:cs="Open Sans"/>
          <w:color w:val="404040" w:themeColor="text1" w:themeTint="BF"/>
          <w:sz w:val="24"/>
          <w:szCs w:val="24"/>
        </w:rPr>
        <w:t>Överväg osteoporosprofylax. Kalk och D-vitamin bör ges till behandlande &gt;3 månader.</w:t>
      </w:r>
    </w:p>
    <w:tbl>
      <w:tblPr>
        <w:tblW w:w="8931" w:type="dxa"/>
        <w:tblCellMar>
          <w:top w:w="15" w:type="dxa"/>
          <w:left w:w="15" w:type="dxa"/>
          <w:bottom w:w="15" w:type="dxa"/>
          <w:right w:w="15" w:type="dxa"/>
        </w:tblCellMar>
        <w:tblLook w:val="04A0" w:firstRow="1" w:lastRow="0" w:firstColumn="1" w:lastColumn="0" w:noHBand="0" w:noVBand="1"/>
      </w:tblPr>
      <w:tblGrid>
        <w:gridCol w:w="3544"/>
        <w:gridCol w:w="5387"/>
      </w:tblGrid>
      <w:tr w:rsidR="00EC79BD" w14:paraId="628C93C7" w14:textId="77777777" w:rsidTr="00632FCC">
        <w:trPr>
          <w:trHeight w:val="677"/>
        </w:trPr>
        <w:tc>
          <w:tcPr>
            <w:tcW w:w="8931" w:type="dxa"/>
            <w:gridSpan w:val="2"/>
            <w:tcBorders>
              <w:top w:val="nil"/>
              <w:left w:val="nil"/>
              <w:bottom w:val="nil"/>
              <w:right w:val="nil"/>
            </w:tcBorders>
            <w:vAlign w:val="center"/>
            <w:hideMark/>
          </w:tcPr>
          <w:p w14:paraId="16A211AB" w14:textId="77777777" w:rsidR="00EC79BD" w:rsidRDefault="00EC79BD" w:rsidP="00632FCC">
            <w:pPr>
              <w:pStyle w:val="Rubrik3"/>
              <w:rPr>
                <w:szCs w:val="24"/>
              </w:rPr>
            </w:pPr>
            <w:r>
              <w:t>Prednisolon</w:t>
            </w:r>
          </w:p>
        </w:tc>
      </w:tr>
      <w:tr w:rsidR="00EC79BD" w:rsidRPr="00A65D0E" w14:paraId="7DCE7A7E" w14:textId="77777777" w:rsidTr="00632FCC">
        <w:trPr>
          <w:trHeight w:val="552"/>
        </w:trPr>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60E1E25" w14:textId="77777777" w:rsidR="00EC79BD" w:rsidRPr="00A65D0E" w:rsidRDefault="00EC79BD" w:rsidP="00632FCC">
            <w:pPr>
              <w:rPr>
                <w:b/>
                <w:bCs/>
                <w:sz w:val="24"/>
                <w:szCs w:val="24"/>
              </w:rPr>
            </w:pPr>
            <w:r w:rsidRPr="05D9DE4F">
              <w:rPr>
                <w:b/>
                <w:bCs/>
                <w:sz w:val="24"/>
                <w:szCs w:val="24"/>
              </w:rPr>
              <w:t>Dos Prednisolon</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6A75E04" w14:textId="77777777" w:rsidR="00EC79BD" w:rsidRPr="00A65D0E" w:rsidRDefault="00EC79BD" w:rsidP="00632FCC">
            <w:pPr>
              <w:rPr>
                <w:b/>
                <w:bCs/>
                <w:sz w:val="24"/>
                <w:szCs w:val="24"/>
              </w:rPr>
            </w:pPr>
            <w:r w:rsidRPr="05D9DE4F">
              <w:rPr>
                <w:b/>
                <w:bCs/>
                <w:sz w:val="24"/>
                <w:szCs w:val="24"/>
              </w:rPr>
              <w:t>Förslag dos insulin NPH på morgonen</w:t>
            </w:r>
          </w:p>
        </w:tc>
      </w:tr>
      <w:tr w:rsidR="00EC79BD" w:rsidRPr="00A65D0E" w14:paraId="4447EEAC" w14:textId="77777777" w:rsidTr="00632FCC">
        <w:trPr>
          <w:trHeight w:val="552"/>
        </w:trPr>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53E3911" w14:textId="77777777" w:rsidR="00EC79BD" w:rsidRPr="00A65D0E" w:rsidRDefault="00EC79BD" w:rsidP="00632FCC">
            <w:pPr>
              <w:rPr>
                <w:sz w:val="24"/>
                <w:szCs w:val="24"/>
              </w:rPr>
            </w:pPr>
            <w:r w:rsidRPr="05D9DE4F">
              <w:rPr>
                <w:sz w:val="24"/>
                <w:szCs w:val="24"/>
              </w:rPr>
              <w:t>≥40 mg</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2046C5" w14:textId="77777777" w:rsidR="00EC79BD" w:rsidRPr="00A65D0E" w:rsidRDefault="00EC79BD" w:rsidP="00632FCC">
            <w:pPr>
              <w:rPr>
                <w:sz w:val="24"/>
                <w:szCs w:val="24"/>
              </w:rPr>
            </w:pPr>
            <w:r w:rsidRPr="05D9DE4F">
              <w:rPr>
                <w:sz w:val="24"/>
                <w:szCs w:val="24"/>
              </w:rPr>
              <w:t>0,4 E/kg/d</w:t>
            </w:r>
          </w:p>
        </w:tc>
      </w:tr>
      <w:tr w:rsidR="00EC79BD" w:rsidRPr="00A65D0E" w14:paraId="1767028E" w14:textId="77777777" w:rsidTr="00632FCC">
        <w:trPr>
          <w:trHeight w:val="552"/>
        </w:trPr>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69C271C" w14:textId="77777777" w:rsidR="00EC79BD" w:rsidRPr="00A65D0E" w:rsidRDefault="00EC79BD" w:rsidP="00632FCC">
            <w:pPr>
              <w:rPr>
                <w:sz w:val="24"/>
                <w:szCs w:val="24"/>
              </w:rPr>
            </w:pPr>
            <w:r w:rsidRPr="05D9DE4F">
              <w:rPr>
                <w:sz w:val="24"/>
                <w:szCs w:val="24"/>
              </w:rPr>
              <w:t>30 mg</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F9522DA" w14:textId="77777777" w:rsidR="00EC79BD" w:rsidRPr="00A65D0E" w:rsidRDefault="00EC79BD" w:rsidP="00632FCC">
            <w:pPr>
              <w:rPr>
                <w:sz w:val="24"/>
                <w:szCs w:val="24"/>
              </w:rPr>
            </w:pPr>
            <w:r w:rsidRPr="05D9DE4F">
              <w:rPr>
                <w:sz w:val="24"/>
                <w:szCs w:val="24"/>
              </w:rPr>
              <w:t>0,3 E/kg/d</w:t>
            </w:r>
          </w:p>
        </w:tc>
      </w:tr>
      <w:tr w:rsidR="00EC79BD" w:rsidRPr="00A65D0E" w14:paraId="736C88C6" w14:textId="77777777" w:rsidTr="00632FCC">
        <w:trPr>
          <w:trHeight w:val="552"/>
        </w:trPr>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5D9B0B7" w14:textId="77777777" w:rsidR="00EC79BD" w:rsidRPr="00A65D0E" w:rsidRDefault="00EC79BD" w:rsidP="00632FCC">
            <w:pPr>
              <w:rPr>
                <w:sz w:val="24"/>
                <w:szCs w:val="24"/>
              </w:rPr>
            </w:pPr>
            <w:r w:rsidRPr="05D9DE4F">
              <w:rPr>
                <w:sz w:val="24"/>
                <w:szCs w:val="24"/>
              </w:rPr>
              <w:t>20 mg</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B5D3FFC" w14:textId="77777777" w:rsidR="00EC79BD" w:rsidRPr="00A65D0E" w:rsidRDefault="00EC79BD" w:rsidP="00632FCC">
            <w:pPr>
              <w:rPr>
                <w:sz w:val="24"/>
                <w:szCs w:val="24"/>
              </w:rPr>
            </w:pPr>
            <w:r w:rsidRPr="05D9DE4F">
              <w:rPr>
                <w:sz w:val="24"/>
                <w:szCs w:val="24"/>
              </w:rPr>
              <w:t>0,2 E/kg/d</w:t>
            </w:r>
          </w:p>
        </w:tc>
      </w:tr>
      <w:tr w:rsidR="00EC79BD" w:rsidRPr="00A65D0E" w14:paraId="30DE7602" w14:textId="77777777" w:rsidTr="00632FCC">
        <w:trPr>
          <w:trHeight w:val="541"/>
        </w:trPr>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5C8193B" w14:textId="77777777" w:rsidR="00EC79BD" w:rsidRPr="00A65D0E" w:rsidRDefault="00EC79BD" w:rsidP="00632FCC">
            <w:pPr>
              <w:rPr>
                <w:sz w:val="24"/>
                <w:szCs w:val="24"/>
              </w:rPr>
            </w:pPr>
            <w:r w:rsidRPr="05D9DE4F">
              <w:rPr>
                <w:sz w:val="24"/>
                <w:szCs w:val="24"/>
              </w:rPr>
              <w:t>10 mg</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87CA54F" w14:textId="77777777" w:rsidR="00EC79BD" w:rsidRPr="00A65D0E" w:rsidRDefault="00EC79BD" w:rsidP="00632FCC">
            <w:pPr>
              <w:rPr>
                <w:sz w:val="24"/>
                <w:szCs w:val="24"/>
              </w:rPr>
            </w:pPr>
            <w:r w:rsidRPr="05D9DE4F">
              <w:rPr>
                <w:sz w:val="24"/>
                <w:szCs w:val="24"/>
              </w:rPr>
              <w:t>0,1 E/kg/d</w:t>
            </w:r>
          </w:p>
        </w:tc>
      </w:tr>
    </w:tbl>
    <w:p w14:paraId="6161E7F1" w14:textId="77777777" w:rsidR="00EC79BD" w:rsidRDefault="00EC79BD" w:rsidP="00EC79BD">
      <w:pPr>
        <w:pStyle w:val="Rubrik2"/>
        <w:rPr>
          <w:rStyle w:val="Stark"/>
          <w:b/>
        </w:rPr>
      </w:pPr>
    </w:p>
    <w:p w14:paraId="040BF1C1" w14:textId="77777777" w:rsidR="00EC79BD" w:rsidRDefault="00EC79BD" w:rsidP="00EC79BD">
      <w:pPr>
        <w:tabs>
          <w:tab w:val="clear" w:pos="284"/>
        </w:tabs>
        <w:spacing w:after="120" w:line="260" w:lineRule="atLeast"/>
        <w:rPr>
          <w:rStyle w:val="Stark"/>
          <w:rFonts w:asciiTheme="majorHAnsi" w:eastAsiaTheme="majorEastAsia" w:hAnsiTheme="majorHAnsi"/>
          <w:bCs/>
          <w:sz w:val="28"/>
          <w:szCs w:val="26"/>
        </w:rPr>
      </w:pPr>
      <w:r>
        <w:rPr>
          <w:rStyle w:val="Stark"/>
          <w:b w:val="0"/>
        </w:rPr>
        <w:br w:type="page"/>
      </w:r>
    </w:p>
    <w:p w14:paraId="59462D7D" w14:textId="77777777" w:rsidR="00EC79BD" w:rsidRPr="00D21795" w:rsidRDefault="00EC79BD" w:rsidP="00EC79BD">
      <w:pPr>
        <w:pStyle w:val="Rubrik2"/>
      </w:pPr>
      <w:r w:rsidRPr="00D21795">
        <w:rPr>
          <w:rStyle w:val="Stark"/>
          <w:b/>
        </w:rPr>
        <w:lastRenderedPageBreak/>
        <w:t>Riktlinjer för nedtrappning av glukokortikoider</w:t>
      </w:r>
    </w:p>
    <w:p w14:paraId="744BECF9" w14:textId="77777777" w:rsidR="00EC79BD" w:rsidRPr="00A65D0E" w:rsidRDefault="00EC79BD" w:rsidP="00EC79BD">
      <w:pPr>
        <w:rPr>
          <w:sz w:val="24"/>
          <w:szCs w:val="24"/>
        </w:rPr>
      </w:pPr>
      <w:r w:rsidRPr="05D9DE4F">
        <w:rPr>
          <w:sz w:val="24"/>
          <w:szCs w:val="24"/>
        </w:rPr>
        <w:t>(exemplifierat med prednisolon)</w:t>
      </w:r>
    </w:p>
    <w:p w14:paraId="1FCF011F" w14:textId="77777777" w:rsidR="00EC79BD" w:rsidRPr="00A65D0E" w:rsidRDefault="00EC79BD" w:rsidP="00EC79BD">
      <w:pPr>
        <w:numPr>
          <w:ilvl w:val="0"/>
          <w:numId w:val="61"/>
        </w:numPr>
        <w:tabs>
          <w:tab w:val="clear" w:pos="284"/>
        </w:tabs>
        <w:spacing w:before="100" w:beforeAutospacing="1" w:after="100" w:afterAutospacing="1" w:line="240" w:lineRule="auto"/>
        <w:rPr>
          <w:rFonts w:cs="Open Sans"/>
          <w:color w:val="404040" w:themeColor="text1" w:themeTint="BF"/>
          <w:sz w:val="24"/>
          <w:szCs w:val="24"/>
        </w:rPr>
      </w:pPr>
      <w:r w:rsidRPr="05D9DE4F">
        <w:rPr>
          <w:rFonts w:cs="Open Sans"/>
          <w:color w:val="404040" w:themeColor="text1" w:themeTint="BF"/>
          <w:sz w:val="24"/>
          <w:szCs w:val="24"/>
        </w:rPr>
        <w:t>10 mg/dag varje/varannan vecka vid dos ≥60 mg prednisolon/dag</w:t>
      </w:r>
    </w:p>
    <w:p w14:paraId="636AD50E" w14:textId="77777777" w:rsidR="00EC79BD" w:rsidRPr="00A65D0E" w:rsidRDefault="00EC79BD" w:rsidP="00EC79BD">
      <w:pPr>
        <w:numPr>
          <w:ilvl w:val="0"/>
          <w:numId w:val="61"/>
        </w:numPr>
        <w:tabs>
          <w:tab w:val="clear" w:pos="284"/>
        </w:tabs>
        <w:spacing w:before="100" w:beforeAutospacing="1" w:after="100" w:afterAutospacing="1" w:line="240" w:lineRule="auto"/>
        <w:rPr>
          <w:rFonts w:cs="Open Sans"/>
          <w:color w:val="404040" w:themeColor="text1" w:themeTint="BF"/>
          <w:sz w:val="24"/>
          <w:szCs w:val="24"/>
        </w:rPr>
      </w:pPr>
      <w:r w:rsidRPr="05D9DE4F">
        <w:rPr>
          <w:rFonts w:cs="Open Sans"/>
          <w:color w:val="404040" w:themeColor="text1" w:themeTint="BF"/>
          <w:sz w:val="24"/>
          <w:szCs w:val="24"/>
        </w:rPr>
        <w:t>5 mg/dag varje/varannan vecka vid en prednisolondos på 60 - 20 mg/dag</w:t>
      </w:r>
    </w:p>
    <w:p w14:paraId="147C6F47" w14:textId="77777777" w:rsidR="00EC79BD" w:rsidRPr="00A65D0E" w:rsidRDefault="00EC79BD" w:rsidP="00EC79BD">
      <w:pPr>
        <w:numPr>
          <w:ilvl w:val="0"/>
          <w:numId w:val="61"/>
        </w:numPr>
        <w:tabs>
          <w:tab w:val="clear" w:pos="284"/>
        </w:tabs>
        <w:spacing w:before="100" w:beforeAutospacing="1" w:after="100" w:afterAutospacing="1" w:line="240" w:lineRule="auto"/>
        <w:rPr>
          <w:rFonts w:cs="Open Sans"/>
          <w:color w:val="404040" w:themeColor="text1" w:themeTint="BF"/>
          <w:sz w:val="24"/>
          <w:szCs w:val="24"/>
        </w:rPr>
      </w:pPr>
      <w:r w:rsidRPr="05D9DE4F">
        <w:rPr>
          <w:rFonts w:cs="Open Sans"/>
          <w:color w:val="404040" w:themeColor="text1" w:themeTint="BF"/>
          <w:sz w:val="24"/>
          <w:szCs w:val="24"/>
        </w:rPr>
        <w:t>2,5 mg/dag varje/varannan vecka vid en prednisolondos på 19 - 10 mg/dag</w:t>
      </w:r>
    </w:p>
    <w:p w14:paraId="04C5AD92" w14:textId="77777777" w:rsidR="00EC79BD" w:rsidRPr="00A65D0E" w:rsidRDefault="00EC79BD" w:rsidP="00EC79BD">
      <w:pPr>
        <w:numPr>
          <w:ilvl w:val="0"/>
          <w:numId w:val="61"/>
        </w:numPr>
        <w:tabs>
          <w:tab w:val="clear" w:pos="284"/>
        </w:tabs>
        <w:spacing w:before="100" w:beforeAutospacing="1" w:after="100" w:afterAutospacing="1" w:line="240" w:lineRule="auto"/>
        <w:rPr>
          <w:rFonts w:cs="Open Sans"/>
          <w:color w:val="404040" w:themeColor="text1" w:themeTint="BF"/>
          <w:sz w:val="24"/>
          <w:szCs w:val="24"/>
        </w:rPr>
      </w:pPr>
      <w:r w:rsidRPr="05D9DE4F">
        <w:rPr>
          <w:rFonts w:cs="Open Sans"/>
          <w:color w:val="404040" w:themeColor="text1" w:themeTint="BF"/>
          <w:sz w:val="24"/>
          <w:szCs w:val="24"/>
        </w:rPr>
        <w:t>1,25 mg/dag varje/varannan vecka vid en prednisolondos på 9 - 5 mg/dag</w:t>
      </w:r>
    </w:p>
    <w:p w14:paraId="2EA0650D" w14:textId="77777777" w:rsidR="00EC79BD" w:rsidRPr="00A65D0E" w:rsidRDefault="00EC79BD" w:rsidP="00EC79BD">
      <w:pPr>
        <w:numPr>
          <w:ilvl w:val="0"/>
          <w:numId w:val="61"/>
        </w:numPr>
        <w:tabs>
          <w:tab w:val="clear" w:pos="284"/>
        </w:tabs>
        <w:spacing w:before="100" w:beforeAutospacing="1" w:after="100" w:afterAutospacing="1" w:line="240" w:lineRule="auto"/>
        <w:rPr>
          <w:rFonts w:cs="Open Sans"/>
          <w:color w:val="404040" w:themeColor="text1" w:themeTint="BF"/>
          <w:sz w:val="24"/>
          <w:szCs w:val="24"/>
        </w:rPr>
      </w:pPr>
      <w:r w:rsidRPr="05D9DE4F">
        <w:rPr>
          <w:rFonts w:cs="Open Sans"/>
          <w:color w:val="404040" w:themeColor="text1" w:themeTint="BF"/>
          <w:sz w:val="24"/>
          <w:szCs w:val="24"/>
        </w:rPr>
        <w:t>0,625 mg/dag varje/varannan vecka vid en prednisolondos på 5 mg/dag</w:t>
      </w:r>
    </w:p>
    <w:p w14:paraId="5A51613D" w14:textId="77777777" w:rsidR="00EC79BD" w:rsidRDefault="00EC79BD" w:rsidP="00EC79BD">
      <w:pPr>
        <w:rPr>
          <w:sz w:val="24"/>
          <w:szCs w:val="24"/>
        </w:rPr>
      </w:pPr>
      <w:r w:rsidRPr="05D9DE4F">
        <w:rPr>
          <w:sz w:val="24"/>
          <w:szCs w:val="24"/>
        </w:rPr>
        <w:t xml:space="preserve">Informera patienten att tecknen på för snabb nedtrappning är värk, stelhet, styvhet, svaghet, </w:t>
      </w:r>
      <w:r>
        <w:br/>
      </w:r>
      <w:r w:rsidRPr="05D9DE4F">
        <w:rPr>
          <w:sz w:val="24"/>
          <w:szCs w:val="24"/>
        </w:rPr>
        <w:t>sjukdomskänsla och aptitlöshet.</w:t>
      </w:r>
    </w:p>
    <w:p w14:paraId="1765D10F" w14:textId="77777777" w:rsidR="00983DD5" w:rsidRPr="00A65D0E" w:rsidRDefault="00983DD5" w:rsidP="00EC79BD">
      <w:pPr>
        <w:rPr>
          <w:sz w:val="24"/>
          <w:szCs w:val="24"/>
        </w:rPr>
      </w:pPr>
    </w:p>
    <w:p w14:paraId="7F0C3FDE" w14:textId="77777777" w:rsidR="00EC79BD" w:rsidRPr="00A65D0E" w:rsidRDefault="00EC79BD" w:rsidP="00EC79BD">
      <w:pPr>
        <w:pStyle w:val="Normal6"/>
        <w:spacing w:before="0" w:beforeAutospacing="0" w:after="240" w:afterAutospacing="0"/>
        <w:rPr>
          <w:rFonts w:asciiTheme="minorHAnsi" w:hAnsiTheme="minorHAnsi"/>
        </w:rPr>
      </w:pPr>
      <w:r w:rsidRPr="05D9DE4F">
        <w:rPr>
          <w:rStyle w:val="Rubrik3Char"/>
        </w:rPr>
        <w:t>Betametason</w:t>
      </w:r>
      <w:r>
        <w:br/>
      </w:r>
      <w:r w:rsidRPr="05D9DE4F">
        <w:rPr>
          <w:rFonts w:asciiTheme="minorHAnsi" w:hAnsiTheme="minorHAnsi"/>
        </w:rPr>
        <w:t xml:space="preserve">Kortisonpreparat där den antiinflammatoriska effekten sitter i 36 - 72 timmar. </w:t>
      </w:r>
      <w:r>
        <w:rPr>
          <w:rFonts w:asciiTheme="minorHAnsi" w:hAnsiTheme="minorHAnsi"/>
        </w:rPr>
        <w:br/>
      </w:r>
      <w:r w:rsidRPr="05D9DE4F">
        <w:rPr>
          <w:rFonts w:asciiTheme="minorHAnsi" w:hAnsiTheme="minorHAnsi"/>
        </w:rPr>
        <w:t>Finns i vattenlöslig form, vilket inte sällan är en fördel i akutlägen.</w:t>
      </w:r>
    </w:p>
    <w:p w14:paraId="13FB1845" w14:textId="77777777" w:rsidR="00EC79BD" w:rsidRPr="00757518" w:rsidRDefault="00EC79BD" w:rsidP="00EC79BD">
      <w:pPr>
        <w:rPr>
          <w:rStyle w:val="Hyperlnk"/>
          <w:color w:val="0070C0"/>
          <w:sz w:val="24"/>
          <w:szCs w:val="24"/>
        </w:rPr>
      </w:pPr>
      <w:r w:rsidRPr="05D9DE4F">
        <w:rPr>
          <w:rStyle w:val="Rubrik3Char"/>
          <w:rFonts w:cs="Times New Roman"/>
          <w:lang w:eastAsia="sv-SE"/>
        </w:rPr>
        <w:t>Prednisolon</w:t>
      </w:r>
      <w:r>
        <w:br/>
      </w:r>
      <w:r w:rsidRPr="05D9DE4F">
        <w:rPr>
          <w:rFonts w:asciiTheme="minorHAnsi" w:eastAsia="Times New Roman" w:hAnsiTheme="minorHAnsi" w:cs="Times New Roman"/>
          <w:sz w:val="24"/>
          <w:szCs w:val="24"/>
          <w:lang w:eastAsia="sv-SE"/>
        </w:rPr>
        <w:t xml:space="preserve">Kortisonpreparat där den antiinflammatoriska effekten sitter i 12 - 36 timmar. </w:t>
      </w:r>
      <w:r>
        <w:rPr>
          <w:rFonts w:asciiTheme="minorHAnsi" w:eastAsia="Times New Roman" w:hAnsiTheme="minorHAnsi" w:cs="Times New Roman"/>
          <w:sz w:val="24"/>
          <w:szCs w:val="24"/>
          <w:lang w:eastAsia="sv-SE"/>
        </w:rPr>
        <w:br/>
      </w:r>
      <w:r w:rsidRPr="05D9DE4F">
        <w:rPr>
          <w:rFonts w:asciiTheme="minorHAnsi" w:eastAsia="Times New Roman" w:hAnsiTheme="minorHAnsi" w:cs="Times New Roman"/>
          <w:sz w:val="24"/>
          <w:szCs w:val="24"/>
          <w:lang w:eastAsia="sv-SE"/>
        </w:rPr>
        <w:t xml:space="preserve">Dess kortare halveringstid jämfört med betametason är en fördel ur binjurebarkhämningssynpunkt. </w:t>
      </w:r>
      <w:r>
        <w:br/>
      </w:r>
      <w:r>
        <w:br/>
      </w:r>
      <w:r>
        <w:rPr>
          <w:noProof/>
        </w:rPr>
        <w:drawing>
          <wp:inline distT="0" distB="0" distL="0" distR="0" wp14:anchorId="64C0E233" wp14:editId="265E2260">
            <wp:extent cx="5868035" cy="3894004"/>
            <wp:effectExtent l="0" t="0" r="0" b="0"/>
            <wp:docPr id="1646151756" name="picture"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51756" name="picture" descr="En bild som visar text, skärmbild, nummer, Teckensnitt&#10;&#10;AI-genererat innehåll kan vara felaktigt."/>
                    <pic:cNvPicPr/>
                  </pic:nvPicPr>
                  <pic:blipFill>
                    <a:blip r:embed="rId70">
                      <a:extLst>
                        <a:ext uri="{28A0092B-C50C-407E-A947-70E740481C1C}">
                          <a14:useLocalDpi xmlns:a14="http://schemas.microsoft.com/office/drawing/2010/main" val="0"/>
                        </a:ext>
                      </a:extLst>
                    </a:blip>
                    <a:stretch>
                      <a:fillRect/>
                    </a:stretch>
                  </pic:blipFill>
                  <pic:spPr>
                    <a:xfrm>
                      <a:off x="0" y="0"/>
                      <a:ext cx="5868035" cy="3894004"/>
                    </a:xfrm>
                    <a:prstGeom prst="rect">
                      <a:avLst/>
                    </a:prstGeom>
                  </pic:spPr>
                </pic:pic>
              </a:graphicData>
            </a:graphic>
          </wp:inline>
        </w:drawing>
      </w:r>
      <w:r>
        <w:br/>
      </w:r>
      <w:r w:rsidRPr="00757518">
        <w:rPr>
          <w:sz w:val="24"/>
          <w:szCs w:val="24"/>
        </w:rPr>
        <w:t xml:space="preserve">Tabellen hämtad från läkemedelsboken: </w:t>
      </w:r>
      <w:r w:rsidRPr="00757518">
        <w:rPr>
          <w:sz w:val="24"/>
          <w:szCs w:val="24"/>
        </w:rPr>
        <w:fldChar w:fldCharType="begin"/>
      </w:r>
      <w:r w:rsidRPr="00757518">
        <w:rPr>
          <w:sz w:val="24"/>
          <w:szCs w:val="24"/>
        </w:rPr>
        <w:instrText>HYPERLINK "https://lakemedelsboken.se/kapitel/endokrinologi/kortikosteroider_och_hypofyshormoner.html" \h</w:instrText>
      </w:r>
      <w:r w:rsidRPr="00757518">
        <w:rPr>
          <w:sz w:val="24"/>
          <w:szCs w:val="24"/>
        </w:rPr>
      </w:r>
      <w:r w:rsidRPr="00757518">
        <w:rPr>
          <w:sz w:val="24"/>
          <w:szCs w:val="24"/>
        </w:rPr>
        <w:fldChar w:fldCharType="separate"/>
      </w:r>
      <w:r w:rsidRPr="00757518">
        <w:rPr>
          <w:rStyle w:val="Hyperlnk"/>
          <w:color w:val="0070C0"/>
          <w:sz w:val="24"/>
          <w:szCs w:val="24"/>
        </w:rPr>
        <w:t>Kortikosteroider och hypofyshormoner | Läkemedelsboken (lakemedelsboken.se)</w:t>
      </w:r>
    </w:p>
    <w:p w14:paraId="22DEC2D8" w14:textId="77777777" w:rsidR="00EC79BD" w:rsidRPr="00757518" w:rsidRDefault="00EC79BD" w:rsidP="00EC79BD">
      <w:pPr>
        <w:tabs>
          <w:tab w:val="clear" w:pos="284"/>
        </w:tabs>
        <w:spacing w:after="120" w:line="260" w:lineRule="atLeast"/>
        <w:rPr>
          <w:rStyle w:val="Hyperlnk"/>
          <w:color w:val="0070C0"/>
          <w:sz w:val="24"/>
          <w:szCs w:val="24"/>
        </w:rPr>
      </w:pPr>
      <w:r w:rsidRPr="00757518">
        <w:rPr>
          <w:rStyle w:val="Hyperlnk"/>
          <w:color w:val="0070C0"/>
          <w:sz w:val="24"/>
          <w:szCs w:val="24"/>
        </w:rPr>
        <w:br w:type="page"/>
      </w:r>
    </w:p>
    <w:p w14:paraId="56E59FA6" w14:textId="77777777" w:rsidR="00EC79BD" w:rsidRPr="004F0F2E" w:rsidRDefault="00EC79BD" w:rsidP="00EC79BD">
      <w:pPr>
        <w:jc w:val="both"/>
        <w:rPr>
          <w:rFonts w:asciiTheme="majorHAnsi" w:eastAsiaTheme="majorEastAsia" w:hAnsiTheme="majorHAnsi"/>
          <w:b/>
          <w:bCs/>
          <w:sz w:val="28"/>
          <w:szCs w:val="26"/>
        </w:rPr>
      </w:pPr>
      <w:r w:rsidRPr="00757518">
        <w:rPr>
          <w:color w:val="0070C0"/>
          <w:sz w:val="24"/>
          <w:szCs w:val="24"/>
        </w:rPr>
        <w:lastRenderedPageBreak/>
        <w:fldChar w:fldCharType="end"/>
      </w:r>
      <w:r w:rsidRPr="004F0F2E">
        <w:rPr>
          <w:rFonts w:asciiTheme="majorHAnsi" w:eastAsia="Calibri" w:hAnsiTheme="majorHAnsi" w:cs="Calibri"/>
          <w:b/>
          <w:sz w:val="28"/>
          <w:szCs w:val="28"/>
        </w:rPr>
        <w:t>Primär hypotyreos</w:t>
      </w:r>
    </w:p>
    <w:p w14:paraId="422A9293" w14:textId="77777777" w:rsidR="00EC79BD" w:rsidRPr="00981C42" w:rsidRDefault="00EC79BD" w:rsidP="00EC79BD">
      <w:pPr>
        <w:jc w:val="both"/>
        <w:rPr>
          <w:rFonts w:eastAsia="Calibri" w:cs="Calibri"/>
          <w:b/>
        </w:rPr>
      </w:pPr>
    </w:p>
    <w:p w14:paraId="7645E120" w14:textId="77777777" w:rsidR="00EC79BD" w:rsidRPr="00981C42" w:rsidRDefault="00EC79BD" w:rsidP="00EC79BD">
      <w:pPr>
        <w:numPr>
          <w:ilvl w:val="0"/>
          <w:numId w:val="128"/>
        </w:numPr>
        <w:tabs>
          <w:tab w:val="clear" w:pos="284"/>
          <w:tab w:val="left" w:pos="426"/>
        </w:tabs>
        <w:ind w:hanging="1080"/>
        <w:contextualSpacing/>
        <w:jc w:val="both"/>
        <w:rPr>
          <w:rFonts w:eastAsia="Calibri" w:cs="Calibri"/>
          <w:b/>
          <w:sz w:val="24"/>
          <w:szCs w:val="24"/>
        </w:rPr>
      </w:pPr>
      <w:r w:rsidRPr="00981C42">
        <w:rPr>
          <w:rFonts w:eastAsia="Calibri" w:cs="Calibri"/>
          <w:b/>
          <w:sz w:val="24"/>
          <w:szCs w:val="24"/>
        </w:rPr>
        <w:t>Levotyroxin som monoterapi</w:t>
      </w:r>
    </w:p>
    <w:p w14:paraId="71DA6CA7" w14:textId="77777777" w:rsidR="00EC79BD" w:rsidRPr="00983DD5" w:rsidRDefault="00EC79BD" w:rsidP="00EC79BD">
      <w:pPr>
        <w:jc w:val="both"/>
        <w:rPr>
          <w:rFonts w:asciiTheme="minorHAnsi" w:eastAsia="Calibri" w:hAnsiTheme="minorHAnsi" w:cs="Calibri"/>
          <w:bCs/>
          <w:sz w:val="24"/>
          <w:szCs w:val="24"/>
        </w:rPr>
      </w:pPr>
      <w:r w:rsidRPr="00983DD5">
        <w:rPr>
          <w:rFonts w:asciiTheme="minorHAnsi" w:eastAsia="Calibri" w:hAnsiTheme="minorHAnsi" w:cs="Calibri"/>
          <w:bCs/>
          <w:sz w:val="24"/>
          <w:szCs w:val="24"/>
        </w:rPr>
        <w:t xml:space="preserve">Tablett: </w:t>
      </w:r>
    </w:p>
    <w:p w14:paraId="63872F63" w14:textId="77777777" w:rsidR="00EC79BD" w:rsidRPr="00983DD5" w:rsidRDefault="00EC79BD" w:rsidP="00EC79BD">
      <w:pPr>
        <w:numPr>
          <w:ilvl w:val="0"/>
          <w:numId w:val="124"/>
        </w:numPr>
        <w:contextualSpacing/>
        <w:jc w:val="both"/>
        <w:rPr>
          <w:rFonts w:asciiTheme="minorHAnsi" w:eastAsia="Calibri" w:hAnsiTheme="minorHAnsi" w:cs="Calibri"/>
          <w:bCs/>
          <w:sz w:val="24"/>
          <w:szCs w:val="24"/>
        </w:rPr>
      </w:pPr>
      <w:r w:rsidRPr="00983DD5">
        <w:rPr>
          <w:rFonts w:asciiTheme="minorHAnsi" w:eastAsia="Calibri" w:hAnsiTheme="minorHAnsi" w:cs="Calibri"/>
          <w:bCs/>
          <w:sz w:val="24"/>
          <w:szCs w:val="24"/>
        </w:rPr>
        <w:t>Levaxin, Eutyrox</w:t>
      </w:r>
    </w:p>
    <w:p w14:paraId="5431D862" w14:textId="77777777" w:rsidR="00EC79BD" w:rsidRPr="00983DD5" w:rsidRDefault="00EC79BD" w:rsidP="00EC79BD">
      <w:pPr>
        <w:numPr>
          <w:ilvl w:val="0"/>
          <w:numId w:val="124"/>
        </w:numPr>
        <w:contextualSpacing/>
        <w:jc w:val="both"/>
        <w:rPr>
          <w:rFonts w:asciiTheme="minorHAnsi" w:eastAsia="Times New Roman" w:hAnsiTheme="minorHAnsi" w:cs="Arial"/>
          <w:bCs/>
          <w:color w:val="333333"/>
          <w:spacing w:val="4"/>
          <w:sz w:val="24"/>
          <w:szCs w:val="24"/>
          <w:shd w:val="clear" w:color="auto" w:fill="FFFFFF"/>
          <w:lang w:eastAsia="sv-SE"/>
        </w:rPr>
      </w:pPr>
      <w:r w:rsidRPr="00983DD5">
        <w:rPr>
          <w:rFonts w:asciiTheme="minorHAnsi" w:eastAsia="Times New Roman" w:hAnsiTheme="minorHAnsi" w:cs="Arial"/>
          <w:bCs/>
          <w:color w:val="333333"/>
          <w:spacing w:val="4"/>
          <w:sz w:val="24"/>
          <w:szCs w:val="24"/>
          <w:shd w:val="clear" w:color="auto" w:fill="FFFFFF"/>
          <w:lang w:eastAsia="sv-SE"/>
        </w:rPr>
        <w:t>L-Thyroxin Henning (Sanofi)</w:t>
      </w:r>
      <w:r w:rsidRPr="00983DD5">
        <w:rPr>
          <w:rFonts w:asciiTheme="minorHAnsi" w:eastAsia="Calibri" w:hAnsiTheme="minorHAnsi" w:cs="Calibri"/>
          <w:bCs/>
          <w:sz w:val="24"/>
          <w:szCs w:val="24"/>
        </w:rPr>
        <w:t xml:space="preserve"> innehåller varken laktos eller gelatin</w:t>
      </w:r>
      <w:r w:rsidRPr="00983DD5">
        <w:rPr>
          <w:rFonts w:asciiTheme="minorHAnsi" w:eastAsia="Times New Roman" w:hAnsiTheme="minorHAnsi" w:cs="Arial"/>
          <w:bCs/>
          <w:color w:val="333333"/>
          <w:spacing w:val="4"/>
          <w:sz w:val="24"/>
          <w:szCs w:val="24"/>
          <w:shd w:val="clear" w:color="auto" w:fill="FFFFFF"/>
          <w:lang w:eastAsia="sv-SE"/>
        </w:rPr>
        <w:t>. Finns i styrkorna 25, 50, 75, 100, 125, 150, 175 och 200 µg. Det kan förskrivas på licens.</w:t>
      </w:r>
    </w:p>
    <w:p w14:paraId="17470544" w14:textId="77777777" w:rsidR="00EC79BD" w:rsidRPr="00983DD5" w:rsidRDefault="00EC79BD" w:rsidP="00EC79BD">
      <w:pPr>
        <w:jc w:val="both"/>
        <w:rPr>
          <w:rFonts w:asciiTheme="minorHAnsi" w:eastAsia="Calibri" w:hAnsiTheme="minorHAnsi" w:cs="Calibri"/>
          <w:b/>
          <w:sz w:val="24"/>
          <w:szCs w:val="24"/>
        </w:rPr>
      </w:pPr>
    </w:p>
    <w:p w14:paraId="1AA1B721" w14:textId="77777777" w:rsidR="00EC79BD" w:rsidRPr="00983DD5" w:rsidRDefault="00EC79BD" w:rsidP="00EC79BD">
      <w:pPr>
        <w:jc w:val="both"/>
        <w:rPr>
          <w:rFonts w:asciiTheme="minorHAnsi" w:eastAsia="Garamond" w:hAnsiTheme="minorHAnsi" w:cs="Calibri"/>
          <w:noProof/>
          <w:sz w:val="24"/>
          <w:szCs w:val="24"/>
        </w:rPr>
      </w:pPr>
      <w:r w:rsidRPr="00983DD5">
        <w:rPr>
          <w:rFonts w:asciiTheme="minorHAnsi" w:eastAsia="Garamond" w:hAnsiTheme="minorHAnsi" w:cs="Calibri"/>
          <w:noProof/>
          <w:sz w:val="24"/>
          <w:szCs w:val="24"/>
        </w:rPr>
        <w:t>Levotyroxin omvandlas perifert till liotyronin (T3) som står för den biologiska aktiviteten. Processen liknar fysiologiska förhållanden och räcker som enda behandling.</w:t>
      </w:r>
    </w:p>
    <w:p w14:paraId="48FB3405" w14:textId="77777777" w:rsidR="00EC79BD" w:rsidRPr="00983DD5" w:rsidRDefault="00EC79BD" w:rsidP="00EC79BD">
      <w:pPr>
        <w:jc w:val="both"/>
        <w:rPr>
          <w:rFonts w:asciiTheme="minorHAnsi" w:eastAsia="Garamond" w:hAnsiTheme="minorHAnsi" w:cs="Calibri"/>
          <w:noProof/>
          <w:sz w:val="24"/>
          <w:szCs w:val="24"/>
        </w:rPr>
      </w:pPr>
    </w:p>
    <w:p w14:paraId="68078525" w14:textId="77777777" w:rsidR="00EC79BD" w:rsidRPr="00983DD5" w:rsidRDefault="00EC79BD" w:rsidP="00EC79BD">
      <w:pPr>
        <w:jc w:val="both"/>
        <w:rPr>
          <w:rFonts w:asciiTheme="minorHAnsi" w:eastAsia="Garamond" w:hAnsiTheme="minorHAnsi" w:cs="Calibri"/>
          <w:noProof/>
          <w:sz w:val="24"/>
          <w:szCs w:val="24"/>
        </w:rPr>
      </w:pPr>
      <w:r w:rsidRPr="00983DD5">
        <w:rPr>
          <w:rFonts w:asciiTheme="minorHAnsi" w:eastAsia="Garamond" w:hAnsiTheme="minorHAnsi" w:cs="Calibri"/>
          <w:noProof/>
          <w:sz w:val="24"/>
          <w:szCs w:val="24"/>
        </w:rPr>
        <w:t>Hantering av primär hypotyreos:</w:t>
      </w:r>
    </w:p>
    <w:p w14:paraId="038BDAC6" w14:textId="77777777" w:rsidR="00EC79BD" w:rsidRPr="00983DD5" w:rsidRDefault="00EC79BD" w:rsidP="00EC79BD">
      <w:pPr>
        <w:numPr>
          <w:ilvl w:val="0"/>
          <w:numId w:val="130"/>
        </w:numPr>
        <w:ind w:left="567" w:hanging="567"/>
        <w:contextualSpacing/>
        <w:jc w:val="both"/>
        <w:rPr>
          <w:rFonts w:asciiTheme="minorHAnsi" w:eastAsia="Garamond" w:hAnsiTheme="minorHAnsi" w:cs="Calibri"/>
          <w:noProof/>
          <w:sz w:val="24"/>
          <w:szCs w:val="24"/>
        </w:rPr>
      </w:pPr>
      <w:r w:rsidRPr="00983DD5">
        <w:rPr>
          <w:rFonts w:asciiTheme="minorHAnsi" w:eastAsia="Garamond" w:hAnsiTheme="minorHAnsi" w:cs="Calibri"/>
          <w:noProof/>
          <w:sz w:val="24"/>
          <w:szCs w:val="24"/>
        </w:rPr>
        <w:t>Rekommenderas levotyroxin som förstahandsvalt läkemedel båda för vuxna och barn</w:t>
      </w:r>
    </w:p>
    <w:p w14:paraId="27549AD9" w14:textId="77777777" w:rsidR="00EC79BD" w:rsidRPr="00983DD5" w:rsidRDefault="00EC79BD" w:rsidP="00EC79BD">
      <w:pPr>
        <w:numPr>
          <w:ilvl w:val="0"/>
          <w:numId w:val="130"/>
        </w:numPr>
        <w:ind w:left="284" w:hanging="284"/>
        <w:contextualSpacing/>
        <w:jc w:val="both"/>
        <w:rPr>
          <w:rFonts w:asciiTheme="minorHAnsi" w:eastAsia="Calibri" w:hAnsiTheme="minorHAnsi" w:cs="Calibri"/>
          <w:bCs/>
          <w:sz w:val="24"/>
          <w:szCs w:val="24"/>
        </w:rPr>
      </w:pPr>
      <w:r w:rsidRPr="00983DD5">
        <w:rPr>
          <w:rFonts w:asciiTheme="minorHAnsi" w:eastAsia="Calibri" w:hAnsiTheme="minorHAnsi" w:cs="Calibri"/>
          <w:bCs/>
          <w:sz w:val="24"/>
          <w:szCs w:val="24"/>
        </w:rPr>
        <w:t>Börja med 1.6 ug / kg kroppsvikt / dag (avrundat till närmaste 25 ug) för vuxna under 65 år och ingen uppgift om kardiovaskulär sjukdom</w:t>
      </w:r>
    </w:p>
    <w:p w14:paraId="73C54428" w14:textId="77777777" w:rsidR="00EC79BD" w:rsidRPr="00983DD5" w:rsidRDefault="00EC79BD" w:rsidP="00EC79BD">
      <w:pPr>
        <w:numPr>
          <w:ilvl w:val="0"/>
          <w:numId w:val="130"/>
        </w:numPr>
        <w:ind w:left="284" w:hanging="284"/>
        <w:contextualSpacing/>
        <w:jc w:val="both"/>
        <w:rPr>
          <w:rFonts w:asciiTheme="minorHAnsi" w:eastAsia="Calibri" w:hAnsiTheme="minorHAnsi" w:cs="Calibri"/>
          <w:bCs/>
          <w:sz w:val="24"/>
          <w:szCs w:val="24"/>
        </w:rPr>
      </w:pPr>
      <w:r w:rsidRPr="00983DD5">
        <w:rPr>
          <w:rFonts w:asciiTheme="minorHAnsi" w:eastAsia="Calibri" w:hAnsiTheme="minorHAnsi" w:cs="Calibri"/>
          <w:bCs/>
          <w:sz w:val="24"/>
          <w:szCs w:val="24"/>
        </w:rPr>
        <w:t xml:space="preserve">Behandlingsstart med levotyroxin i en dos på 25 – 50 ug /dag hos vuxna över 65 års ålder samt hos vuxna med känd kardiovaskulär sjukdom </w:t>
      </w:r>
    </w:p>
    <w:p w14:paraId="71D49DC0" w14:textId="77777777" w:rsidR="00EC79BD" w:rsidRPr="00983DD5" w:rsidRDefault="00EC79BD" w:rsidP="00EC79BD">
      <w:pPr>
        <w:numPr>
          <w:ilvl w:val="0"/>
          <w:numId w:val="130"/>
        </w:numPr>
        <w:ind w:left="284" w:hanging="284"/>
        <w:contextualSpacing/>
        <w:jc w:val="both"/>
        <w:rPr>
          <w:rFonts w:asciiTheme="minorHAnsi" w:eastAsia="Calibri" w:hAnsiTheme="minorHAnsi" w:cs="Calibri"/>
          <w:bCs/>
          <w:sz w:val="24"/>
          <w:szCs w:val="24"/>
        </w:rPr>
      </w:pPr>
      <w:r w:rsidRPr="00983DD5">
        <w:rPr>
          <w:rFonts w:asciiTheme="minorHAnsi" w:eastAsia="Calibri" w:hAnsiTheme="minorHAnsi" w:cs="Calibri"/>
          <w:bCs/>
          <w:sz w:val="24"/>
          <w:szCs w:val="24"/>
        </w:rPr>
        <w:t xml:space="preserve">Testa inte rutinmässigt för aTPO-antikroppar. Positivt svar på aTPO analys i samband med sköldkörtelssjukdom indikerar endast att patogenesen troligen är autoimmun. Eftersom autoimmunitet i sköldkörtel är ett kroniskt tillstånd finns det sällan behov av att kontrollera anti-TPO titre efter att de väl har diagnostiserats. Det är ovanligt att mätning av aTPO-antikroppar påverkar patienthanteringen. </w:t>
      </w:r>
    </w:p>
    <w:p w14:paraId="04B4CC42" w14:textId="77777777" w:rsidR="00EC79BD" w:rsidRPr="00983DD5" w:rsidRDefault="00EC79BD" w:rsidP="00EC79BD">
      <w:pPr>
        <w:jc w:val="both"/>
        <w:rPr>
          <w:rFonts w:asciiTheme="minorHAnsi" w:eastAsia="Calibri" w:hAnsiTheme="minorHAnsi" w:cs="Calibri"/>
          <w:bCs/>
          <w:sz w:val="24"/>
          <w:szCs w:val="24"/>
        </w:rPr>
      </w:pPr>
    </w:p>
    <w:p w14:paraId="270CBD0C" w14:textId="77777777" w:rsidR="00EC79BD" w:rsidRPr="00983DD5" w:rsidRDefault="00EC79BD" w:rsidP="00EC79BD">
      <w:pPr>
        <w:jc w:val="both"/>
        <w:rPr>
          <w:rFonts w:asciiTheme="minorHAnsi" w:eastAsia="Calibri" w:hAnsiTheme="minorHAnsi" w:cs="Calibri"/>
          <w:bCs/>
          <w:sz w:val="24"/>
          <w:szCs w:val="24"/>
        </w:rPr>
      </w:pPr>
      <w:r w:rsidRPr="00983DD5">
        <w:rPr>
          <w:rFonts w:asciiTheme="minorHAnsi" w:eastAsia="Calibri" w:hAnsiTheme="minorHAnsi" w:cs="Calibri"/>
          <w:bCs/>
          <w:sz w:val="24"/>
          <w:szCs w:val="24"/>
        </w:rPr>
        <w:t>Uppföljning av primär hypotyreos:</w:t>
      </w:r>
    </w:p>
    <w:p w14:paraId="2EBD2A43" w14:textId="77777777" w:rsidR="00EC79BD" w:rsidRPr="00983DD5" w:rsidRDefault="00EC79BD" w:rsidP="00EC79BD">
      <w:pPr>
        <w:numPr>
          <w:ilvl w:val="0"/>
          <w:numId w:val="131"/>
        </w:numPr>
        <w:ind w:left="284" w:hanging="284"/>
        <w:contextualSpacing/>
        <w:jc w:val="both"/>
        <w:rPr>
          <w:rFonts w:asciiTheme="minorHAnsi" w:eastAsia="Calibri" w:hAnsiTheme="minorHAnsi" w:cs="Calibri"/>
          <w:bCs/>
          <w:sz w:val="24"/>
          <w:szCs w:val="24"/>
        </w:rPr>
      </w:pPr>
      <w:r w:rsidRPr="00983DD5">
        <w:rPr>
          <w:rFonts w:asciiTheme="minorHAnsi" w:eastAsia="Calibri" w:hAnsiTheme="minorHAnsi" w:cs="Calibri"/>
          <w:bCs/>
          <w:sz w:val="24"/>
          <w:szCs w:val="24"/>
        </w:rPr>
        <w:t>Målet är att hålla TSH-nivåerna inom referensintervallet. Om symtomen kvarstår överväg att justera levotyroxindosen ytterligare för att uppnå optimalt välbefinnande men undvik att använda doser som orsakar TSH-suppression, under 0.1</w:t>
      </w:r>
      <w:r w:rsidRPr="00983DD5">
        <w:rPr>
          <w:rFonts w:asciiTheme="minorHAnsi" w:eastAsia="Calibri" w:hAnsiTheme="minorHAnsi" w:cs="Times New Roman"/>
          <w:sz w:val="24"/>
          <w:szCs w:val="24"/>
          <w:vertAlign w:val="superscript"/>
        </w:rPr>
        <w:sym w:font="Symbol" w:char="F02A"/>
      </w:r>
      <w:r w:rsidRPr="00983DD5">
        <w:rPr>
          <w:rFonts w:asciiTheme="minorHAnsi" w:eastAsia="Calibri" w:hAnsiTheme="minorHAnsi" w:cs="Calibri"/>
          <w:bCs/>
          <w:sz w:val="24"/>
          <w:szCs w:val="24"/>
        </w:rPr>
        <w:t xml:space="preserve">, eller tyreotoxikos. </w:t>
      </w:r>
    </w:p>
    <w:p w14:paraId="2A0B08F5" w14:textId="77777777" w:rsidR="00EC79BD" w:rsidRPr="00983DD5" w:rsidRDefault="00EC79BD" w:rsidP="00EC79BD">
      <w:pPr>
        <w:numPr>
          <w:ilvl w:val="0"/>
          <w:numId w:val="131"/>
        </w:numPr>
        <w:ind w:left="284" w:hanging="284"/>
        <w:contextualSpacing/>
        <w:jc w:val="both"/>
        <w:rPr>
          <w:rFonts w:asciiTheme="minorHAnsi" w:eastAsia="Calibri" w:hAnsiTheme="minorHAnsi" w:cs="Calibri"/>
          <w:bCs/>
          <w:sz w:val="24"/>
          <w:szCs w:val="24"/>
        </w:rPr>
      </w:pPr>
      <w:r w:rsidRPr="00983DD5">
        <w:rPr>
          <w:rFonts w:asciiTheme="minorHAnsi" w:eastAsia="Calibri" w:hAnsiTheme="minorHAnsi" w:cs="Calibri"/>
          <w:bCs/>
          <w:sz w:val="24"/>
          <w:szCs w:val="24"/>
        </w:rPr>
        <w:t>Ta hänsyn till att det kan ta upp till 6 månader innan TSH återgår till referensintervallet för personer som hade mycket hög TSH-nivå innan behandling med levotyroxin påbörjades, eller för personer som hade obehandlad hypotyreos under en längre period.</w:t>
      </w:r>
    </w:p>
    <w:p w14:paraId="046376D3" w14:textId="77777777" w:rsidR="00EC79BD" w:rsidRPr="00983DD5" w:rsidRDefault="00EC79BD" w:rsidP="00EC79BD">
      <w:pPr>
        <w:numPr>
          <w:ilvl w:val="0"/>
          <w:numId w:val="131"/>
        </w:numPr>
        <w:ind w:left="284" w:hanging="284"/>
        <w:contextualSpacing/>
        <w:jc w:val="both"/>
        <w:rPr>
          <w:rFonts w:asciiTheme="minorHAnsi" w:eastAsia="Calibri" w:hAnsiTheme="minorHAnsi" w:cs="Calibri"/>
          <w:bCs/>
          <w:sz w:val="24"/>
          <w:szCs w:val="24"/>
        </w:rPr>
      </w:pPr>
      <w:r w:rsidRPr="00983DD5">
        <w:rPr>
          <w:rFonts w:asciiTheme="minorHAnsi" w:eastAsia="Calibri" w:hAnsiTheme="minorHAnsi" w:cs="Calibri"/>
          <w:bCs/>
          <w:sz w:val="24"/>
          <w:szCs w:val="24"/>
        </w:rPr>
        <w:t>För vuxna som tar levotyroxin analysera TSH var tredje månad tills nivån har stabiliserats (2 liknande mätningar inom referensintervallet med 3 månaders mellanrum) och sedan en gång om året.</w:t>
      </w:r>
    </w:p>
    <w:p w14:paraId="76D22BA1" w14:textId="77777777" w:rsidR="00EC79BD" w:rsidRPr="00983DD5" w:rsidRDefault="00EC79BD" w:rsidP="00EC79BD">
      <w:pPr>
        <w:numPr>
          <w:ilvl w:val="0"/>
          <w:numId w:val="131"/>
        </w:numPr>
        <w:ind w:left="284" w:hanging="284"/>
        <w:contextualSpacing/>
        <w:jc w:val="both"/>
        <w:rPr>
          <w:rFonts w:asciiTheme="minorHAnsi" w:eastAsia="Calibri" w:hAnsiTheme="minorHAnsi" w:cs="Calibri"/>
          <w:bCs/>
          <w:sz w:val="24"/>
          <w:szCs w:val="24"/>
        </w:rPr>
      </w:pPr>
      <w:r w:rsidRPr="00983DD5">
        <w:rPr>
          <w:rFonts w:asciiTheme="minorHAnsi" w:eastAsia="Calibri" w:hAnsiTheme="minorHAnsi" w:cs="Calibri"/>
          <w:bCs/>
          <w:sz w:val="24"/>
          <w:szCs w:val="24"/>
        </w:rPr>
        <w:t xml:space="preserve">Använd inte rutinmässigt FT4 samt FT3 för att screena för hypotyreos eller för att justera levotyroxin-dosen hos patienter med känd primär hypotyreos. </w:t>
      </w:r>
    </w:p>
    <w:p w14:paraId="77E0BB6B" w14:textId="77777777" w:rsidR="00EC79BD" w:rsidRPr="00983DD5" w:rsidRDefault="00EC79BD" w:rsidP="00EC79BD">
      <w:pPr>
        <w:numPr>
          <w:ilvl w:val="0"/>
          <w:numId w:val="131"/>
        </w:numPr>
        <w:ind w:left="284" w:hanging="284"/>
        <w:contextualSpacing/>
        <w:jc w:val="both"/>
        <w:rPr>
          <w:rFonts w:asciiTheme="minorHAnsi" w:eastAsia="Calibri" w:hAnsiTheme="minorHAnsi" w:cs="Calibri"/>
          <w:bCs/>
          <w:sz w:val="24"/>
          <w:szCs w:val="24"/>
        </w:rPr>
      </w:pPr>
      <w:r w:rsidRPr="00983DD5">
        <w:rPr>
          <w:rFonts w:asciiTheme="minorHAnsi" w:eastAsia="Calibri" w:hAnsiTheme="minorHAnsi" w:cs="Calibri"/>
          <w:bCs/>
          <w:sz w:val="24"/>
          <w:szCs w:val="24"/>
        </w:rPr>
        <w:t>Överväg att mäta FT4 såväl som TSH för vuxna som fortsätter att ha symtom på hypotyreos efter att ha påbörjat levotyroxinbehandling.</w:t>
      </w:r>
    </w:p>
    <w:p w14:paraId="0382E280" w14:textId="77777777" w:rsidR="00EC79BD" w:rsidRPr="00983DD5" w:rsidRDefault="00EC79BD" w:rsidP="00EC79BD">
      <w:pPr>
        <w:jc w:val="both"/>
        <w:rPr>
          <w:rFonts w:asciiTheme="minorHAnsi" w:eastAsia="Calibri" w:hAnsiTheme="minorHAnsi" w:cs="Calibri"/>
          <w:bCs/>
          <w:sz w:val="24"/>
          <w:szCs w:val="24"/>
        </w:rPr>
      </w:pPr>
    </w:p>
    <w:p w14:paraId="4F37E7E5" w14:textId="77777777" w:rsidR="00EC79BD" w:rsidRPr="00983DD5" w:rsidRDefault="00EC79BD" w:rsidP="00EC79BD">
      <w:pPr>
        <w:jc w:val="both"/>
        <w:rPr>
          <w:rFonts w:asciiTheme="minorHAnsi" w:eastAsia="Calibri" w:hAnsiTheme="minorHAnsi" w:cs="Calibri"/>
          <w:bCs/>
          <w:sz w:val="24"/>
          <w:szCs w:val="24"/>
        </w:rPr>
      </w:pPr>
      <w:r w:rsidRPr="00983DD5">
        <w:rPr>
          <w:rFonts w:asciiTheme="minorHAnsi" w:eastAsia="Calibri" w:hAnsiTheme="minorHAnsi" w:cs="Calibri"/>
          <w:bCs/>
          <w:sz w:val="24"/>
          <w:szCs w:val="24"/>
        </w:rPr>
        <w:t>Vid kvartsående symtom tydande på - bland annat - primär hypotyreos trotts normaliserat TSH värde</w:t>
      </w:r>
    </w:p>
    <w:p w14:paraId="2EC81A27" w14:textId="77777777" w:rsidR="00EC79BD" w:rsidRPr="00983DD5" w:rsidRDefault="00EC79BD" w:rsidP="00EC79BD">
      <w:pPr>
        <w:numPr>
          <w:ilvl w:val="0"/>
          <w:numId w:val="124"/>
        </w:numPr>
        <w:contextualSpacing/>
        <w:jc w:val="both"/>
        <w:rPr>
          <w:rFonts w:asciiTheme="minorHAnsi" w:eastAsia="Calibri" w:hAnsiTheme="minorHAnsi" w:cs="Calibri"/>
          <w:bCs/>
          <w:sz w:val="24"/>
          <w:szCs w:val="24"/>
        </w:rPr>
      </w:pPr>
      <w:r w:rsidRPr="00983DD5">
        <w:rPr>
          <w:rFonts w:asciiTheme="minorHAnsi" w:eastAsia="Calibri" w:hAnsiTheme="minorHAnsi" w:cs="Calibri"/>
          <w:bCs/>
          <w:sz w:val="24"/>
          <w:szCs w:val="24"/>
        </w:rPr>
        <w:t>uteslut andra sjukdomar än hypotyreos</w:t>
      </w:r>
    </w:p>
    <w:p w14:paraId="4DA01B77" w14:textId="77777777" w:rsidR="00EC79BD" w:rsidRPr="00983DD5" w:rsidRDefault="00EC79BD" w:rsidP="00EC79BD">
      <w:pPr>
        <w:numPr>
          <w:ilvl w:val="0"/>
          <w:numId w:val="124"/>
        </w:numPr>
        <w:contextualSpacing/>
        <w:jc w:val="both"/>
        <w:rPr>
          <w:rFonts w:asciiTheme="minorHAnsi" w:eastAsia="Calibri" w:hAnsiTheme="minorHAnsi" w:cs="Calibri"/>
          <w:bCs/>
          <w:sz w:val="24"/>
          <w:szCs w:val="24"/>
        </w:rPr>
      </w:pPr>
      <w:r w:rsidRPr="00983DD5">
        <w:rPr>
          <w:rFonts w:asciiTheme="minorHAnsi" w:eastAsia="Calibri" w:hAnsiTheme="minorHAnsi" w:cs="Calibri"/>
          <w:bCs/>
          <w:sz w:val="24"/>
          <w:szCs w:val="24"/>
        </w:rPr>
        <w:t xml:space="preserve">optimalisera LT4-behandling då flera personer svarar positivt vid finjustering av LT4-behandling. </w:t>
      </w:r>
      <w:r w:rsidRPr="00983DD5">
        <w:rPr>
          <w:rFonts w:asciiTheme="minorHAnsi" w:eastAsia="Calibri" w:hAnsiTheme="minorHAnsi" w:cs="Calibri"/>
          <w:bCs/>
          <w:sz w:val="24"/>
          <w:szCs w:val="24"/>
        </w:rPr>
        <w:sym w:font="Symbol" w:char="F02A"/>
      </w:r>
      <w:r w:rsidRPr="00983DD5">
        <w:rPr>
          <w:rFonts w:asciiTheme="minorHAnsi" w:eastAsia="Calibri" w:hAnsiTheme="minorHAnsi" w:cs="Calibri"/>
          <w:bCs/>
          <w:sz w:val="24"/>
          <w:szCs w:val="24"/>
        </w:rPr>
        <w:t xml:space="preserve">Hos vissa, selekterade patienter får tyroxindosen höjas för att TSH nivå hamnar i den nedre delen av referensintervallet, till och med ner till 0.1 (dock aldrig TSH &lt; 0.1 mE/L) huruvida symtomen lindras / försvinner. Om man inte kan konstatera förbättring i </w:t>
      </w:r>
      <w:r w:rsidRPr="00983DD5">
        <w:rPr>
          <w:rFonts w:asciiTheme="minorHAnsi" w:eastAsia="Calibri" w:hAnsiTheme="minorHAnsi" w:cs="Calibri"/>
          <w:bCs/>
          <w:sz w:val="24"/>
          <w:szCs w:val="24"/>
        </w:rPr>
        <w:lastRenderedPageBreak/>
        <w:t xml:space="preserve">livskvalitén efter 6 månader bör dosen sänkas tillbaka för att TSH värde återgår till referensintervallet. </w:t>
      </w:r>
    </w:p>
    <w:p w14:paraId="124A8125" w14:textId="77777777" w:rsidR="00EC79BD" w:rsidRPr="00983DD5" w:rsidRDefault="00EC79BD" w:rsidP="00EC79BD">
      <w:pPr>
        <w:ind w:left="720"/>
        <w:contextualSpacing/>
        <w:jc w:val="both"/>
        <w:rPr>
          <w:rFonts w:asciiTheme="minorHAnsi" w:eastAsia="Calibri" w:hAnsiTheme="minorHAnsi" w:cs="Calibri"/>
          <w:bCs/>
          <w:sz w:val="24"/>
          <w:szCs w:val="24"/>
        </w:rPr>
      </w:pPr>
    </w:p>
    <w:p w14:paraId="4F4924E8" w14:textId="77777777" w:rsidR="00EC79BD" w:rsidRPr="00983DD5" w:rsidRDefault="00EC79BD" w:rsidP="00EC79BD">
      <w:pPr>
        <w:spacing w:line="276" w:lineRule="auto"/>
        <w:jc w:val="both"/>
        <w:rPr>
          <w:rFonts w:asciiTheme="minorHAnsi" w:eastAsia="Calibri" w:hAnsiTheme="minorHAnsi" w:cs="Calibri"/>
          <w:bCs/>
          <w:sz w:val="24"/>
          <w:szCs w:val="24"/>
        </w:rPr>
      </w:pPr>
      <w:r w:rsidRPr="00983DD5">
        <w:rPr>
          <w:rFonts w:asciiTheme="minorHAnsi" w:eastAsia="Calibri" w:hAnsiTheme="minorHAnsi" w:cs="Calibri"/>
          <w:bCs/>
          <w:sz w:val="24"/>
          <w:szCs w:val="24"/>
        </w:rPr>
        <w:t>Praktiska råd vid behandling med levotyroxin</w:t>
      </w:r>
    </w:p>
    <w:p w14:paraId="4419C886" w14:textId="77777777" w:rsidR="00EC79BD" w:rsidRPr="00983DD5" w:rsidRDefault="00EC79BD" w:rsidP="00EC79BD">
      <w:pPr>
        <w:numPr>
          <w:ilvl w:val="0"/>
          <w:numId w:val="121"/>
        </w:numPr>
        <w:tabs>
          <w:tab w:val="clear" w:pos="284"/>
        </w:tabs>
        <w:spacing w:line="276" w:lineRule="auto"/>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Calibri" w:hAnsiTheme="minorHAnsi" w:cs="Calibri"/>
          <w:bCs/>
          <w:sz w:val="24"/>
          <w:szCs w:val="24"/>
        </w:rPr>
        <w:t xml:space="preserve">Tabletten bör tas på fastande mage med vatten, vanligen ca 20-30 minuter innan frukost. Detta är på grund av att </w:t>
      </w:r>
      <w:r w:rsidRPr="00983DD5">
        <w:rPr>
          <w:rFonts w:asciiTheme="minorHAnsi" w:eastAsia="Times New Roman" w:hAnsiTheme="minorHAnsi" w:cs="Times New Roman"/>
          <w:color w:val="222222"/>
          <w:sz w:val="24"/>
          <w:szCs w:val="24"/>
          <w:shd w:val="clear" w:color="auto" w:fill="FFFFFF"/>
          <w:lang w:eastAsia="sv-SE"/>
        </w:rPr>
        <w:t>föda ger minskad absorption och därmed kan påverka effekten av levotyroxin. Bör undvikas ta tabletten med juice.</w:t>
      </w:r>
    </w:p>
    <w:p w14:paraId="2C2E9A44" w14:textId="77777777" w:rsidR="00EC79BD" w:rsidRPr="00983DD5" w:rsidRDefault="00EC79BD" w:rsidP="00EC79BD">
      <w:pPr>
        <w:numPr>
          <w:ilvl w:val="0"/>
          <w:numId w:val="122"/>
        </w:numPr>
        <w:tabs>
          <w:tab w:val="clear" w:pos="284"/>
        </w:tabs>
        <w:spacing w:line="276" w:lineRule="auto"/>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Kalciumkarbonat, järnpreparat, antacida och protonpump hämmare (PPI) minskar upptaget av levotyroxin. Därmed bör man ta ovannämnda preparat minst två, men helst fyra timmars mellanrum efter levotyroxin intagning.</w:t>
      </w:r>
    </w:p>
    <w:p w14:paraId="12E0F786" w14:textId="77777777" w:rsidR="00EC79BD" w:rsidRPr="00983DD5" w:rsidRDefault="00EC79BD" w:rsidP="00EC79BD">
      <w:pPr>
        <w:numPr>
          <w:ilvl w:val="0"/>
          <w:numId w:val="122"/>
        </w:numPr>
        <w:tabs>
          <w:tab w:val="clear" w:pos="284"/>
        </w:tabs>
        <w:spacing w:line="276" w:lineRule="auto"/>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 xml:space="preserve">Sertralin och troligen andra SSRI-preparat minskar effekten av levotyroxin och ökar TSH nivån i serum. Eventuell dosjustering/dosökning behövs efter TSH värde. </w:t>
      </w:r>
    </w:p>
    <w:p w14:paraId="5B849AD5" w14:textId="77777777" w:rsidR="00EC79BD" w:rsidRPr="00983DD5" w:rsidRDefault="00EC79BD" w:rsidP="00EC79BD">
      <w:pPr>
        <w:numPr>
          <w:ilvl w:val="0"/>
          <w:numId w:val="123"/>
        </w:numPr>
        <w:tabs>
          <w:tab w:val="clear" w:pos="284"/>
        </w:tabs>
        <w:spacing w:line="276" w:lineRule="auto"/>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 xml:space="preserve">Med tanke på att extratyroidala faktorer (som virusinfektion, ovanlig stressituation, sjukhusinläggning) kan påverka TSH-nivån, bör detta faktum iakttas vid tolkning av TSH resultat. </w:t>
      </w:r>
    </w:p>
    <w:p w14:paraId="0934BE57" w14:textId="77777777" w:rsidR="00EC79BD" w:rsidRPr="00983DD5" w:rsidRDefault="00EC79BD" w:rsidP="00EC79BD">
      <w:pPr>
        <w:spacing w:line="276" w:lineRule="auto"/>
        <w:ind w:left="720"/>
        <w:contextualSpacing/>
        <w:jc w:val="both"/>
        <w:rPr>
          <w:rFonts w:asciiTheme="minorHAnsi" w:eastAsia="Times New Roman" w:hAnsiTheme="minorHAnsi" w:cs="Times New Roman"/>
          <w:color w:val="222222"/>
          <w:sz w:val="24"/>
          <w:szCs w:val="24"/>
          <w:shd w:val="clear" w:color="auto" w:fill="FFFFFF"/>
          <w:lang w:eastAsia="sv-SE"/>
        </w:rPr>
      </w:pPr>
    </w:p>
    <w:p w14:paraId="4776C4BB" w14:textId="77777777" w:rsidR="00EC79BD" w:rsidRPr="00983DD5" w:rsidRDefault="00EC79BD" w:rsidP="00EC79BD">
      <w:pPr>
        <w:jc w:val="both"/>
        <w:rPr>
          <w:rFonts w:asciiTheme="minorHAnsi" w:eastAsia="Calibri" w:hAnsiTheme="minorHAnsi" w:cs="Times New Roman"/>
          <w:color w:val="000000"/>
          <w:sz w:val="24"/>
          <w:szCs w:val="24"/>
        </w:rPr>
      </w:pPr>
      <w:r w:rsidRPr="00983DD5">
        <w:rPr>
          <w:rFonts w:asciiTheme="minorHAnsi" w:eastAsia="Calibri" w:hAnsiTheme="minorHAnsi" w:cs="Times New Roman"/>
          <w:color w:val="000000"/>
          <w:sz w:val="24"/>
          <w:szCs w:val="24"/>
        </w:rPr>
        <w:t>Orsaker till ihållande förhöjt TSH trots tydligen adekvat dosering av levotyroxin:</w:t>
      </w:r>
    </w:p>
    <w:p w14:paraId="32660B75" w14:textId="77777777" w:rsidR="00EC79BD" w:rsidRPr="00983DD5" w:rsidRDefault="00EC79BD" w:rsidP="00EC79BD">
      <w:pPr>
        <w:numPr>
          <w:ilvl w:val="0"/>
          <w:numId w:val="125"/>
        </w:numPr>
        <w:contextualSpacing/>
        <w:jc w:val="both"/>
        <w:rPr>
          <w:rFonts w:asciiTheme="minorHAnsi" w:eastAsia="Calibri" w:hAnsiTheme="minorHAnsi" w:cs="Times New Roman"/>
          <w:color w:val="000000"/>
          <w:sz w:val="24"/>
          <w:szCs w:val="24"/>
        </w:rPr>
      </w:pPr>
      <w:r w:rsidRPr="00983DD5">
        <w:rPr>
          <w:rFonts w:asciiTheme="minorHAnsi" w:eastAsia="Calibri" w:hAnsiTheme="minorHAnsi" w:cs="Times New Roman"/>
          <w:color w:val="000000"/>
          <w:sz w:val="24"/>
          <w:szCs w:val="24"/>
        </w:rPr>
        <w:t>Minskad biotillgänglighet</w:t>
      </w:r>
    </w:p>
    <w:p w14:paraId="0FD252F6" w14:textId="77777777" w:rsidR="00EC79BD" w:rsidRPr="00983DD5" w:rsidRDefault="00EC79BD" w:rsidP="00EC79BD">
      <w:pPr>
        <w:numPr>
          <w:ilvl w:val="0"/>
          <w:numId w:val="126"/>
        </w:numPr>
        <w:tabs>
          <w:tab w:val="clear" w:pos="284"/>
        </w:tabs>
        <w:ind w:left="1134" w:hanging="425"/>
        <w:contextualSpacing/>
        <w:jc w:val="both"/>
        <w:rPr>
          <w:rFonts w:asciiTheme="minorHAnsi" w:eastAsia="Calibri" w:hAnsiTheme="minorHAnsi" w:cs="Times New Roman"/>
          <w:color w:val="000000"/>
          <w:sz w:val="24"/>
          <w:szCs w:val="24"/>
        </w:rPr>
      </w:pPr>
      <w:r w:rsidRPr="00983DD5">
        <w:rPr>
          <w:rFonts w:asciiTheme="minorHAnsi" w:eastAsia="Calibri" w:hAnsiTheme="minorHAnsi" w:cs="Times New Roman"/>
          <w:color w:val="000000"/>
          <w:sz w:val="24"/>
          <w:szCs w:val="24"/>
        </w:rPr>
        <w:t>Otillräcklig ersättningsdos av levotyroxin.</w:t>
      </w:r>
    </w:p>
    <w:p w14:paraId="12C55779" w14:textId="77777777" w:rsidR="00EC79BD" w:rsidRPr="00983DD5" w:rsidRDefault="00EC79BD" w:rsidP="00EC79BD">
      <w:pPr>
        <w:numPr>
          <w:ilvl w:val="0"/>
          <w:numId w:val="126"/>
        </w:numPr>
        <w:tabs>
          <w:tab w:val="clear" w:pos="284"/>
        </w:tabs>
        <w:ind w:left="1134" w:hanging="425"/>
        <w:contextualSpacing/>
        <w:jc w:val="both"/>
        <w:rPr>
          <w:rFonts w:asciiTheme="minorHAnsi" w:eastAsia="Calibri" w:hAnsiTheme="minorHAnsi" w:cs="Calibri"/>
          <w:bCs/>
          <w:sz w:val="24"/>
          <w:szCs w:val="24"/>
        </w:rPr>
      </w:pPr>
      <w:r w:rsidRPr="00983DD5">
        <w:rPr>
          <w:rFonts w:asciiTheme="minorHAnsi" w:eastAsia="Calibri" w:hAnsiTheme="minorHAnsi" w:cs="Times New Roman"/>
          <w:color w:val="000000"/>
          <w:sz w:val="24"/>
          <w:szCs w:val="24"/>
        </w:rPr>
        <w:t>Dålig medicinföljsamhet.</w:t>
      </w:r>
    </w:p>
    <w:p w14:paraId="37B987F6" w14:textId="77777777" w:rsidR="00EC79BD" w:rsidRPr="00983DD5" w:rsidRDefault="00EC79BD" w:rsidP="00EC79BD">
      <w:pPr>
        <w:numPr>
          <w:ilvl w:val="0"/>
          <w:numId w:val="126"/>
        </w:numPr>
        <w:tabs>
          <w:tab w:val="clear" w:pos="284"/>
        </w:tabs>
        <w:ind w:left="1134" w:hanging="425"/>
        <w:contextualSpacing/>
        <w:jc w:val="both"/>
        <w:rPr>
          <w:rFonts w:asciiTheme="minorHAnsi" w:eastAsia="Calibri" w:hAnsiTheme="minorHAnsi" w:cs="Calibri"/>
          <w:bCs/>
          <w:sz w:val="24"/>
          <w:szCs w:val="24"/>
        </w:rPr>
      </w:pPr>
      <w:r w:rsidRPr="00983DD5">
        <w:rPr>
          <w:rFonts w:asciiTheme="minorHAnsi" w:eastAsia="Calibri" w:hAnsiTheme="minorHAnsi" w:cs="Times New Roman"/>
          <w:color w:val="000000"/>
          <w:sz w:val="24"/>
          <w:szCs w:val="24"/>
        </w:rPr>
        <w:t>Samtidigt intag av järntabletter, kalcium, kolestyramin, soja eller koffein.</w:t>
      </w:r>
    </w:p>
    <w:p w14:paraId="63A1BB63" w14:textId="77777777" w:rsidR="00EC79BD" w:rsidRPr="00983DD5" w:rsidRDefault="00EC79BD" w:rsidP="00EC79BD">
      <w:pPr>
        <w:numPr>
          <w:ilvl w:val="0"/>
          <w:numId w:val="126"/>
        </w:numPr>
        <w:tabs>
          <w:tab w:val="clear" w:pos="284"/>
        </w:tabs>
        <w:ind w:left="1134" w:hanging="425"/>
        <w:contextualSpacing/>
        <w:jc w:val="both"/>
        <w:rPr>
          <w:rFonts w:asciiTheme="minorHAnsi" w:eastAsia="Calibri" w:hAnsiTheme="minorHAnsi" w:cs="Calibri"/>
          <w:bCs/>
          <w:sz w:val="24"/>
          <w:szCs w:val="24"/>
        </w:rPr>
      </w:pPr>
      <w:r w:rsidRPr="00983DD5">
        <w:rPr>
          <w:rFonts w:asciiTheme="minorHAnsi" w:eastAsia="Calibri" w:hAnsiTheme="minorHAnsi" w:cs="Times New Roman"/>
          <w:color w:val="000000"/>
          <w:sz w:val="24"/>
          <w:szCs w:val="24"/>
        </w:rPr>
        <w:t>Malabsorption antingen på grund av hypoklorhydria (behandling med protonpumphämmare, H. pylori-infektion, autoimmun atrofisk gastrit, gastrektomi, gastric bypass) eller celiaki.</w:t>
      </w:r>
    </w:p>
    <w:p w14:paraId="4E9EA8B2" w14:textId="77777777" w:rsidR="00EC79BD" w:rsidRPr="00983DD5" w:rsidRDefault="00EC79BD" w:rsidP="00EC79BD">
      <w:pPr>
        <w:numPr>
          <w:ilvl w:val="0"/>
          <w:numId w:val="126"/>
        </w:numPr>
        <w:tabs>
          <w:tab w:val="clear" w:pos="284"/>
        </w:tabs>
        <w:ind w:left="1134" w:hanging="425"/>
        <w:contextualSpacing/>
        <w:jc w:val="both"/>
        <w:rPr>
          <w:rFonts w:asciiTheme="minorHAnsi" w:eastAsia="Calibri" w:hAnsiTheme="minorHAnsi" w:cs="Calibri"/>
          <w:bCs/>
          <w:sz w:val="24"/>
          <w:szCs w:val="24"/>
        </w:rPr>
      </w:pPr>
      <w:r w:rsidRPr="00983DD5">
        <w:rPr>
          <w:rFonts w:asciiTheme="minorHAnsi" w:eastAsia="Calibri" w:hAnsiTheme="minorHAnsi" w:cs="Times New Roman"/>
          <w:color w:val="000000"/>
          <w:sz w:val="24"/>
          <w:szCs w:val="24"/>
        </w:rPr>
        <w:t>Inflammatorisk tarmsjukdom.</w:t>
      </w:r>
    </w:p>
    <w:p w14:paraId="37BA8570" w14:textId="77777777" w:rsidR="00EC79BD" w:rsidRPr="00983DD5" w:rsidRDefault="00EC79BD" w:rsidP="00EC79BD">
      <w:pPr>
        <w:ind w:left="720"/>
        <w:contextualSpacing/>
        <w:jc w:val="both"/>
        <w:rPr>
          <w:rFonts w:asciiTheme="minorHAnsi" w:eastAsia="Calibri" w:hAnsiTheme="minorHAnsi" w:cs="Calibri"/>
          <w:bCs/>
          <w:sz w:val="24"/>
          <w:szCs w:val="24"/>
        </w:rPr>
      </w:pPr>
    </w:p>
    <w:p w14:paraId="099DEC30" w14:textId="77777777" w:rsidR="00EC79BD" w:rsidRPr="00983DD5" w:rsidRDefault="00EC79BD" w:rsidP="00EC79BD">
      <w:pPr>
        <w:numPr>
          <w:ilvl w:val="0"/>
          <w:numId w:val="125"/>
        </w:numPr>
        <w:contextualSpacing/>
        <w:jc w:val="both"/>
        <w:rPr>
          <w:rFonts w:asciiTheme="minorHAnsi" w:eastAsia="Calibri" w:hAnsiTheme="minorHAnsi" w:cs="Times New Roman"/>
          <w:color w:val="000000"/>
          <w:sz w:val="24"/>
          <w:szCs w:val="24"/>
        </w:rPr>
      </w:pPr>
      <w:r w:rsidRPr="00983DD5">
        <w:rPr>
          <w:rFonts w:asciiTheme="minorHAnsi" w:eastAsia="Calibri" w:hAnsiTheme="minorHAnsi" w:cs="Times New Roman"/>
          <w:color w:val="000000"/>
          <w:sz w:val="24"/>
          <w:szCs w:val="24"/>
        </w:rPr>
        <w:t>Ökat levotyroxinbehov:</w:t>
      </w:r>
    </w:p>
    <w:p w14:paraId="0A7AA064" w14:textId="77777777" w:rsidR="00EC79BD" w:rsidRPr="00983DD5" w:rsidRDefault="00EC79BD" w:rsidP="00EC79BD">
      <w:pPr>
        <w:numPr>
          <w:ilvl w:val="0"/>
          <w:numId w:val="127"/>
        </w:numPr>
        <w:ind w:left="1134" w:hanging="425"/>
        <w:contextualSpacing/>
        <w:jc w:val="both"/>
        <w:rPr>
          <w:rFonts w:asciiTheme="minorHAnsi" w:eastAsia="Calibri" w:hAnsiTheme="minorHAnsi" w:cs="Calibri"/>
          <w:bCs/>
          <w:sz w:val="24"/>
          <w:szCs w:val="24"/>
        </w:rPr>
      </w:pPr>
      <w:r w:rsidRPr="00983DD5">
        <w:rPr>
          <w:rFonts w:asciiTheme="minorHAnsi" w:eastAsia="Calibri" w:hAnsiTheme="minorHAnsi" w:cs="Times New Roman"/>
          <w:color w:val="000000"/>
          <w:sz w:val="24"/>
          <w:szCs w:val="24"/>
        </w:rPr>
        <w:t xml:space="preserve">Graviditet, per oral östrogenbehandling </w:t>
      </w:r>
    </w:p>
    <w:p w14:paraId="1D67E396" w14:textId="77777777" w:rsidR="00EC79BD" w:rsidRPr="00983DD5" w:rsidRDefault="00EC79BD" w:rsidP="00EC79BD">
      <w:pPr>
        <w:numPr>
          <w:ilvl w:val="0"/>
          <w:numId w:val="127"/>
        </w:numPr>
        <w:ind w:left="1134" w:hanging="425"/>
        <w:contextualSpacing/>
        <w:jc w:val="both"/>
        <w:rPr>
          <w:rFonts w:asciiTheme="minorHAnsi" w:eastAsia="Calibri" w:hAnsiTheme="minorHAnsi" w:cs="Calibri"/>
          <w:bCs/>
          <w:sz w:val="24"/>
          <w:szCs w:val="24"/>
        </w:rPr>
      </w:pPr>
      <w:r w:rsidRPr="00983DD5">
        <w:rPr>
          <w:rFonts w:asciiTheme="minorHAnsi" w:eastAsia="Calibri" w:hAnsiTheme="minorHAnsi" w:cs="Times New Roman"/>
          <w:color w:val="000000"/>
          <w:sz w:val="24"/>
          <w:szCs w:val="24"/>
        </w:rPr>
        <w:t>Viktökning</w:t>
      </w:r>
    </w:p>
    <w:p w14:paraId="3592C15E" w14:textId="77777777" w:rsidR="00EC79BD" w:rsidRPr="00983DD5" w:rsidRDefault="00EC79BD" w:rsidP="00EC79BD">
      <w:pPr>
        <w:numPr>
          <w:ilvl w:val="0"/>
          <w:numId w:val="127"/>
        </w:numPr>
        <w:ind w:left="1134" w:hanging="425"/>
        <w:contextualSpacing/>
        <w:jc w:val="both"/>
        <w:rPr>
          <w:rFonts w:asciiTheme="minorHAnsi" w:eastAsia="Calibri" w:hAnsiTheme="minorHAnsi" w:cs="Calibri"/>
          <w:bCs/>
          <w:sz w:val="24"/>
          <w:szCs w:val="24"/>
        </w:rPr>
      </w:pPr>
      <w:r w:rsidRPr="00983DD5">
        <w:rPr>
          <w:rFonts w:asciiTheme="minorHAnsi" w:eastAsia="Calibri" w:hAnsiTheme="minorHAnsi" w:cs="Times New Roman"/>
          <w:color w:val="000000"/>
          <w:sz w:val="24"/>
          <w:szCs w:val="24"/>
        </w:rPr>
        <w:t>Ny medicinering ordinerad som ökar levotyroxinmetabolismen (t.ex. rifampicin, karbamazepin, fenytoin)</w:t>
      </w:r>
    </w:p>
    <w:p w14:paraId="5A10FEC0" w14:textId="77777777" w:rsidR="00EC79BD" w:rsidRPr="00983DD5" w:rsidRDefault="00EC79BD" w:rsidP="00EC79BD">
      <w:pPr>
        <w:numPr>
          <w:ilvl w:val="0"/>
          <w:numId w:val="127"/>
        </w:numPr>
        <w:ind w:left="1134" w:hanging="425"/>
        <w:contextualSpacing/>
        <w:jc w:val="both"/>
        <w:rPr>
          <w:rFonts w:asciiTheme="minorHAnsi" w:eastAsia="Calibri" w:hAnsiTheme="minorHAnsi" w:cs="Calibri"/>
          <w:bCs/>
          <w:sz w:val="24"/>
          <w:szCs w:val="24"/>
        </w:rPr>
      </w:pPr>
      <w:r w:rsidRPr="00983DD5">
        <w:rPr>
          <w:rFonts w:asciiTheme="minorHAnsi" w:eastAsia="Calibri" w:hAnsiTheme="minorHAnsi" w:cs="Times New Roman"/>
          <w:color w:val="000000"/>
          <w:sz w:val="24"/>
          <w:szCs w:val="24"/>
        </w:rPr>
        <w:t>Nefrotiskt syndrom med kraftig proteinuri.</w:t>
      </w:r>
    </w:p>
    <w:p w14:paraId="5909F027" w14:textId="77777777" w:rsidR="00EC79BD" w:rsidRPr="00983DD5" w:rsidRDefault="00EC79BD" w:rsidP="00EC79BD">
      <w:pPr>
        <w:tabs>
          <w:tab w:val="clear" w:pos="284"/>
        </w:tabs>
        <w:spacing w:line="276" w:lineRule="auto"/>
        <w:jc w:val="both"/>
        <w:rPr>
          <w:rFonts w:asciiTheme="minorHAnsi" w:eastAsia="Times New Roman" w:hAnsiTheme="minorHAnsi" w:cs="Times New Roman"/>
          <w:color w:val="222222"/>
          <w:sz w:val="24"/>
          <w:szCs w:val="24"/>
          <w:shd w:val="clear" w:color="auto" w:fill="FFFFFF"/>
          <w:lang w:eastAsia="sv-SE"/>
        </w:rPr>
      </w:pPr>
    </w:p>
    <w:p w14:paraId="6D4EF14A" w14:textId="77777777" w:rsidR="00EC79BD" w:rsidRPr="00983DD5" w:rsidRDefault="00EC79BD" w:rsidP="00EC79BD">
      <w:pPr>
        <w:numPr>
          <w:ilvl w:val="0"/>
          <w:numId w:val="128"/>
        </w:numPr>
        <w:tabs>
          <w:tab w:val="clear" w:pos="284"/>
          <w:tab w:val="left" w:pos="426"/>
        </w:tabs>
        <w:spacing w:line="276" w:lineRule="auto"/>
        <w:ind w:left="426" w:hanging="426"/>
        <w:contextualSpacing/>
        <w:jc w:val="both"/>
        <w:rPr>
          <w:rFonts w:asciiTheme="minorHAnsi" w:eastAsia="Times New Roman" w:hAnsiTheme="minorHAnsi" w:cs="Times New Roman"/>
          <w:b/>
          <w:bCs/>
          <w:color w:val="222222"/>
          <w:sz w:val="24"/>
          <w:szCs w:val="24"/>
          <w:shd w:val="clear" w:color="auto" w:fill="FFFFFF"/>
          <w:lang w:eastAsia="sv-SE"/>
        </w:rPr>
      </w:pPr>
      <w:r w:rsidRPr="00983DD5">
        <w:rPr>
          <w:rFonts w:asciiTheme="minorHAnsi" w:eastAsia="Times New Roman" w:hAnsiTheme="minorHAnsi" w:cs="Times New Roman"/>
          <w:b/>
          <w:bCs/>
          <w:color w:val="222222"/>
          <w:sz w:val="24"/>
          <w:szCs w:val="24"/>
          <w:shd w:val="clear" w:color="auto" w:fill="FFFFFF"/>
          <w:lang w:eastAsia="sv-SE"/>
        </w:rPr>
        <w:t>Kombinationsbehandling med T4 och T3:</w:t>
      </w:r>
    </w:p>
    <w:p w14:paraId="088B9E05" w14:textId="77777777" w:rsidR="00EC79BD" w:rsidRPr="00983DD5" w:rsidRDefault="00EC79BD" w:rsidP="00EC79BD">
      <w:pPr>
        <w:tabs>
          <w:tab w:val="clear" w:pos="284"/>
        </w:tabs>
        <w:spacing w:line="276" w:lineRule="auto"/>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Endokrin specialismottagning i Blekinge rekommenderar inte kombinationsbehandling till patienter med primär hypotyreos på grund av följande underlag:</w:t>
      </w:r>
    </w:p>
    <w:p w14:paraId="6F39DC49" w14:textId="77777777" w:rsidR="00EC79BD" w:rsidRPr="00983DD5" w:rsidRDefault="00EC79BD" w:rsidP="00EC79BD">
      <w:pPr>
        <w:numPr>
          <w:ilvl w:val="0"/>
          <w:numId w:val="132"/>
        </w:numPr>
        <w:tabs>
          <w:tab w:val="clear" w:pos="284"/>
        </w:tabs>
        <w:spacing w:after="240" w:line="276" w:lineRule="auto"/>
        <w:ind w:left="284" w:hanging="284"/>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 xml:space="preserve">Tillgängligt preparat med liothyronin har kortvarig effekt, svårt att titrera dosen och har potentiella bieffekter. </w:t>
      </w:r>
    </w:p>
    <w:p w14:paraId="19C4DEBF" w14:textId="77777777" w:rsidR="00EC79BD" w:rsidRPr="00983DD5" w:rsidRDefault="00EC79BD" w:rsidP="00EC79BD">
      <w:pPr>
        <w:numPr>
          <w:ilvl w:val="0"/>
          <w:numId w:val="132"/>
        </w:numPr>
        <w:tabs>
          <w:tab w:val="clear" w:pos="284"/>
        </w:tabs>
        <w:spacing w:after="240" w:line="276" w:lineRule="auto"/>
        <w:ind w:left="284" w:hanging="284"/>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Det finns otillräckligt bevis för att stödja rutinanvändning av T4 + T3 kombinationsbehandling hos missnöjda patienter med levotyroxin monoterapi.</w:t>
      </w:r>
    </w:p>
    <w:p w14:paraId="30A2138A" w14:textId="77777777" w:rsidR="00EC79BD" w:rsidRPr="00983DD5" w:rsidRDefault="00EC79BD" w:rsidP="00EC79BD">
      <w:pPr>
        <w:numPr>
          <w:ilvl w:val="0"/>
          <w:numId w:val="132"/>
        </w:numPr>
        <w:tabs>
          <w:tab w:val="clear" w:pos="284"/>
        </w:tabs>
        <w:spacing w:after="240" w:line="276" w:lineRule="auto"/>
        <w:ind w:left="284" w:hanging="284"/>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 xml:space="preserve">Kombinationsbehandling bör undvikas hos äldre personer, patienter med komorbiditet (ffa kardiovaskulära och cerebrovaskulära sjukdomar), personer som tidigare hade haft bevarad livskvalité under levotyroxin-monoterapi dock mår de aktuellt sämre, personer med mild hypotyreos och / eller har lågt tyroxinbehov (upp till 100 - 125 ug dygsnbehov), gravida. </w:t>
      </w:r>
    </w:p>
    <w:p w14:paraId="54D459EB" w14:textId="77777777" w:rsidR="00EC79BD" w:rsidRPr="00983DD5" w:rsidRDefault="00EC79BD" w:rsidP="00EC79BD">
      <w:pPr>
        <w:numPr>
          <w:ilvl w:val="0"/>
          <w:numId w:val="132"/>
        </w:numPr>
        <w:tabs>
          <w:tab w:val="clear" w:pos="284"/>
        </w:tabs>
        <w:spacing w:after="240" w:line="276" w:lineRule="auto"/>
        <w:ind w:left="284" w:hanging="284"/>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lastRenderedPageBreak/>
        <w:t>Kombinationsbehandling önskas och styrs oftast av patienten och dessutom finns ett kvarstående intresse av kombinationsbehandling såväl i biomedicinsk litteratur som i populärmedia.</w:t>
      </w:r>
    </w:p>
    <w:p w14:paraId="718A5C77" w14:textId="77777777" w:rsidR="00EC79BD" w:rsidRPr="00983DD5" w:rsidRDefault="00EC79BD" w:rsidP="00EC79BD">
      <w:pPr>
        <w:tabs>
          <w:tab w:val="clear" w:pos="284"/>
        </w:tabs>
        <w:spacing w:line="276" w:lineRule="auto"/>
        <w:jc w:val="both"/>
        <w:rPr>
          <w:rFonts w:asciiTheme="minorHAnsi" w:eastAsia="Times New Roman" w:hAnsiTheme="minorHAnsi" w:cs="Times New Roman"/>
          <w:color w:val="222222"/>
          <w:sz w:val="24"/>
          <w:szCs w:val="24"/>
          <w:shd w:val="clear" w:color="auto" w:fill="FFFFFF"/>
          <w:lang w:eastAsia="sv-SE"/>
        </w:rPr>
      </w:pPr>
    </w:p>
    <w:p w14:paraId="640A4819" w14:textId="77777777" w:rsidR="00EC79BD" w:rsidRPr="00983DD5" w:rsidRDefault="00EC79BD" w:rsidP="00EC79BD">
      <w:pPr>
        <w:numPr>
          <w:ilvl w:val="0"/>
          <w:numId w:val="124"/>
        </w:numPr>
        <w:tabs>
          <w:tab w:val="clear" w:pos="284"/>
        </w:tabs>
        <w:spacing w:line="276" w:lineRule="auto"/>
        <w:ind w:left="284" w:hanging="284"/>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Segoe UI"/>
          <w:color w:val="111827"/>
          <w:sz w:val="24"/>
          <w:szCs w:val="24"/>
          <w:lang w:eastAsia="sv-SE"/>
        </w:rPr>
        <w:t xml:space="preserve">Vid undantagsfall i praktiken görs försök med kombinationsbehandling hos patienter med stark önskan om sådan behandling. I regel följs dem patienter inte på specialistmottagningen, behandlingsförsök får göras inom ramen av primärvård. </w:t>
      </w:r>
    </w:p>
    <w:p w14:paraId="797CE57C" w14:textId="77777777" w:rsidR="00EC79BD" w:rsidRPr="00983DD5" w:rsidRDefault="00EC79BD" w:rsidP="00EC79BD">
      <w:pPr>
        <w:ind w:left="284" w:hanging="284"/>
        <w:contextualSpacing/>
        <w:rPr>
          <w:rFonts w:asciiTheme="minorHAnsi" w:eastAsia="Times New Roman" w:hAnsiTheme="minorHAnsi" w:cs="Times New Roman"/>
          <w:color w:val="222222"/>
          <w:sz w:val="24"/>
          <w:szCs w:val="24"/>
          <w:shd w:val="clear" w:color="auto" w:fill="FFFFFF"/>
          <w:lang w:eastAsia="sv-SE"/>
        </w:rPr>
      </w:pPr>
    </w:p>
    <w:p w14:paraId="477CB04C" w14:textId="77777777" w:rsidR="00EC79BD" w:rsidRPr="00983DD5" w:rsidRDefault="00EC79BD" w:rsidP="00EC79BD">
      <w:pPr>
        <w:numPr>
          <w:ilvl w:val="0"/>
          <w:numId w:val="124"/>
        </w:numPr>
        <w:tabs>
          <w:tab w:val="clear" w:pos="284"/>
        </w:tabs>
        <w:spacing w:line="276" w:lineRule="auto"/>
        <w:ind w:left="284" w:hanging="284"/>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Segoe UI"/>
          <w:color w:val="111827"/>
          <w:sz w:val="24"/>
          <w:szCs w:val="24"/>
          <w:lang w:eastAsia="sv-SE"/>
        </w:rPr>
        <w:t xml:space="preserve">I så fall skulle två patientgrupper teoretiskt vara aktuella för kombinationsbehandling: a.) de som inte har kvarvarande T3-produktion (t.ex. efter total tyroidektomi) och har inte mått väl efter ingreppet; b.) manifest hypotyreos till följd av Hashimoto-tyroidit när personen har kvarstående symtom och samtidigt har ett serum FT3-värde i nedre delen eller under referensintervall. </w:t>
      </w:r>
    </w:p>
    <w:p w14:paraId="15841CF8" w14:textId="77777777" w:rsidR="00EC79BD" w:rsidRPr="00983DD5" w:rsidRDefault="00EC79BD" w:rsidP="00EC79BD">
      <w:pPr>
        <w:ind w:left="284" w:hanging="284"/>
        <w:contextualSpacing/>
        <w:rPr>
          <w:rFonts w:asciiTheme="minorHAnsi" w:eastAsia="Times New Roman" w:hAnsiTheme="minorHAnsi" w:cs="Segoe UI"/>
          <w:color w:val="111827"/>
          <w:sz w:val="24"/>
          <w:szCs w:val="24"/>
          <w:lang w:eastAsia="sv-SE"/>
        </w:rPr>
      </w:pPr>
    </w:p>
    <w:p w14:paraId="085802E8" w14:textId="77777777" w:rsidR="00EC79BD" w:rsidRPr="00983DD5" w:rsidRDefault="00EC79BD" w:rsidP="00EC79BD">
      <w:pPr>
        <w:numPr>
          <w:ilvl w:val="0"/>
          <w:numId w:val="124"/>
        </w:numPr>
        <w:tabs>
          <w:tab w:val="clear" w:pos="284"/>
        </w:tabs>
        <w:spacing w:line="276" w:lineRule="auto"/>
        <w:ind w:left="284" w:hanging="284"/>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Segoe UI"/>
          <w:color w:val="111827"/>
          <w:sz w:val="24"/>
          <w:szCs w:val="24"/>
          <w:lang w:eastAsia="sv-SE"/>
        </w:rPr>
        <w:t>Dessa fall bör liothyronin dygnsdos delas i två doser pga kortvarig effektduration med parallell dosminskning av levotyroxin (med 25-75 ug). Behandlingen är att anse som försöksvis och måste utvärderas efter 6 månader! Vid utebliven övertygade positiv effekt bör man återgå till levotyroxin-monoterapi. Ekvivalenta dosen av T4 beräknas genom att beakta att T3 är tre till fyra gånger mer potent metaboliskt än T4 (Tyroxindos vid T4-monoterapi = T4 dosen + 4x dosen av T3).</w:t>
      </w:r>
    </w:p>
    <w:p w14:paraId="33742339" w14:textId="77777777" w:rsidR="00EC79BD" w:rsidRPr="00983DD5" w:rsidRDefault="00EC79BD" w:rsidP="00EC79BD">
      <w:pPr>
        <w:ind w:left="284" w:hanging="284"/>
        <w:contextualSpacing/>
        <w:rPr>
          <w:rFonts w:asciiTheme="minorHAnsi" w:eastAsia="Times New Roman" w:hAnsiTheme="minorHAnsi" w:cs="Times New Roman"/>
          <w:color w:val="222222"/>
          <w:sz w:val="24"/>
          <w:szCs w:val="24"/>
          <w:shd w:val="clear" w:color="auto" w:fill="FFFFFF"/>
          <w:lang w:eastAsia="sv-SE"/>
        </w:rPr>
      </w:pPr>
    </w:p>
    <w:p w14:paraId="09780A3E" w14:textId="77777777" w:rsidR="00EC79BD" w:rsidRPr="00983DD5" w:rsidRDefault="00EC79BD" w:rsidP="00EC79BD">
      <w:pPr>
        <w:numPr>
          <w:ilvl w:val="0"/>
          <w:numId w:val="124"/>
        </w:numPr>
        <w:tabs>
          <w:tab w:val="clear" w:pos="284"/>
        </w:tabs>
        <w:spacing w:line="276" w:lineRule="auto"/>
        <w:ind w:left="284" w:hanging="284"/>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 xml:space="preserve">Uppföljning av patient med pågående kombinationsbehandling: </w:t>
      </w:r>
    </w:p>
    <w:p w14:paraId="5D2D9967" w14:textId="77777777" w:rsidR="00EC79BD" w:rsidRPr="00983DD5" w:rsidRDefault="00EC79BD" w:rsidP="00EC79BD">
      <w:pPr>
        <w:numPr>
          <w:ilvl w:val="0"/>
          <w:numId w:val="129"/>
        </w:numPr>
        <w:tabs>
          <w:tab w:val="clear" w:pos="284"/>
        </w:tabs>
        <w:spacing w:line="276" w:lineRule="auto"/>
        <w:ind w:left="709" w:hanging="142"/>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 xml:space="preserve">TSH kontroll rekommenderas genomföra 6 veckor efter behandlingsstart. </w:t>
      </w:r>
    </w:p>
    <w:p w14:paraId="3962FD0E" w14:textId="77777777" w:rsidR="00EC79BD" w:rsidRPr="00983DD5" w:rsidRDefault="00EC79BD" w:rsidP="00EC79BD">
      <w:pPr>
        <w:numPr>
          <w:ilvl w:val="0"/>
          <w:numId w:val="129"/>
        </w:numPr>
        <w:tabs>
          <w:tab w:val="clear" w:pos="284"/>
        </w:tabs>
        <w:spacing w:line="276" w:lineRule="auto"/>
        <w:ind w:left="709" w:hanging="142"/>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 xml:space="preserve">Vid TSH kontroll bör supprimerat TSH (TSH &lt; 0.1 mE/L) undvikas med hänsyn till ökad förekomst av oönskade effekter av liothyronin. </w:t>
      </w:r>
    </w:p>
    <w:p w14:paraId="2592C67F" w14:textId="77777777" w:rsidR="00EC79BD" w:rsidRPr="00983DD5" w:rsidRDefault="00EC79BD" w:rsidP="00EC79BD">
      <w:pPr>
        <w:numPr>
          <w:ilvl w:val="0"/>
          <w:numId w:val="129"/>
        </w:numPr>
        <w:tabs>
          <w:tab w:val="clear" w:pos="284"/>
        </w:tabs>
        <w:spacing w:line="276" w:lineRule="auto"/>
        <w:ind w:left="709" w:hanging="142"/>
        <w:contextualSpacing/>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Kontroll av fT3 hormon rekommenderas inte på grund av bred fluktuering i serumkoncentration av fT3.</w:t>
      </w:r>
    </w:p>
    <w:p w14:paraId="0AD5C9C3" w14:textId="77777777" w:rsidR="00EC79BD" w:rsidRPr="00983DD5" w:rsidRDefault="00EC79BD" w:rsidP="00EC79BD">
      <w:pPr>
        <w:tabs>
          <w:tab w:val="clear" w:pos="284"/>
        </w:tabs>
        <w:spacing w:line="276" w:lineRule="auto"/>
        <w:jc w:val="both"/>
        <w:rPr>
          <w:rFonts w:asciiTheme="minorHAnsi" w:eastAsia="Times New Roman" w:hAnsiTheme="minorHAnsi" w:cs="Times New Roman"/>
          <w:color w:val="222222"/>
          <w:sz w:val="24"/>
          <w:szCs w:val="24"/>
          <w:shd w:val="clear" w:color="auto" w:fill="FFFFFF"/>
          <w:lang w:eastAsia="sv-SE"/>
        </w:rPr>
      </w:pPr>
    </w:p>
    <w:p w14:paraId="46A9E63A" w14:textId="77777777" w:rsidR="00EC79BD" w:rsidRPr="00983DD5" w:rsidRDefault="00EC79BD" w:rsidP="00EC79BD">
      <w:pPr>
        <w:numPr>
          <w:ilvl w:val="0"/>
          <w:numId w:val="128"/>
        </w:numPr>
        <w:tabs>
          <w:tab w:val="clear" w:pos="284"/>
        </w:tabs>
        <w:spacing w:line="276" w:lineRule="auto"/>
        <w:ind w:left="426" w:hanging="426"/>
        <w:contextualSpacing/>
        <w:jc w:val="both"/>
        <w:rPr>
          <w:rFonts w:asciiTheme="minorHAnsi" w:eastAsia="Times New Roman" w:hAnsiTheme="minorHAnsi" w:cs="Times New Roman"/>
          <w:b/>
          <w:bCs/>
          <w:color w:val="222222"/>
          <w:sz w:val="24"/>
          <w:szCs w:val="24"/>
          <w:shd w:val="clear" w:color="auto" w:fill="FFFFFF"/>
          <w:lang w:eastAsia="sv-SE"/>
        </w:rPr>
      </w:pPr>
      <w:r w:rsidRPr="00983DD5">
        <w:rPr>
          <w:rFonts w:asciiTheme="minorHAnsi" w:eastAsia="Times New Roman" w:hAnsiTheme="minorHAnsi" w:cs="Times New Roman"/>
          <w:b/>
          <w:bCs/>
          <w:color w:val="222222"/>
          <w:sz w:val="24"/>
          <w:szCs w:val="24"/>
          <w:shd w:val="clear" w:color="auto" w:fill="FFFFFF"/>
          <w:lang w:eastAsia="sv-SE"/>
        </w:rPr>
        <w:t>Armour-tyroid (DTE)</w:t>
      </w:r>
    </w:p>
    <w:p w14:paraId="7EF2153C" w14:textId="77777777" w:rsidR="00EC79BD" w:rsidRPr="00983DD5" w:rsidRDefault="00EC79BD" w:rsidP="00EC79BD">
      <w:pPr>
        <w:tabs>
          <w:tab w:val="clear" w:pos="284"/>
        </w:tabs>
        <w:spacing w:line="276" w:lineRule="auto"/>
        <w:jc w:val="both"/>
        <w:rPr>
          <w:rFonts w:asciiTheme="minorHAnsi" w:eastAsia="Times New Roman" w:hAnsiTheme="minorHAnsi" w:cs="Times New Roman"/>
          <w:color w:val="222222"/>
          <w:sz w:val="24"/>
          <w:szCs w:val="24"/>
          <w:shd w:val="clear" w:color="auto" w:fill="FFFFFF"/>
          <w:lang w:eastAsia="sv-SE"/>
        </w:rPr>
      </w:pPr>
    </w:p>
    <w:p w14:paraId="28259AA8" w14:textId="77777777" w:rsidR="00EC79BD" w:rsidRPr="00983DD5" w:rsidRDefault="00EC79BD" w:rsidP="00EC79BD">
      <w:pPr>
        <w:tabs>
          <w:tab w:val="clear" w:pos="284"/>
        </w:tabs>
        <w:spacing w:line="276" w:lineRule="auto"/>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 xml:space="preserve">Endokrin specialistmottagning i Blekinge skriver inte ut gris-sköldkörtelhormon licenspreparat till patienter med hypotyreos. </w:t>
      </w:r>
    </w:p>
    <w:p w14:paraId="45AADC3F" w14:textId="77777777" w:rsidR="00EC79BD" w:rsidRPr="00983DD5" w:rsidRDefault="00EC79BD" w:rsidP="00EC79BD">
      <w:pPr>
        <w:tabs>
          <w:tab w:val="clear" w:pos="284"/>
        </w:tabs>
        <w:spacing w:line="276" w:lineRule="auto"/>
        <w:jc w:val="both"/>
        <w:rPr>
          <w:rFonts w:asciiTheme="minorHAnsi" w:eastAsia="Times New Roman" w:hAnsiTheme="minorHAnsi" w:cs="Times New Roman"/>
          <w:color w:val="222222"/>
          <w:sz w:val="24"/>
          <w:szCs w:val="24"/>
          <w:shd w:val="clear" w:color="auto" w:fill="FFFFFF"/>
          <w:lang w:eastAsia="sv-SE"/>
        </w:rPr>
      </w:pPr>
      <w:r w:rsidRPr="00983DD5">
        <w:rPr>
          <w:rFonts w:asciiTheme="minorHAnsi" w:eastAsia="Times New Roman" w:hAnsiTheme="minorHAnsi" w:cs="Times New Roman"/>
          <w:color w:val="222222"/>
          <w:sz w:val="24"/>
          <w:szCs w:val="24"/>
          <w:shd w:val="clear" w:color="auto" w:fill="FFFFFF"/>
          <w:lang w:eastAsia="sv-SE"/>
        </w:rPr>
        <w:t>Genomförda analyser / studier under dem senaste 20 åren har inte kunnat verifiera positiv effekt på mående, hälsorelaterad livskvalitet och kognitiv funktion hos patienter med T4+T3-kombinationsbehandling och hos patienter behandlade med sköldkörtelhormonsextrakt jämfört med patienter med T4-monoterapi. Däremot finns tillgängliga data om oönskade hälsoeffekter av dessa preparat framför allt på kardiovaskulärt- och cerebrovaskulärt system samt på skelettet.</w:t>
      </w:r>
    </w:p>
    <w:p w14:paraId="46D04616" w14:textId="77777777" w:rsidR="00EC79BD" w:rsidRPr="00983DD5" w:rsidRDefault="00EC79BD" w:rsidP="00EC79BD">
      <w:pPr>
        <w:rPr>
          <w:rFonts w:asciiTheme="minorHAnsi" w:hAnsiTheme="minorHAnsi" w:cs="Open Sans"/>
          <w:color w:val="404040" w:themeColor="text1" w:themeTint="BF"/>
        </w:rPr>
      </w:pPr>
    </w:p>
    <w:p w14:paraId="3F1D94BB" w14:textId="77777777" w:rsidR="00EC79BD" w:rsidRPr="00983DD5" w:rsidRDefault="00EC79BD" w:rsidP="00EC79BD">
      <w:pPr>
        <w:pStyle w:val="Rubrik2"/>
        <w:rPr>
          <w:rStyle w:val="Stark"/>
          <w:rFonts w:asciiTheme="minorHAnsi" w:hAnsiTheme="minorHAnsi"/>
          <w:b/>
        </w:rPr>
      </w:pPr>
      <w:r w:rsidRPr="00983DD5">
        <w:rPr>
          <w:rStyle w:val="Stark"/>
          <w:rFonts w:asciiTheme="minorHAnsi" w:hAnsiTheme="minorHAnsi"/>
          <w:b/>
        </w:rPr>
        <w:t>D-vitamin</w:t>
      </w:r>
    </w:p>
    <w:p w14:paraId="6CDFA27F" w14:textId="77777777" w:rsidR="00EC79BD" w:rsidRPr="00983DD5" w:rsidRDefault="00EC79BD" w:rsidP="00EC79BD">
      <w:pPr>
        <w:jc w:val="both"/>
        <w:rPr>
          <w:rFonts w:asciiTheme="minorHAnsi" w:hAnsiTheme="minorHAnsi" w:cstheme="minorHAnsi"/>
          <w:bCs/>
          <w:sz w:val="24"/>
          <w:szCs w:val="24"/>
        </w:rPr>
      </w:pPr>
      <w:r w:rsidRPr="00983DD5">
        <w:rPr>
          <w:rFonts w:asciiTheme="minorHAnsi" w:hAnsiTheme="minorHAnsi" w:cstheme="minorHAnsi"/>
          <w:bCs/>
          <w:sz w:val="24"/>
          <w:szCs w:val="24"/>
        </w:rPr>
        <w:t>Socialstyrelsen påtalar att det finns en överbehandling med kalcium och D-vitamin som monoterapi hos postmenopausala kvinnor. Behandling bör ske endast vid konstaterad brist och/eller vid samtidig frakturförebyggande behandling och under per oral kortisonbehandling.</w:t>
      </w:r>
    </w:p>
    <w:p w14:paraId="5A69D6CC" w14:textId="77777777" w:rsidR="00EC79BD" w:rsidRPr="00983DD5" w:rsidRDefault="00EC79BD" w:rsidP="00EC79BD">
      <w:pPr>
        <w:jc w:val="both"/>
        <w:rPr>
          <w:rFonts w:asciiTheme="minorHAnsi" w:hAnsiTheme="minorHAnsi" w:cstheme="minorHAnsi"/>
          <w:bCs/>
          <w:sz w:val="24"/>
          <w:szCs w:val="24"/>
        </w:rPr>
      </w:pPr>
      <w:r w:rsidRPr="00983DD5">
        <w:rPr>
          <w:rFonts w:asciiTheme="minorHAnsi" w:hAnsiTheme="minorHAnsi" w:cstheme="minorHAnsi"/>
          <w:bCs/>
          <w:sz w:val="24"/>
          <w:szCs w:val="24"/>
        </w:rPr>
        <w:t xml:space="preserve">Serumvärde av 25-OH-D vitamin [25(OH)D], kalcium och PTH mäts för diagnos. </w:t>
      </w:r>
    </w:p>
    <w:p w14:paraId="29624945" w14:textId="77777777" w:rsidR="00EC79BD" w:rsidRPr="00983DD5" w:rsidRDefault="00EC79BD" w:rsidP="00EC79BD">
      <w:pPr>
        <w:rPr>
          <w:rFonts w:asciiTheme="minorHAnsi" w:hAnsiTheme="minorHAnsi"/>
          <w:sz w:val="24"/>
          <w:szCs w:val="24"/>
        </w:rPr>
      </w:pPr>
      <w:r w:rsidRPr="00983DD5">
        <w:rPr>
          <w:rFonts w:asciiTheme="minorHAnsi" w:hAnsiTheme="minorHAnsi" w:cstheme="minorHAnsi"/>
          <w:bCs/>
          <w:sz w:val="24"/>
          <w:szCs w:val="24"/>
        </w:rPr>
        <w:t>Vid provtagning bör årstid, vilken påverkar serumnivåerna, beaktas vid den laborativa utredningen.</w:t>
      </w:r>
    </w:p>
    <w:p w14:paraId="3AA1AAE4" w14:textId="77777777" w:rsidR="00EC79BD" w:rsidRPr="00D21795" w:rsidRDefault="00EC79BD" w:rsidP="00EC79BD">
      <w:pPr>
        <w:pStyle w:val="Rubrik2"/>
      </w:pPr>
      <w:r w:rsidRPr="00D21795">
        <w:rPr>
          <w:rStyle w:val="Stark"/>
          <w:b/>
        </w:rPr>
        <w:lastRenderedPageBreak/>
        <w:t>Definitioner av D-vitamininsufficiens och -brist</w:t>
      </w:r>
    </w:p>
    <w:p w14:paraId="6725C9F6" w14:textId="77777777" w:rsidR="00EC79BD" w:rsidRPr="00983DD5" w:rsidRDefault="00EC79BD" w:rsidP="00EC79BD">
      <w:pPr>
        <w:pStyle w:val="Liststycke"/>
        <w:numPr>
          <w:ilvl w:val="0"/>
          <w:numId w:val="117"/>
        </w:numPr>
        <w:ind w:left="284" w:hanging="142"/>
        <w:contextualSpacing/>
        <w:jc w:val="both"/>
        <w:rPr>
          <w:rFonts w:asciiTheme="minorHAnsi" w:hAnsiTheme="minorHAnsi" w:cstheme="minorHAnsi"/>
          <w:bCs/>
          <w:sz w:val="24"/>
          <w:szCs w:val="24"/>
        </w:rPr>
      </w:pPr>
      <w:r w:rsidRPr="00983DD5">
        <w:rPr>
          <w:rFonts w:asciiTheme="minorHAnsi" w:hAnsiTheme="minorHAnsi" w:cstheme="minorHAnsi"/>
          <w:bCs/>
          <w:sz w:val="24"/>
          <w:szCs w:val="24"/>
        </w:rPr>
        <w:t>Brist: 25(OH)D &lt;25 nmol/L behandlingsindikation föreligger</w:t>
      </w:r>
    </w:p>
    <w:p w14:paraId="2FC1DA1B" w14:textId="77777777" w:rsidR="00EC79BD" w:rsidRPr="00983DD5" w:rsidRDefault="00EC79BD" w:rsidP="00EC79BD">
      <w:pPr>
        <w:pStyle w:val="Liststycke"/>
        <w:numPr>
          <w:ilvl w:val="0"/>
          <w:numId w:val="117"/>
        </w:numPr>
        <w:ind w:left="284" w:hanging="142"/>
        <w:contextualSpacing/>
        <w:jc w:val="both"/>
        <w:rPr>
          <w:rFonts w:asciiTheme="minorHAnsi" w:eastAsia="Garamond" w:hAnsiTheme="minorHAnsi" w:cstheme="minorHAnsi"/>
          <w:noProof/>
          <w:sz w:val="24"/>
          <w:szCs w:val="24"/>
        </w:rPr>
      </w:pPr>
      <w:r w:rsidRPr="00983DD5">
        <w:rPr>
          <w:rFonts w:asciiTheme="minorHAnsi" w:eastAsia="Garamond" w:hAnsiTheme="minorHAnsi" w:cstheme="minorHAnsi"/>
          <w:noProof/>
          <w:sz w:val="24"/>
          <w:szCs w:val="24"/>
        </w:rPr>
        <w:t>Insufficiens: 25(OH)D 25-50 nmol/L. Behandlingsindikation finns i regel om annan serumbiokemi (kalcium är lågt, ALP och/eller PTH är förhöjt) är påverkad. Behandlingsindikation förstärks om patienten tillhör riskgrupp</w:t>
      </w:r>
      <w:r w:rsidRPr="00983DD5">
        <w:rPr>
          <w:rFonts w:ascii="Segoe UI Symbol" w:eastAsia="Garamond" w:hAnsi="Segoe UI Symbol" w:cs="Segoe UI Symbol"/>
          <w:noProof/>
          <w:sz w:val="24"/>
          <w:szCs w:val="24"/>
          <w:vertAlign w:val="superscript"/>
        </w:rPr>
        <w:t>❋</w:t>
      </w:r>
      <w:r w:rsidRPr="00983DD5">
        <w:rPr>
          <w:rFonts w:asciiTheme="minorHAnsi" w:eastAsia="Garamond" w:hAnsiTheme="minorHAnsi" w:cstheme="minorHAnsi"/>
          <w:noProof/>
          <w:sz w:val="24"/>
          <w:szCs w:val="24"/>
        </w:rPr>
        <w:t xml:space="preserve"> eller har symtom som symmetrisk proximal muskelvärk eller muskelsvaghet, falltendens hos äldre. </w:t>
      </w:r>
    </w:p>
    <w:p w14:paraId="3AD8FB53" w14:textId="77777777" w:rsidR="00EC79BD" w:rsidRPr="00983DD5" w:rsidRDefault="00EC79BD" w:rsidP="00EC79BD">
      <w:pPr>
        <w:pStyle w:val="Liststycke"/>
        <w:numPr>
          <w:ilvl w:val="0"/>
          <w:numId w:val="117"/>
        </w:numPr>
        <w:ind w:left="284" w:hanging="142"/>
        <w:contextualSpacing/>
        <w:jc w:val="both"/>
        <w:rPr>
          <w:rFonts w:asciiTheme="minorHAnsi" w:eastAsia="Garamond" w:hAnsiTheme="minorHAnsi" w:cstheme="minorHAnsi"/>
          <w:noProof/>
          <w:sz w:val="24"/>
          <w:szCs w:val="24"/>
        </w:rPr>
      </w:pPr>
      <w:r w:rsidRPr="00983DD5">
        <w:rPr>
          <w:rFonts w:asciiTheme="minorHAnsi" w:eastAsia="Garamond" w:hAnsiTheme="minorHAnsi" w:cstheme="minorHAnsi"/>
          <w:noProof/>
          <w:sz w:val="24"/>
          <w:szCs w:val="24"/>
          <w:lang w:val="en-US"/>
        </w:rPr>
        <w:t>Sufficiens: 25(OH)D &gt; 50 nmol/L</w:t>
      </w:r>
    </w:p>
    <w:p w14:paraId="312E7DDD" w14:textId="77777777" w:rsidR="00EC79BD" w:rsidRPr="00983DD5" w:rsidRDefault="00EC79BD" w:rsidP="00EC79BD">
      <w:pPr>
        <w:jc w:val="both"/>
        <w:rPr>
          <w:rFonts w:ascii="Segoe UI Symbol" w:eastAsia="Garamond" w:hAnsi="Segoe UI Symbol" w:cstheme="minorHAnsi"/>
          <w:noProof/>
          <w:sz w:val="24"/>
          <w:szCs w:val="24"/>
        </w:rPr>
      </w:pPr>
      <w:r w:rsidRPr="00983DD5">
        <w:rPr>
          <w:rFonts w:asciiTheme="minorHAnsi" w:hAnsiTheme="minorHAnsi" w:cs="Segoe UI Symbol"/>
          <w:color w:val="404040" w:themeColor="text1" w:themeTint="BF"/>
          <w:sz w:val="24"/>
          <w:szCs w:val="24"/>
        </w:rPr>
        <w:br/>
      </w:r>
      <w:r w:rsidRPr="00983DD5">
        <w:rPr>
          <w:rFonts w:ascii="Segoe UI Symbol" w:eastAsia="Garamond" w:hAnsi="Segoe UI Symbol" w:cstheme="minorHAnsi"/>
          <w:noProof/>
          <w:sz w:val="24"/>
          <w:szCs w:val="24"/>
          <w:vertAlign w:val="superscript"/>
        </w:rPr>
        <w:t>❋</w:t>
      </w:r>
      <w:r w:rsidRPr="00983DD5">
        <w:rPr>
          <w:rFonts w:eastAsia="Garamond" w:cstheme="minorHAnsi"/>
          <w:noProof/>
          <w:sz w:val="24"/>
          <w:szCs w:val="24"/>
          <w:lang w:val="en-US"/>
        </w:rPr>
        <w:t>Riskgrupper för D-vitaminbrist</w:t>
      </w:r>
    </w:p>
    <w:p w14:paraId="5F9F518A" w14:textId="77777777" w:rsidR="00EC79BD" w:rsidRPr="00983DD5" w:rsidRDefault="00EC79BD" w:rsidP="00EC79BD">
      <w:pPr>
        <w:pStyle w:val="Liststycke"/>
        <w:numPr>
          <w:ilvl w:val="0"/>
          <w:numId w:val="119"/>
        </w:numPr>
        <w:ind w:left="502"/>
        <w:contextualSpacing/>
        <w:jc w:val="both"/>
        <w:rPr>
          <w:rFonts w:eastAsia="Garamond" w:cstheme="minorHAnsi"/>
          <w:noProof/>
          <w:sz w:val="24"/>
          <w:szCs w:val="24"/>
        </w:rPr>
      </w:pPr>
      <w:r w:rsidRPr="00983DD5">
        <w:rPr>
          <w:rFonts w:eastAsia="Garamond" w:cstheme="minorHAnsi"/>
          <w:noProof/>
          <w:sz w:val="24"/>
          <w:szCs w:val="24"/>
        </w:rPr>
        <w:t>Individer som använder heltäckande kläder, undviker solexponering eller har mörk hudfärg</w:t>
      </w:r>
    </w:p>
    <w:p w14:paraId="7E07F531" w14:textId="77777777" w:rsidR="00EC79BD" w:rsidRPr="00983DD5" w:rsidRDefault="00EC79BD" w:rsidP="00EC79BD">
      <w:pPr>
        <w:pStyle w:val="Liststycke"/>
        <w:numPr>
          <w:ilvl w:val="0"/>
          <w:numId w:val="119"/>
        </w:numPr>
        <w:ind w:left="502"/>
        <w:contextualSpacing/>
        <w:jc w:val="both"/>
        <w:rPr>
          <w:rFonts w:eastAsia="Garamond" w:cstheme="minorHAnsi"/>
          <w:noProof/>
          <w:sz w:val="24"/>
          <w:szCs w:val="24"/>
        </w:rPr>
      </w:pPr>
      <w:r w:rsidRPr="00983DD5">
        <w:rPr>
          <w:rFonts w:eastAsia="Garamond" w:cstheme="minorHAnsi"/>
          <w:noProof/>
          <w:sz w:val="24"/>
          <w:szCs w:val="24"/>
        </w:rPr>
        <w:t>Äldre som sällan vistas utomhus eller som bor på särskilt boende</w:t>
      </w:r>
    </w:p>
    <w:p w14:paraId="125665BE" w14:textId="77777777" w:rsidR="00EC79BD" w:rsidRPr="00983DD5" w:rsidRDefault="00EC79BD" w:rsidP="00EC79BD">
      <w:pPr>
        <w:pStyle w:val="Liststycke"/>
        <w:numPr>
          <w:ilvl w:val="0"/>
          <w:numId w:val="119"/>
        </w:numPr>
        <w:ind w:left="502"/>
        <w:contextualSpacing/>
        <w:jc w:val="both"/>
        <w:rPr>
          <w:rFonts w:eastAsia="Garamond" w:cstheme="minorHAnsi"/>
          <w:noProof/>
          <w:sz w:val="24"/>
          <w:szCs w:val="24"/>
        </w:rPr>
      </w:pPr>
      <w:r w:rsidRPr="00983DD5">
        <w:rPr>
          <w:rFonts w:eastAsia="Garamond" w:cstheme="minorHAnsi"/>
          <w:noProof/>
          <w:sz w:val="24"/>
          <w:szCs w:val="24"/>
        </w:rPr>
        <w:t>Patienter med höftfraktur</w:t>
      </w:r>
    </w:p>
    <w:p w14:paraId="1789F721" w14:textId="77777777" w:rsidR="00EC79BD" w:rsidRPr="00983DD5" w:rsidRDefault="00EC79BD" w:rsidP="00EC79BD">
      <w:pPr>
        <w:pStyle w:val="Liststycke"/>
        <w:numPr>
          <w:ilvl w:val="0"/>
          <w:numId w:val="119"/>
        </w:numPr>
        <w:ind w:left="502"/>
        <w:contextualSpacing/>
        <w:jc w:val="both"/>
        <w:rPr>
          <w:rFonts w:eastAsia="Garamond" w:cstheme="minorHAnsi"/>
          <w:noProof/>
          <w:sz w:val="24"/>
          <w:szCs w:val="24"/>
        </w:rPr>
      </w:pPr>
      <w:r w:rsidRPr="00983DD5">
        <w:rPr>
          <w:rFonts w:eastAsia="Garamond" w:cstheme="minorHAnsi"/>
          <w:noProof/>
          <w:sz w:val="24"/>
          <w:szCs w:val="24"/>
        </w:rPr>
        <w:t>Patienter med malabsortption (celiaki, inflammatorisk tarmsjukdom eller gastrisk bypasskirurgi</w:t>
      </w:r>
    </w:p>
    <w:p w14:paraId="22DA5CF2" w14:textId="77777777" w:rsidR="00EC79BD" w:rsidRPr="00983DD5" w:rsidRDefault="00EC79BD" w:rsidP="00EC79BD">
      <w:pPr>
        <w:pStyle w:val="Liststycke"/>
        <w:numPr>
          <w:ilvl w:val="0"/>
          <w:numId w:val="119"/>
        </w:numPr>
        <w:ind w:left="502"/>
        <w:contextualSpacing/>
        <w:jc w:val="both"/>
        <w:rPr>
          <w:rFonts w:eastAsia="Garamond" w:cstheme="minorHAnsi"/>
          <w:noProof/>
          <w:sz w:val="24"/>
          <w:szCs w:val="24"/>
        </w:rPr>
      </w:pPr>
      <w:r w:rsidRPr="00983DD5">
        <w:rPr>
          <w:rFonts w:eastAsia="Garamond" w:cstheme="minorHAnsi"/>
          <w:noProof/>
          <w:sz w:val="24"/>
          <w:szCs w:val="24"/>
        </w:rPr>
        <w:t>Patienter med lever- och njursvikt</w:t>
      </w:r>
    </w:p>
    <w:p w14:paraId="2E2C6CFB" w14:textId="77777777" w:rsidR="00EC79BD" w:rsidRPr="00983DD5" w:rsidRDefault="00EC79BD" w:rsidP="00EC79BD">
      <w:pPr>
        <w:pStyle w:val="Liststycke"/>
        <w:numPr>
          <w:ilvl w:val="0"/>
          <w:numId w:val="119"/>
        </w:numPr>
        <w:ind w:left="502"/>
        <w:contextualSpacing/>
        <w:jc w:val="both"/>
        <w:rPr>
          <w:rFonts w:eastAsia="Garamond" w:cstheme="minorHAnsi"/>
          <w:noProof/>
          <w:sz w:val="24"/>
          <w:szCs w:val="24"/>
        </w:rPr>
      </w:pPr>
      <w:r w:rsidRPr="00983DD5">
        <w:rPr>
          <w:rFonts w:eastAsia="Garamond" w:cstheme="minorHAnsi"/>
          <w:noProof/>
          <w:sz w:val="24"/>
          <w:szCs w:val="24"/>
        </w:rPr>
        <w:t>Patienter med viss läkemedelsbehandling (kortison, antiepileptika, antimykotika, HIV-läkemedel)</w:t>
      </w:r>
    </w:p>
    <w:p w14:paraId="795DB471" w14:textId="77777777" w:rsidR="00EC79BD" w:rsidRPr="00983DD5" w:rsidRDefault="00EC79BD" w:rsidP="00EC79BD">
      <w:pPr>
        <w:pStyle w:val="Normal6"/>
        <w:spacing w:before="0" w:beforeAutospacing="0" w:after="240" w:afterAutospacing="0"/>
        <w:rPr>
          <w:rFonts w:asciiTheme="minorHAnsi" w:hAnsiTheme="minorHAnsi" w:cs="Open Sans"/>
          <w:color w:val="404040" w:themeColor="text1" w:themeTint="BF"/>
        </w:rPr>
      </w:pPr>
    </w:p>
    <w:p w14:paraId="1AE05C66" w14:textId="77777777" w:rsidR="00EC79BD" w:rsidRPr="00983DD5" w:rsidRDefault="00EC79BD" w:rsidP="00EC79BD">
      <w:pPr>
        <w:tabs>
          <w:tab w:val="clear" w:pos="284"/>
        </w:tabs>
        <w:spacing w:before="100" w:beforeAutospacing="1" w:after="100" w:afterAutospacing="1" w:line="240" w:lineRule="auto"/>
        <w:rPr>
          <w:rFonts w:asciiTheme="minorHAnsi" w:eastAsia="Times New Roman" w:hAnsiTheme="minorHAnsi" w:cs="Open Sans"/>
          <w:color w:val="404040" w:themeColor="text1" w:themeTint="BF"/>
          <w:sz w:val="24"/>
          <w:szCs w:val="24"/>
          <w:lang w:eastAsia="sv-SE"/>
        </w:rPr>
      </w:pPr>
      <w:r w:rsidRPr="00983DD5">
        <w:rPr>
          <w:rStyle w:val="Stark"/>
          <w:sz w:val="24"/>
          <w:szCs w:val="24"/>
        </w:rPr>
        <w:t xml:space="preserve">Behandlingsstrategi </w:t>
      </w:r>
      <w:r w:rsidRPr="00983DD5">
        <w:rPr>
          <w:rFonts w:asciiTheme="minorHAnsi" w:eastAsia="Times New Roman" w:hAnsiTheme="minorHAnsi" w:cs="Open Sans"/>
          <w:color w:val="404040" w:themeColor="text1" w:themeTint="BF"/>
          <w:sz w:val="24"/>
          <w:szCs w:val="24"/>
          <w:lang w:eastAsia="sv-SE"/>
        </w:rPr>
        <w:t>(1 ug = 40 IE)</w:t>
      </w:r>
    </w:p>
    <w:p w14:paraId="2C456695" w14:textId="77777777" w:rsidR="00EC79BD" w:rsidRPr="00983DD5" w:rsidRDefault="00EC79BD" w:rsidP="00EC79BD">
      <w:pPr>
        <w:pStyle w:val="Liststycke"/>
        <w:numPr>
          <w:ilvl w:val="0"/>
          <w:numId w:val="120"/>
        </w:numPr>
        <w:ind w:hanging="578"/>
        <w:contextualSpacing/>
        <w:jc w:val="both"/>
        <w:rPr>
          <w:sz w:val="24"/>
          <w:szCs w:val="24"/>
        </w:rPr>
      </w:pPr>
      <w:r w:rsidRPr="00983DD5">
        <w:rPr>
          <w:sz w:val="24"/>
          <w:szCs w:val="24"/>
        </w:rPr>
        <w:t>Vid behandling av dokumenterad brist</w:t>
      </w:r>
    </w:p>
    <w:p w14:paraId="7D7D3E70" w14:textId="77777777" w:rsidR="00EC79BD" w:rsidRPr="00983DD5" w:rsidRDefault="00EC79BD" w:rsidP="00EC79BD">
      <w:pPr>
        <w:pStyle w:val="Liststycke"/>
        <w:contextualSpacing/>
        <w:jc w:val="both"/>
        <w:rPr>
          <w:sz w:val="24"/>
          <w:szCs w:val="24"/>
        </w:rPr>
      </w:pPr>
    </w:p>
    <w:p w14:paraId="48D1467F" w14:textId="77777777" w:rsidR="00EC79BD" w:rsidRPr="00983DD5" w:rsidRDefault="00EC79BD" w:rsidP="00EC79BD">
      <w:pPr>
        <w:ind w:left="284"/>
        <w:jc w:val="both"/>
        <w:rPr>
          <w:rFonts w:asciiTheme="minorHAnsi" w:hAnsiTheme="minorHAnsi"/>
          <w:sz w:val="24"/>
          <w:szCs w:val="24"/>
        </w:rPr>
      </w:pPr>
      <w:r w:rsidRPr="00983DD5">
        <w:rPr>
          <w:rFonts w:asciiTheme="minorHAnsi" w:hAnsiTheme="minorHAnsi"/>
          <w:sz w:val="24"/>
          <w:szCs w:val="24"/>
        </w:rPr>
        <w:t>Behandling med D-vitamin bör i regel ges tillsammans med kalcium. De påvisade hälsovinsterna av D-vitaminbehandling (minskad frakturrisk och reducerad mortalitet) har kunnat påvisas bara vid samtidig kalciumsupplementering. Vid symtomgivande brist rekommenderas 50-100 ug (2000-4000 IE) dagligen i 3-6 månader, därefter 20-40 ug (800-1600 IE).</w:t>
      </w:r>
    </w:p>
    <w:p w14:paraId="1F8A6110" w14:textId="77777777" w:rsidR="00EC79BD" w:rsidRPr="00983DD5" w:rsidRDefault="00EC79BD" w:rsidP="00EC79BD">
      <w:pPr>
        <w:ind w:left="284"/>
        <w:jc w:val="both"/>
        <w:rPr>
          <w:rFonts w:asciiTheme="minorHAnsi" w:hAnsiTheme="minorHAnsi"/>
          <w:sz w:val="24"/>
          <w:szCs w:val="24"/>
        </w:rPr>
      </w:pPr>
      <w:r w:rsidRPr="00983DD5">
        <w:rPr>
          <w:rFonts w:asciiTheme="minorHAnsi" w:hAnsiTheme="minorHAnsi"/>
          <w:sz w:val="24"/>
          <w:szCs w:val="24"/>
        </w:rPr>
        <w:t xml:space="preserve">Behandlingsdos av kolekalciferol vid insufficiens initieras med 200-800 enheter dagligen med hänsyn till urspungnivån av 25(OH)D.   </w:t>
      </w:r>
    </w:p>
    <w:p w14:paraId="1ABA5E02" w14:textId="77777777" w:rsidR="00EC79BD" w:rsidRPr="00983DD5" w:rsidRDefault="00EC79BD" w:rsidP="00EC79BD">
      <w:pPr>
        <w:ind w:left="284"/>
        <w:jc w:val="both"/>
        <w:rPr>
          <w:sz w:val="24"/>
          <w:szCs w:val="24"/>
        </w:rPr>
      </w:pPr>
      <w:r w:rsidRPr="00983DD5">
        <w:rPr>
          <w:rFonts w:asciiTheme="minorHAnsi" w:hAnsiTheme="minorHAnsi"/>
          <w:sz w:val="24"/>
          <w:szCs w:val="24"/>
        </w:rPr>
        <w:t xml:space="preserve">Nivåerna av 25(OH)D bör kontrolleras med ny mätning efter 3-4 månader efter insatt behandling. Ökningen av 25(OH)D i serum efter insatt behandling är mycket varierande beroende på ärftliga faktorer, upptag i tarmen och elimination, men 800 IE kolekalciferol resulterar i ca 20 nmol/L ökning av 25(OH)D i serum. </w:t>
      </w:r>
    </w:p>
    <w:p w14:paraId="7AB5393B" w14:textId="77777777" w:rsidR="00EC79BD" w:rsidRPr="00983DD5" w:rsidRDefault="00EC79BD" w:rsidP="00EC79BD">
      <w:pPr>
        <w:pStyle w:val="Liststycke"/>
        <w:numPr>
          <w:ilvl w:val="0"/>
          <w:numId w:val="120"/>
        </w:numPr>
        <w:tabs>
          <w:tab w:val="clear" w:pos="284"/>
        </w:tabs>
        <w:spacing w:before="100" w:beforeAutospacing="1" w:after="100" w:afterAutospacing="1" w:line="240" w:lineRule="auto"/>
        <w:rPr>
          <w:rFonts w:asciiTheme="minorHAnsi" w:eastAsia="Times New Roman" w:hAnsiTheme="minorHAnsi" w:cs="Open Sans"/>
          <w:color w:val="404040" w:themeColor="text1" w:themeTint="BF"/>
          <w:sz w:val="24"/>
          <w:szCs w:val="24"/>
          <w:lang w:eastAsia="sv-SE"/>
        </w:rPr>
      </w:pPr>
      <w:r w:rsidRPr="00983DD5">
        <w:rPr>
          <w:rFonts w:asciiTheme="minorHAnsi" w:eastAsia="Times New Roman" w:hAnsiTheme="minorHAnsi" w:cs="Open Sans"/>
          <w:color w:val="404040" w:themeColor="text1" w:themeTint="BF"/>
          <w:sz w:val="24"/>
          <w:szCs w:val="24"/>
          <w:lang w:eastAsia="sv-SE"/>
        </w:rPr>
        <w:t xml:space="preserve">Vid samtidig frakturförebyggande behandling </w:t>
      </w:r>
    </w:p>
    <w:p w14:paraId="156189B7" w14:textId="77777777" w:rsidR="00EC79BD" w:rsidRPr="00983DD5" w:rsidRDefault="00EC79BD" w:rsidP="00EC79BD">
      <w:pPr>
        <w:ind w:left="284"/>
        <w:jc w:val="both"/>
        <w:rPr>
          <w:rFonts w:asciiTheme="minorHAnsi" w:hAnsiTheme="minorHAnsi"/>
          <w:sz w:val="24"/>
          <w:szCs w:val="24"/>
        </w:rPr>
      </w:pPr>
      <w:r w:rsidRPr="00983DD5">
        <w:rPr>
          <w:rFonts w:asciiTheme="minorHAnsi" w:hAnsiTheme="minorHAnsi"/>
          <w:sz w:val="24"/>
          <w:szCs w:val="24"/>
        </w:rPr>
        <w:t>I regel bör 500 - 1000 mg kalcium och 800 IE kolekalciferol ges vid samtidig osteoporosbehandling med benspecifika läkemedel, t.ex. bisfosfonat. En dygnsdos av 500 mg kalcium kombinerat med 800 IE kolekalciferol täcker behov i de allra flesta fallen. Man bör fortsätta behandlingen med kalcium och kolekalciferol ca ett år till efter avslutad behandling med benspecifika läkemedel då effekten av benspecifika läkemedel kvarstår i skelettet.</w:t>
      </w:r>
    </w:p>
    <w:p w14:paraId="3C0F2400" w14:textId="77777777" w:rsidR="00702C15" w:rsidRDefault="00702C15" w:rsidP="00702C15">
      <w:pPr>
        <w:pStyle w:val="Rubrik1"/>
      </w:pPr>
      <w:bookmarkStart w:id="78" w:name="_Toc164686704"/>
    </w:p>
    <w:p w14:paraId="05E3401F" w14:textId="4813D640" w:rsidR="00702C15" w:rsidRPr="00FB267F" w:rsidRDefault="00702C15" w:rsidP="00702C15">
      <w:pPr>
        <w:pStyle w:val="Rubrik1"/>
        <w:rPr>
          <w:color w:val="FF0000"/>
        </w:rPr>
      </w:pPr>
      <w:r>
        <w:t>Gynekologi</w:t>
      </w:r>
      <w:bookmarkEnd w:id="78"/>
      <w:r>
        <w:t xml:space="preserve">   </w:t>
      </w:r>
    </w:p>
    <w:p w14:paraId="7A1FA9BE" w14:textId="77777777" w:rsidR="00702C15" w:rsidRPr="0071138D" w:rsidRDefault="00702C15" w:rsidP="00702C15">
      <w:pPr>
        <w:rPr>
          <w:i/>
        </w:rPr>
      </w:pPr>
      <w:r>
        <w:rPr>
          <w:rFonts w:asciiTheme="minorHAnsi" w:eastAsiaTheme="majorEastAsia" w:hAnsiTheme="minorHAnsi" w:cstheme="majorBidi"/>
          <w:b/>
          <w:sz w:val="24"/>
          <w:szCs w:val="24"/>
          <w14:numForm w14:val="lining"/>
        </w:rPr>
        <w:br/>
      </w:r>
      <w:r w:rsidRPr="005A7ADE">
        <w:rPr>
          <w:rFonts w:asciiTheme="minorHAnsi" w:eastAsiaTheme="majorEastAsia" w:hAnsiTheme="minorHAnsi" w:cstheme="majorBidi"/>
          <w:b/>
          <w:sz w:val="24"/>
          <w:szCs w:val="24"/>
          <w14:numForm w14:val="lining"/>
        </w:rPr>
        <w:t xml:space="preserve">Senast uppdaterad </w:t>
      </w:r>
      <w:r>
        <w:rPr>
          <w:rFonts w:asciiTheme="minorHAnsi" w:eastAsiaTheme="majorEastAsia" w:hAnsiTheme="minorHAnsi" w:cstheme="majorBidi"/>
          <w:b/>
          <w:sz w:val="24"/>
          <w:szCs w:val="24"/>
          <w14:numForm w14:val="lining"/>
        </w:rPr>
        <w:t>2026-03-24</w:t>
      </w:r>
    </w:p>
    <w:p w14:paraId="2BBFDEFA" w14:textId="77777777" w:rsidR="00702C15" w:rsidRPr="00A90A14" w:rsidRDefault="00702C15" w:rsidP="00702C15">
      <w:pPr>
        <w:pStyle w:val="Rubrik2"/>
        <w:rPr>
          <w:rFonts w:asciiTheme="minorHAnsi" w:hAnsiTheme="minorHAnsi"/>
          <w:szCs w:val="28"/>
        </w:rPr>
      </w:pPr>
      <w:r w:rsidRPr="005A7ADE">
        <w:rPr>
          <w:szCs w:val="28"/>
        </w:rPr>
        <w:t xml:space="preserve">Terapigruppsmedlemmar </w:t>
      </w:r>
    </w:p>
    <w:p w14:paraId="7AD9E785" w14:textId="77777777" w:rsidR="00702C15" w:rsidRPr="00CB0BBF" w:rsidRDefault="00702C15" w:rsidP="00702C15">
      <w:pPr>
        <w:rPr>
          <w:sz w:val="24"/>
          <w:szCs w:val="24"/>
        </w:rPr>
      </w:pPr>
      <w:r w:rsidRPr="00CB0BBF">
        <w:rPr>
          <w:sz w:val="24"/>
          <w:szCs w:val="24"/>
        </w:rPr>
        <w:t>Denise Kling, ST-läkare, kvinnokliniken Karlskrona</w:t>
      </w:r>
    </w:p>
    <w:p w14:paraId="1493DD31" w14:textId="77777777" w:rsidR="00702C15" w:rsidRPr="00CB0BBF" w:rsidRDefault="00702C15" w:rsidP="00702C15">
      <w:pPr>
        <w:rPr>
          <w:sz w:val="24"/>
          <w:szCs w:val="24"/>
        </w:rPr>
      </w:pPr>
      <w:r w:rsidRPr="00CB0BBF">
        <w:rPr>
          <w:sz w:val="24"/>
          <w:szCs w:val="24"/>
        </w:rPr>
        <w:t>Linda Robertsson, specialistläkare allmänmedicin, Wämö vårdcentral</w:t>
      </w:r>
    </w:p>
    <w:p w14:paraId="07996EA8" w14:textId="77777777" w:rsidR="00702C15" w:rsidRPr="00CB0BBF" w:rsidRDefault="00702C15" w:rsidP="00702C15">
      <w:pPr>
        <w:rPr>
          <w:sz w:val="24"/>
          <w:szCs w:val="24"/>
        </w:rPr>
      </w:pPr>
      <w:r w:rsidRPr="00CB0BBF">
        <w:rPr>
          <w:sz w:val="24"/>
          <w:szCs w:val="24"/>
        </w:rPr>
        <w:t>Ulrika Plessen-Hansson, barnmorska, Ungdomsmottagningen</w:t>
      </w:r>
    </w:p>
    <w:p w14:paraId="2436CBF2" w14:textId="77777777" w:rsidR="00702C15" w:rsidRPr="00CB0BBF" w:rsidRDefault="00702C15" w:rsidP="00702C15">
      <w:pPr>
        <w:rPr>
          <w:sz w:val="24"/>
          <w:szCs w:val="24"/>
        </w:rPr>
      </w:pPr>
      <w:r>
        <w:rPr>
          <w:sz w:val="24"/>
          <w:szCs w:val="24"/>
        </w:rPr>
        <w:t>Lisa Karavidas</w:t>
      </w:r>
      <w:r w:rsidRPr="00CB0BBF">
        <w:rPr>
          <w:sz w:val="24"/>
          <w:szCs w:val="24"/>
        </w:rPr>
        <w:t>,</w:t>
      </w:r>
      <w:r>
        <w:rPr>
          <w:sz w:val="24"/>
          <w:szCs w:val="24"/>
        </w:rPr>
        <w:t xml:space="preserve"> specialistläkare,</w:t>
      </w:r>
      <w:r w:rsidRPr="00CB0BBF">
        <w:rPr>
          <w:sz w:val="24"/>
          <w:szCs w:val="24"/>
        </w:rPr>
        <w:t xml:space="preserve"> Ungdomsmottagningen</w:t>
      </w:r>
    </w:p>
    <w:p w14:paraId="653ABD22" w14:textId="76CE7D71" w:rsidR="00702C15" w:rsidRPr="00CB0BBF" w:rsidRDefault="00702C15" w:rsidP="00702C15">
      <w:pPr>
        <w:rPr>
          <w:sz w:val="24"/>
          <w:szCs w:val="24"/>
        </w:rPr>
      </w:pPr>
      <w:r w:rsidRPr="00CB0BBF">
        <w:rPr>
          <w:sz w:val="24"/>
          <w:szCs w:val="24"/>
        </w:rPr>
        <w:t>Birgitta Elthammar, barnmorska, kvinnohälsovård Karls</w:t>
      </w:r>
      <w:r w:rsidR="002A27EE">
        <w:rPr>
          <w:sz w:val="24"/>
          <w:szCs w:val="24"/>
        </w:rPr>
        <w:t>krona</w:t>
      </w:r>
    </w:p>
    <w:p w14:paraId="1976A05D" w14:textId="77777777" w:rsidR="00702C15" w:rsidRPr="00CB0BBF" w:rsidRDefault="00702C15" w:rsidP="00702C15">
      <w:pPr>
        <w:rPr>
          <w:sz w:val="24"/>
          <w:szCs w:val="24"/>
        </w:rPr>
      </w:pPr>
      <w:r w:rsidRPr="00CB0BBF">
        <w:rPr>
          <w:sz w:val="24"/>
          <w:szCs w:val="24"/>
        </w:rPr>
        <w:t>Jesper Brandstedt, Farmaceut, Läkemedelsenheten</w:t>
      </w:r>
    </w:p>
    <w:p w14:paraId="76F2CF8C" w14:textId="77777777" w:rsidR="00702C15" w:rsidRPr="00966AC3" w:rsidRDefault="00702C15" w:rsidP="00702C15">
      <w:pPr>
        <w:rPr>
          <w:color w:val="FF0000"/>
          <w:sz w:val="24"/>
          <w:szCs w:val="24"/>
        </w:rPr>
      </w:pPr>
      <w:r w:rsidRPr="00CB0BBF">
        <w:rPr>
          <w:rFonts w:asciiTheme="minorHAnsi" w:eastAsia="Times New Roman" w:hAnsiTheme="minorHAnsi"/>
          <w:sz w:val="24"/>
          <w:szCs w:val="24"/>
          <w:lang w:eastAsia="sv-SE"/>
        </w:rPr>
        <w:t>István Jámbor, överläkare, Kirurgkliniken Karlskrona</w:t>
      </w:r>
    </w:p>
    <w:p w14:paraId="5C111DCD" w14:textId="77777777" w:rsidR="00702C15" w:rsidRPr="005A7ADE" w:rsidRDefault="00702C15" w:rsidP="00702C15">
      <w:pPr>
        <w:rPr>
          <w:sz w:val="24"/>
          <w:szCs w:val="24"/>
        </w:rPr>
      </w:pPr>
    </w:p>
    <w:p w14:paraId="17B129B3" w14:textId="77777777" w:rsidR="00702C15" w:rsidRPr="005A7ADE" w:rsidRDefault="00702C15" w:rsidP="00702C15">
      <w:pPr>
        <w:pStyle w:val="Rubrik2"/>
      </w:pPr>
      <w:r w:rsidRPr="005A7ADE">
        <w:t>Miljöaspekter</w:t>
      </w:r>
    </w:p>
    <w:p w14:paraId="029984E8" w14:textId="77777777" w:rsidR="00702C15" w:rsidRPr="0094786D" w:rsidRDefault="00702C15" w:rsidP="00702C15">
      <w:pPr>
        <w:rPr>
          <w:iCs/>
          <w:sz w:val="24"/>
          <w:szCs w:val="24"/>
        </w:rPr>
      </w:pPr>
      <w:r w:rsidRPr="0094786D">
        <w:rPr>
          <w:sz w:val="24"/>
          <w:szCs w:val="24"/>
        </w:rPr>
        <w:t>Hormonläkemedel, inte minst estradiol och etinylestradiol, är förknippade med miljörisker,</w:t>
      </w:r>
      <w:r w:rsidRPr="0094786D">
        <w:rPr>
          <w:iCs/>
          <w:sz w:val="24"/>
          <w:szCs w:val="24"/>
        </w:rPr>
        <w:t xml:space="preserve"> </w:t>
      </w:r>
      <w:r>
        <w:rPr>
          <w:iCs/>
          <w:sz w:val="24"/>
          <w:szCs w:val="24"/>
        </w:rPr>
        <w:br/>
      </w:r>
      <w:r w:rsidRPr="0094786D">
        <w:rPr>
          <w:iCs/>
          <w:sz w:val="24"/>
          <w:szCs w:val="24"/>
        </w:rPr>
        <w:t xml:space="preserve">se </w:t>
      </w:r>
      <w:hyperlink r:id="rId71" w:history="1">
        <w:r w:rsidRPr="0094786D">
          <w:rPr>
            <w:iCs/>
            <w:color w:val="6E368C" w:themeColor="hyperlink"/>
            <w:sz w:val="24"/>
            <w:szCs w:val="24"/>
            <w:u w:val="single"/>
          </w:rPr>
          <w:t>janusinfo – läkemedel och miljö</w:t>
        </w:r>
      </w:hyperlink>
      <w:r w:rsidRPr="0094786D">
        <w:rPr>
          <w:iCs/>
          <w:sz w:val="24"/>
          <w:szCs w:val="24"/>
        </w:rPr>
        <w:t xml:space="preserve">. Generellt ger låg dos mindre miljöpåverkan. </w:t>
      </w:r>
      <w:r w:rsidRPr="0094786D">
        <w:rPr>
          <w:sz w:val="24"/>
          <w:szCs w:val="24"/>
        </w:rPr>
        <w:t xml:space="preserve">För att minska negativ miljöpåverkan är det därför viktigt att patienterna informeras om att ej använda läkemedel ska återlämnas till apotek. </w:t>
      </w:r>
      <w:r w:rsidRPr="0094786D">
        <w:rPr>
          <w:iCs/>
          <w:sz w:val="24"/>
          <w:szCs w:val="24"/>
        </w:rPr>
        <w:t xml:space="preserve">Använda p-plåster och p-ring </w:t>
      </w:r>
      <w:r>
        <w:rPr>
          <w:iCs/>
          <w:sz w:val="24"/>
          <w:szCs w:val="24"/>
        </w:rPr>
        <w:t>innehåller läkemedel även efter användning och ska också återlämnas till</w:t>
      </w:r>
      <w:r w:rsidRPr="0094786D">
        <w:rPr>
          <w:iCs/>
          <w:sz w:val="24"/>
          <w:szCs w:val="24"/>
        </w:rPr>
        <w:t xml:space="preserve"> apotek.</w:t>
      </w:r>
      <w:r w:rsidRPr="0094786D">
        <w:rPr>
          <w:sz w:val="24"/>
          <w:szCs w:val="24"/>
        </w:rPr>
        <w:t xml:space="preserve"> </w:t>
      </w:r>
      <w:r w:rsidRPr="0094786D">
        <w:rPr>
          <w:iCs/>
          <w:sz w:val="24"/>
          <w:szCs w:val="24"/>
        </w:rPr>
        <w:t>Inom vården kasseras läkemedel i enlighet med rutin.</w:t>
      </w:r>
    </w:p>
    <w:p w14:paraId="568C79B1" w14:textId="77777777" w:rsidR="00702C15" w:rsidRPr="005A7ADE" w:rsidRDefault="00702C15" w:rsidP="00702C15">
      <w:pPr>
        <w:pStyle w:val="Rubrik2"/>
      </w:pPr>
      <w:r w:rsidRPr="005A7ADE">
        <w:t>Antikonception</w:t>
      </w:r>
    </w:p>
    <w:p w14:paraId="66256B18" w14:textId="77777777" w:rsidR="00702C15" w:rsidRDefault="00702C15" w:rsidP="00702C15">
      <w:pPr>
        <w:rPr>
          <w:sz w:val="24"/>
          <w:szCs w:val="24"/>
        </w:rPr>
      </w:pPr>
      <w:r>
        <w:rPr>
          <w:sz w:val="24"/>
          <w:szCs w:val="24"/>
        </w:rPr>
        <w:t xml:space="preserve">Preventivmedel förskrivs på kvinnohälsovården, ungdomsmottagningar, gynekologiska mottagningar och i primärvården. Kan även förskrivas av läkare inom skolhälsovården. För patienter med svåra biverkningar, komplicerande samsjuklighet eller avvikande blödningar rekommenderas bedömning av gynekolog. </w:t>
      </w:r>
    </w:p>
    <w:p w14:paraId="448A68DC" w14:textId="77777777" w:rsidR="00702C15" w:rsidRPr="00E017BB" w:rsidRDefault="00702C15" w:rsidP="00702C15">
      <w:pPr>
        <w:rPr>
          <w:sz w:val="24"/>
          <w:szCs w:val="24"/>
        </w:rPr>
      </w:pPr>
      <w:r w:rsidRPr="00E017BB">
        <w:rPr>
          <w:sz w:val="24"/>
          <w:szCs w:val="24"/>
        </w:rPr>
        <w:t>För regionsubventionerad ungdomsrabatt på antikonception ange RB2 på recept</w:t>
      </w:r>
      <w:r>
        <w:rPr>
          <w:sz w:val="24"/>
          <w:szCs w:val="24"/>
        </w:rPr>
        <w:t>.</w:t>
      </w:r>
    </w:p>
    <w:p w14:paraId="0CE5A467" w14:textId="77777777" w:rsidR="00702C15" w:rsidRDefault="00702C15" w:rsidP="00702C15">
      <w:pPr>
        <w:rPr>
          <w:sz w:val="24"/>
          <w:szCs w:val="24"/>
        </w:rPr>
      </w:pPr>
    </w:p>
    <w:p w14:paraId="60E0CD25" w14:textId="77777777" w:rsidR="00702C15" w:rsidRPr="00E611CC" w:rsidRDefault="00702C15" w:rsidP="00702C15">
      <w:pPr>
        <w:rPr>
          <w:sz w:val="24"/>
          <w:szCs w:val="24"/>
          <w:u w:val="single"/>
        </w:rPr>
      </w:pPr>
      <w:r w:rsidRPr="00E611CC">
        <w:rPr>
          <w:sz w:val="24"/>
          <w:szCs w:val="24"/>
          <w:u w:val="single"/>
        </w:rPr>
        <w:t xml:space="preserve">Anamnes </w:t>
      </w:r>
    </w:p>
    <w:p w14:paraId="2B2AFA74" w14:textId="77777777" w:rsidR="00702C15" w:rsidRPr="00E611CC" w:rsidRDefault="00702C15" w:rsidP="00702C15">
      <w:pPr>
        <w:pStyle w:val="Liststycke"/>
        <w:numPr>
          <w:ilvl w:val="0"/>
          <w:numId w:val="109"/>
        </w:numPr>
        <w:tabs>
          <w:tab w:val="clear" w:pos="284"/>
        </w:tabs>
        <w:spacing w:after="120" w:line="260" w:lineRule="atLeast"/>
        <w:rPr>
          <w:sz w:val="24"/>
          <w:szCs w:val="24"/>
        </w:rPr>
      </w:pPr>
      <w:r w:rsidRPr="00E611CC">
        <w:rPr>
          <w:sz w:val="24"/>
          <w:szCs w:val="24"/>
        </w:rPr>
        <w:t>Gynekologisk anamnes och blödningsmönster</w:t>
      </w:r>
    </w:p>
    <w:p w14:paraId="2AD71134" w14:textId="77777777" w:rsidR="00702C15" w:rsidRPr="00E611CC" w:rsidRDefault="00702C15" w:rsidP="00702C15">
      <w:pPr>
        <w:pStyle w:val="Liststycke"/>
        <w:numPr>
          <w:ilvl w:val="0"/>
          <w:numId w:val="109"/>
        </w:numPr>
        <w:tabs>
          <w:tab w:val="clear" w:pos="284"/>
        </w:tabs>
        <w:spacing w:after="120" w:line="260" w:lineRule="atLeast"/>
        <w:rPr>
          <w:sz w:val="24"/>
          <w:szCs w:val="24"/>
        </w:rPr>
      </w:pPr>
      <w:r w:rsidRPr="00E611CC">
        <w:rPr>
          <w:sz w:val="24"/>
          <w:szCs w:val="24"/>
        </w:rPr>
        <w:t>Tidigare erfarenheter av preventivmedel</w:t>
      </w:r>
    </w:p>
    <w:p w14:paraId="17BBC24C" w14:textId="77777777" w:rsidR="00702C15" w:rsidRPr="00E611CC" w:rsidRDefault="00702C15" w:rsidP="00702C15">
      <w:pPr>
        <w:pStyle w:val="Liststycke"/>
        <w:numPr>
          <w:ilvl w:val="0"/>
          <w:numId w:val="109"/>
        </w:numPr>
        <w:tabs>
          <w:tab w:val="clear" w:pos="284"/>
        </w:tabs>
        <w:spacing w:after="120" w:line="260" w:lineRule="atLeast"/>
        <w:rPr>
          <w:sz w:val="24"/>
          <w:szCs w:val="24"/>
        </w:rPr>
      </w:pPr>
      <w:r w:rsidRPr="00E611CC">
        <w:rPr>
          <w:sz w:val="24"/>
          <w:szCs w:val="24"/>
        </w:rPr>
        <w:t>Bakomliggande sjukdomar, läkemedel och allergier</w:t>
      </w:r>
    </w:p>
    <w:p w14:paraId="19199F40" w14:textId="77777777" w:rsidR="00702C15" w:rsidRPr="00E611CC" w:rsidRDefault="00702C15" w:rsidP="00702C15">
      <w:pPr>
        <w:pStyle w:val="Liststycke"/>
        <w:numPr>
          <w:ilvl w:val="0"/>
          <w:numId w:val="109"/>
        </w:numPr>
        <w:tabs>
          <w:tab w:val="clear" w:pos="284"/>
        </w:tabs>
        <w:spacing w:after="120" w:line="260" w:lineRule="atLeast"/>
        <w:rPr>
          <w:sz w:val="24"/>
          <w:szCs w:val="24"/>
        </w:rPr>
      </w:pPr>
      <w:r w:rsidRPr="00E611CC">
        <w:rPr>
          <w:sz w:val="24"/>
          <w:szCs w:val="24"/>
        </w:rPr>
        <w:t>Ärftlighet för VTE hos förstagradssläkting</w:t>
      </w:r>
    </w:p>
    <w:p w14:paraId="06FF123A" w14:textId="77777777" w:rsidR="00702C15" w:rsidRPr="00E611CC" w:rsidRDefault="00702C15" w:rsidP="00702C15">
      <w:pPr>
        <w:pStyle w:val="Liststycke"/>
        <w:numPr>
          <w:ilvl w:val="0"/>
          <w:numId w:val="109"/>
        </w:numPr>
        <w:tabs>
          <w:tab w:val="clear" w:pos="284"/>
        </w:tabs>
        <w:spacing w:after="120" w:line="260" w:lineRule="atLeast"/>
        <w:rPr>
          <w:sz w:val="24"/>
          <w:szCs w:val="24"/>
        </w:rPr>
      </w:pPr>
      <w:r w:rsidRPr="00E611CC">
        <w:rPr>
          <w:sz w:val="24"/>
          <w:szCs w:val="24"/>
        </w:rPr>
        <w:t>Rökning</w:t>
      </w:r>
    </w:p>
    <w:p w14:paraId="026AE27D" w14:textId="77777777" w:rsidR="00702C15" w:rsidRDefault="00702C15" w:rsidP="00702C15">
      <w:pPr>
        <w:rPr>
          <w:sz w:val="24"/>
          <w:szCs w:val="24"/>
        </w:rPr>
      </w:pPr>
    </w:p>
    <w:p w14:paraId="608C6D61" w14:textId="77777777" w:rsidR="002A27EE" w:rsidRDefault="002A27EE" w:rsidP="00702C15">
      <w:pPr>
        <w:rPr>
          <w:sz w:val="24"/>
          <w:szCs w:val="24"/>
          <w:u w:val="single"/>
        </w:rPr>
      </w:pPr>
    </w:p>
    <w:p w14:paraId="597F775A" w14:textId="6AAF4239" w:rsidR="00702C15" w:rsidRPr="00E611CC" w:rsidRDefault="00702C15" w:rsidP="00702C15">
      <w:pPr>
        <w:rPr>
          <w:sz w:val="24"/>
          <w:szCs w:val="24"/>
          <w:u w:val="single"/>
        </w:rPr>
      </w:pPr>
      <w:r w:rsidRPr="00E611CC">
        <w:rPr>
          <w:sz w:val="24"/>
          <w:szCs w:val="24"/>
          <w:u w:val="single"/>
        </w:rPr>
        <w:lastRenderedPageBreak/>
        <w:t>Undersökning</w:t>
      </w:r>
    </w:p>
    <w:p w14:paraId="0A129C68" w14:textId="77777777" w:rsidR="00702C15" w:rsidRDefault="00702C15" w:rsidP="00702C15">
      <w:pPr>
        <w:pStyle w:val="Liststycke"/>
        <w:numPr>
          <w:ilvl w:val="0"/>
          <w:numId w:val="109"/>
        </w:numPr>
        <w:tabs>
          <w:tab w:val="clear" w:pos="284"/>
        </w:tabs>
        <w:spacing w:after="120" w:line="260" w:lineRule="atLeast"/>
        <w:rPr>
          <w:sz w:val="24"/>
          <w:szCs w:val="24"/>
        </w:rPr>
      </w:pPr>
      <w:r>
        <w:rPr>
          <w:sz w:val="24"/>
          <w:szCs w:val="24"/>
        </w:rPr>
        <w:t>Blodtryck, längd och vikt</w:t>
      </w:r>
    </w:p>
    <w:p w14:paraId="0706EAB2" w14:textId="77777777" w:rsidR="00702C15" w:rsidRDefault="00702C15" w:rsidP="00702C15">
      <w:pPr>
        <w:pStyle w:val="Liststycke"/>
        <w:numPr>
          <w:ilvl w:val="0"/>
          <w:numId w:val="109"/>
        </w:numPr>
        <w:tabs>
          <w:tab w:val="clear" w:pos="284"/>
        </w:tabs>
        <w:spacing w:after="120" w:line="260" w:lineRule="atLeast"/>
        <w:rPr>
          <w:sz w:val="24"/>
          <w:szCs w:val="24"/>
        </w:rPr>
      </w:pPr>
      <w:r>
        <w:rPr>
          <w:sz w:val="24"/>
          <w:szCs w:val="24"/>
        </w:rPr>
        <w:t>Erbjuda provtagning STI</w:t>
      </w:r>
    </w:p>
    <w:p w14:paraId="2F6668E2" w14:textId="77777777" w:rsidR="00702C15" w:rsidRPr="00CE0A54" w:rsidRDefault="00702C15" w:rsidP="00702C15">
      <w:pPr>
        <w:pStyle w:val="Liststycke"/>
        <w:numPr>
          <w:ilvl w:val="0"/>
          <w:numId w:val="109"/>
        </w:numPr>
        <w:tabs>
          <w:tab w:val="clear" w:pos="284"/>
        </w:tabs>
        <w:spacing w:after="120" w:line="260" w:lineRule="atLeast"/>
        <w:rPr>
          <w:sz w:val="24"/>
          <w:szCs w:val="24"/>
        </w:rPr>
      </w:pPr>
      <w:r>
        <w:rPr>
          <w:sz w:val="24"/>
          <w:szCs w:val="24"/>
        </w:rPr>
        <w:t>Gynekologisk undersökning ej nödvändigt om patienten är besvärsfri</w:t>
      </w:r>
    </w:p>
    <w:p w14:paraId="06D2851D" w14:textId="77777777" w:rsidR="00702C15" w:rsidRDefault="00702C15" w:rsidP="00702C15">
      <w:pPr>
        <w:rPr>
          <w:sz w:val="24"/>
          <w:szCs w:val="24"/>
        </w:rPr>
      </w:pPr>
    </w:p>
    <w:p w14:paraId="5549694C" w14:textId="77777777" w:rsidR="00702C15" w:rsidRDefault="00702C15" w:rsidP="00702C15">
      <w:pPr>
        <w:pStyle w:val="Rubrik3"/>
      </w:pPr>
      <w:r w:rsidRPr="00F863E2">
        <w:t>Kombinerad metod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702C15" w:rsidRPr="0094786D" w14:paraId="3BA2C5FD" w14:textId="77777777" w:rsidTr="00632FCC">
        <w:tc>
          <w:tcPr>
            <w:tcW w:w="4536" w:type="dxa"/>
          </w:tcPr>
          <w:p w14:paraId="7C59788D" w14:textId="77777777" w:rsidR="00702C15" w:rsidRPr="0094786D" w:rsidRDefault="00702C15" w:rsidP="00632FCC">
            <w:pPr>
              <w:rPr>
                <w:b/>
                <w:sz w:val="24"/>
                <w:szCs w:val="24"/>
              </w:rPr>
            </w:pPr>
            <w:r w:rsidRPr="0094786D">
              <w:rPr>
                <w:b/>
                <w:sz w:val="24"/>
                <w:szCs w:val="24"/>
              </w:rPr>
              <w:t>Etinylestradiol + levonorgestrel</w:t>
            </w:r>
          </w:p>
        </w:tc>
        <w:tc>
          <w:tcPr>
            <w:tcW w:w="4536" w:type="dxa"/>
          </w:tcPr>
          <w:p w14:paraId="0F72A14D" w14:textId="77777777" w:rsidR="00702C15" w:rsidRPr="0094786D" w:rsidRDefault="00702C15" w:rsidP="00632FCC">
            <w:pPr>
              <w:rPr>
                <w:b/>
                <w:sz w:val="24"/>
                <w:szCs w:val="24"/>
              </w:rPr>
            </w:pPr>
            <w:r w:rsidRPr="0094786D">
              <w:rPr>
                <w:sz w:val="24"/>
                <w:szCs w:val="24"/>
              </w:rPr>
              <w:t>Prionelle</w:t>
            </w:r>
          </w:p>
        </w:tc>
      </w:tr>
      <w:tr w:rsidR="00702C15" w:rsidRPr="0094786D" w14:paraId="2EB5F726" w14:textId="77777777" w:rsidTr="00632FCC">
        <w:tc>
          <w:tcPr>
            <w:tcW w:w="4536" w:type="dxa"/>
          </w:tcPr>
          <w:p w14:paraId="6E924B88" w14:textId="77777777" w:rsidR="00702C15" w:rsidRPr="0094786D" w:rsidRDefault="00702C15" w:rsidP="00632FCC">
            <w:pPr>
              <w:rPr>
                <w:b/>
                <w:sz w:val="24"/>
                <w:szCs w:val="24"/>
              </w:rPr>
            </w:pPr>
            <w:r>
              <w:rPr>
                <w:b/>
                <w:sz w:val="24"/>
                <w:szCs w:val="24"/>
              </w:rPr>
              <w:t>Drospirenon</w:t>
            </w:r>
            <w:r w:rsidRPr="0094786D">
              <w:rPr>
                <w:b/>
                <w:sz w:val="24"/>
                <w:szCs w:val="24"/>
              </w:rPr>
              <w:t xml:space="preserve"> + </w:t>
            </w:r>
            <w:r>
              <w:rPr>
                <w:b/>
                <w:sz w:val="24"/>
                <w:szCs w:val="24"/>
              </w:rPr>
              <w:t>estetrol</w:t>
            </w:r>
          </w:p>
        </w:tc>
        <w:tc>
          <w:tcPr>
            <w:tcW w:w="4536" w:type="dxa"/>
          </w:tcPr>
          <w:p w14:paraId="7D688B53" w14:textId="77777777" w:rsidR="00702C15" w:rsidRPr="0094786D" w:rsidRDefault="00702C15" w:rsidP="00632FCC">
            <w:pPr>
              <w:rPr>
                <w:b/>
                <w:sz w:val="24"/>
                <w:szCs w:val="24"/>
              </w:rPr>
            </w:pPr>
            <w:r>
              <w:rPr>
                <w:sz w:val="24"/>
                <w:szCs w:val="24"/>
              </w:rPr>
              <w:t>Drovelis</w:t>
            </w:r>
          </w:p>
        </w:tc>
      </w:tr>
    </w:tbl>
    <w:p w14:paraId="15D73A5C" w14:textId="77777777" w:rsidR="00702C15" w:rsidRPr="00603B22" w:rsidRDefault="00702C15" w:rsidP="00702C15"/>
    <w:p w14:paraId="7CE68ED2" w14:textId="77777777" w:rsidR="00702C15" w:rsidRDefault="00702C15" w:rsidP="00702C15">
      <w:pPr>
        <w:rPr>
          <w:sz w:val="24"/>
          <w:szCs w:val="24"/>
        </w:rPr>
      </w:pPr>
      <w:r>
        <w:rPr>
          <w:sz w:val="24"/>
          <w:szCs w:val="24"/>
        </w:rPr>
        <w:t xml:space="preserve">Till kombinerad metod räknas de preparat som innehåller både östrogen och gestagen. Det finns som p-piller i olika former, p-ring och p-plåster. Det räknas som en säker metod och har flera fördelar så som ett fördelaktigt blödningsmönster och mindre mensvärk. I första hand väljs monofasiskt p-piller med gestagen i form av levonogestrel (Prionelle) för lägsta risk för VTE. </w:t>
      </w:r>
      <w:r>
        <w:rPr>
          <w:sz w:val="24"/>
          <w:szCs w:val="24"/>
        </w:rPr>
        <w:br/>
        <w:t xml:space="preserve">Ifall patienten har acne eller tidigare haft biverkningar av preparatet kan annat mer antiandrogent preparat väljas (Drovelis). </w:t>
      </w:r>
      <w:r w:rsidRPr="004156FB">
        <w:rPr>
          <w:sz w:val="24"/>
          <w:szCs w:val="24"/>
        </w:rPr>
        <w:t>Drovelis ingår ej i läkemedelsförmånen men Region Blekinge står för kostnaden &lt;26 år (Ange RB2 på recept).</w:t>
      </w:r>
      <w:r>
        <w:rPr>
          <w:color w:val="FF0000"/>
          <w:sz w:val="24"/>
          <w:szCs w:val="24"/>
        </w:rPr>
        <w:t xml:space="preserve"> </w:t>
      </w:r>
      <w:r>
        <w:rPr>
          <w:sz w:val="24"/>
          <w:szCs w:val="24"/>
        </w:rPr>
        <w:t xml:space="preserve">Uppehåll i 4 dagar istället för 7 ger ett säkrare skydd mot graviditet. </w:t>
      </w:r>
    </w:p>
    <w:p w14:paraId="3401FF5B" w14:textId="77777777" w:rsidR="00702C15" w:rsidRDefault="00702C15" w:rsidP="00702C15">
      <w:pPr>
        <w:rPr>
          <w:sz w:val="24"/>
          <w:szCs w:val="24"/>
        </w:rPr>
      </w:pPr>
      <w:r>
        <w:rPr>
          <w:sz w:val="24"/>
          <w:szCs w:val="24"/>
        </w:rPr>
        <w:t>P-ring och p-plåster är också kombinerade preparat som kan vara bra alternativ för patient som har lätt för att glömma tabletter. Kombinerade preventivmedel kan sättas in när som helst i menscykeln men om det inte sätts in mensens första dagar rekommenderas kondom första veckan och graviditetstest efter några veckor.</w:t>
      </w:r>
    </w:p>
    <w:p w14:paraId="4BAE23A5" w14:textId="77777777" w:rsidR="00702C15" w:rsidRDefault="00702C15" w:rsidP="00702C15">
      <w:pPr>
        <w:rPr>
          <w:sz w:val="24"/>
          <w:szCs w:val="24"/>
        </w:rPr>
      </w:pPr>
      <w:r>
        <w:rPr>
          <w:sz w:val="24"/>
          <w:szCs w:val="24"/>
        </w:rPr>
        <w:t xml:space="preserve"> Monofasiska p-piller, p-ring och p-plåster kan användas i </w:t>
      </w:r>
      <w:r w:rsidRPr="00DC43A9">
        <w:rPr>
          <w:sz w:val="24"/>
          <w:szCs w:val="24"/>
        </w:rPr>
        <w:t>långcykel</w:t>
      </w:r>
      <w:r>
        <w:rPr>
          <w:sz w:val="24"/>
          <w:szCs w:val="24"/>
        </w:rPr>
        <w:t xml:space="preserve">, dvs att kan tar flera </w:t>
      </w:r>
      <w:r>
        <w:rPr>
          <w:sz w:val="24"/>
          <w:szCs w:val="24"/>
        </w:rPr>
        <w:br/>
        <w:t xml:space="preserve">p-pillerkartor/ ringar/ plåster efter varandra utan uppehåll för mensblödning. Patienten kan då i stället välja när hon ska ha sitt hormonfria 4-dagars-uppehåll alternativt ta ett uppehåll när det kommer en genombrottsblödning. </w:t>
      </w:r>
    </w:p>
    <w:p w14:paraId="729A45C2" w14:textId="77777777" w:rsidR="00702C15" w:rsidRDefault="00702C15" w:rsidP="00702C15">
      <w:pPr>
        <w:rPr>
          <w:sz w:val="24"/>
          <w:szCs w:val="24"/>
        </w:rPr>
      </w:pPr>
    </w:p>
    <w:p w14:paraId="237314FF" w14:textId="77777777" w:rsidR="00702C15" w:rsidRDefault="00702C15" w:rsidP="00702C15">
      <w:pPr>
        <w:rPr>
          <w:sz w:val="24"/>
          <w:szCs w:val="24"/>
          <w:u w:val="single"/>
        </w:rPr>
      </w:pPr>
      <w:r w:rsidRPr="000111AD">
        <w:rPr>
          <w:sz w:val="24"/>
          <w:szCs w:val="24"/>
          <w:u w:val="single"/>
        </w:rPr>
        <w:t>Biverkningar</w:t>
      </w:r>
    </w:p>
    <w:p w14:paraId="10F9354F" w14:textId="77777777" w:rsidR="00702C15" w:rsidRDefault="00702C15" w:rsidP="00702C15">
      <w:pPr>
        <w:rPr>
          <w:sz w:val="24"/>
          <w:szCs w:val="24"/>
        </w:rPr>
      </w:pPr>
      <w:r w:rsidRPr="000111AD">
        <w:rPr>
          <w:sz w:val="24"/>
          <w:szCs w:val="24"/>
        </w:rPr>
        <w:t>D</w:t>
      </w:r>
      <w:r>
        <w:rPr>
          <w:sz w:val="24"/>
          <w:szCs w:val="24"/>
        </w:rPr>
        <w:t xml:space="preserve">e vanligaste biverkningarna är vätskeretention, illamående, huvudvärk, mellanblödningar, humörförändringar, nedsatt sexuell lust och bröstspänningar. Oftast avtar biverkningarna </w:t>
      </w:r>
      <w:r>
        <w:rPr>
          <w:sz w:val="24"/>
          <w:szCs w:val="24"/>
        </w:rPr>
        <w:br/>
        <w:t>inom 2-4 månader men om det inte går över kan man byta till preparat med annat gestagen.</w:t>
      </w:r>
    </w:p>
    <w:p w14:paraId="437ED3CB" w14:textId="77777777" w:rsidR="00702C15" w:rsidRPr="000111AD" w:rsidRDefault="00702C15" w:rsidP="00702C15">
      <w:pPr>
        <w:rPr>
          <w:sz w:val="24"/>
          <w:szCs w:val="24"/>
        </w:rPr>
      </w:pPr>
    </w:p>
    <w:p w14:paraId="738FE025" w14:textId="77777777" w:rsidR="00702C15" w:rsidRDefault="00702C15" w:rsidP="00702C15">
      <w:pPr>
        <w:rPr>
          <w:sz w:val="24"/>
          <w:szCs w:val="24"/>
          <w:u w:val="single"/>
        </w:rPr>
      </w:pPr>
      <w:r w:rsidRPr="000111AD">
        <w:rPr>
          <w:sz w:val="24"/>
          <w:szCs w:val="24"/>
          <w:u w:val="single"/>
        </w:rPr>
        <w:t>Kontraindikationer</w:t>
      </w:r>
    </w:p>
    <w:p w14:paraId="7196DDA1" w14:textId="77777777" w:rsidR="00702C15" w:rsidRDefault="00702C15" w:rsidP="00702C15">
      <w:pPr>
        <w:rPr>
          <w:sz w:val="24"/>
          <w:szCs w:val="24"/>
        </w:rPr>
      </w:pPr>
      <w:r w:rsidRPr="000111AD">
        <w:rPr>
          <w:sz w:val="24"/>
          <w:szCs w:val="24"/>
        </w:rPr>
        <w:t>Kombin</w:t>
      </w:r>
      <w:r>
        <w:rPr>
          <w:sz w:val="24"/>
          <w:szCs w:val="24"/>
        </w:rPr>
        <w:t>erade preparat ger en ökad risk för VTE. Risken är störst de första månaderna och återkommer vid uppehåll mer än fyra veckor. De vanligaste riskerna som innebär en kontraindikation är:</w:t>
      </w:r>
    </w:p>
    <w:p w14:paraId="43C162CC" w14:textId="77777777" w:rsidR="00702C15" w:rsidRDefault="00702C15" w:rsidP="00702C15">
      <w:pPr>
        <w:pStyle w:val="Liststycke"/>
        <w:numPr>
          <w:ilvl w:val="0"/>
          <w:numId w:val="108"/>
        </w:numPr>
        <w:tabs>
          <w:tab w:val="clear" w:pos="284"/>
        </w:tabs>
        <w:spacing w:after="120" w:line="260" w:lineRule="atLeast"/>
        <w:rPr>
          <w:sz w:val="24"/>
          <w:szCs w:val="24"/>
        </w:rPr>
      </w:pPr>
      <w:r>
        <w:rPr>
          <w:sz w:val="24"/>
          <w:szCs w:val="24"/>
        </w:rPr>
        <w:t>Anamnes på djup ven- eller artärtrombos</w:t>
      </w:r>
    </w:p>
    <w:p w14:paraId="6CF808F1" w14:textId="77777777" w:rsidR="00702C15" w:rsidRDefault="00702C15" w:rsidP="00702C15">
      <w:pPr>
        <w:pStyle w:val="Liststycke"/>
        <w:numPr>
          <w:ilvl w:val="0"/>
          <w:numId w:val="108"/>
        </w:numPr>
        <w:tabs>
          <w:tab w:val="clear" w:pos="284"/>
        </w:tabs>
        <w:spacing w:after="120" w:line="260" w:lineRule="atLeast"/>
        <w:rPr>
          <w:sz w:val="24"/>
          <w:szCs w:val="24"/>
        </w:rPr>
      </w:pPr>
      <w:r>
        <w:rPr>
          <w:sz w:val="24"/>
          <w:szCs w:val="24"/>
        </w:rPr>
        <w:t>Hereditet för VTE hos förstagradssläkting</w:t>
      </w:r>
    </w:p>
    <w:p w14:paraId="027C07C8" w14:textId="77777777" w:rsidR="00702C15" w:rsidRDefault="00702C15" w:rsidP="00702C15">
      <w:pPr>
        <w:pStyle w:val="Liststycke"/>
        <w:numPr>
          <w:ilvl w:val="0"/>
          <w:numId w:val="108"/>
        </w:numPr>
        <w:tabs>
          <w:tab w:val="clear" w:pos="284"/>
        </w:tabs>
        <w:spacing w:after="120" w:line="260" w:lineRule="atLeast"/>
        <w:rPr>
          <w:sz w:val="24"/>
          <w:szCs w:val="24"/>
        </w:rPr>
      </w:pPr>
      <w:r>
        <w:rPr>
          <w:sz w:val="24"/>
          <w:szCs w:val="24"/>
        </w:rPr>
        <w:t>Migrän med aura</w:t>
      </w:r>
    </w:p>
    <w:p w14:paraId="6B432B71" w14:textId="77777777" w:rsidR="00702C15" w:rsidRDefault="00702C15" w:rsidP="00702C15">
      <w:pPr>
        <w:pStyle w:val="Liststycke"/>
        <w:numPr>
          <w:ilvl w:val="0"/>
          <w:numId w:val="108"/>
        </w:numPr>
        <w:tabs>
          <w:tab w:val="clear" w:pos="284"/>
        </w:tabs>
        <w:spacing w:after="120" w:line="260" w:lineRule="atLeast"/>
        <w:rPr>
          <w:sz w:val="24"/>
          <w:szCs w:val="24"/>
        </w:rPr>
      </w:pPr>
      <w:r>
        <w:rPr>
          <w:sz w:val="24"/>
          <w:szCs w:val="24"/>
        </w:rPr>
        <w:t>BMI över 30</w:t>
      </w:r>
    </w:p>
    <w:p w14:paraId="0AE67934" w14:textId="77777777" w:rsidR="00702C15" w:rsidRPr="007169A7" w:rsidRDefault="00702C15" w:rsidP="00702C15">
      <w:pPr>
        <w:pStyle w:val="Liststycke"/>
        <w:numPr>
          <w:ilvl w:val="0"/>
          <w:numId w:val="108"/>
        </w:numPr>
        <w:tabs>
          <w:tab w:val="clear" w:pos="284"/>
        </w:tabs>
        <w:spacing w:after="120" w:line="260" w:lineRule="atLeast"/>
        <w:rPr>
          <w:sz w:val="24"/>
          <w:szCs w:val="24"/>
        </w:rPr>
      </w:pPr>
      <w:r>
        <w:rPr>
          <w:sz w:val="24"/>
          <w:szCs w:val="24"/>
        </w:rPr>
        <w:t>Ålder över 40 år</w:t>
      </w:r>
    </w:p>
    <w:p w14:paraId="46C480B4" w14:textId="77777777" w:rsidR="00702C15" w:rsidRDefault="00702C15" w:rsidP="00702C15">
      <w:pPr>
        <w:rPr>
          <w:sz w:val="24"/>
          <w:szCs w:val="24"/>
        </w:rPr>
      </w:pPr>
      <w:r>
        <w:rPr>
          <w:sz w:val="24"/>
          <w:szCs w:val="24"/>
        </w:rPr>
        <w:lastRenderedPageBreak/>
        <w:t xml:space="preserve">Andra kroniska sjukdomar så som diabetes, epilepsi, SLE, RA, hypertoni och annan hjärt-kärlsjukdom, leversjukdom, IBD, porfyri och bröstcancer innebär överväganden som finns närmare beskrivna i kvinnoklinikens PM ”Preventivmedel”. Där står det även skrivet om rökning. </w:t>
      </w:r>
    </w:p>
    <w:p w14:paraId="7B8A57CC" w14:textId="77777777" w:rsidR="00702C15" w:rsidRDefault="00702C15" w:rsidP="00702C15">
      <w:pPr>
        <w:rPr>
          <w:sz w:val="24"/>
          <w:szCs w:val="24"/>
        </w:rPr>
      </w:pPr>
    </w:p>
    <w:p w14:paraId="05572838" w14:textId="77777777" w:rsidR="00702C15" w:rsidRDefault="00702C15" w:rsidP="00702C15">
      <w:pPr>
        <w:rPr>
          <w:sz w:val="24"/>
          <w:szCs w:val="24"/>
          <w:u w:val="single"/>
        </w:rPr>
      </w:pPr>
      <w:r w:rsidRPr="00F863E2">
        <w:rPr>
          <w:sz w:val="24"/>
          <w:szCs w:val="24"/>
          <w:u w:val="single"/>
        </w:rPr>
        <w:t>Uppföljning</w:t>
      </w:r>
    </w:p>
    <w:p w14:paraId="7BAEB09A" w14:textId="77777777" w:rsidR="00702C15" w:rsidRDefault="00702C15" w:rsidP="00702C15">
      <w:pPr>
        <w:rPr>
          <w:sz w:val="24"/>
          <w:szCs w:val="24"/>
        </w:rPr>
      </w:pPr>
      <w:r>
        <w:rPr>
          <w:sz w:val="24"/>
          <w:szCs w:val="24"/>
        </w:rPr>
        <w:t xml:space="preserve">Vikt och blodtryck efter 3-6 månader. Förslagsvis skrivs recept för 6 månader så att kontrollerna kan ligga till grund för fortsatt förskrivning. </w:t>
      </w:r>
    </w:p>
    <w:p w14:paraId="77B9EFFD" w14:textId="77777777" w:rsidR="00702C15" w:rsidRDefault="00702C15" w:rsidP="00702C15">
      <w:pPr>
        <w:pStyle w:val="Rubrik3"/>
      </w:pPr>
      <w:r w:rsidRPr="00F863E2">
        <w:t>Gestagena metoder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9"/>
        <w:gridCol w:w="4028"/>
      </w:tblGrid>
      <w:tr w:rsidR="00702C15" w14:paraId="225457F1" w14:textId="77777777" w:rsidTr="00632FCC">
        <w:tc>
          <w:tcPr>
            <w:tcW w:w="8777" w:type="dxa"/>
            <w:gridSpan w:val="2"/>
          </w:tcPr>
          <w:p w14:paraId="3338BA6B" w14:textId="77777777" w:rsidR="00702C15" w:rsidRDefault="00702C15" w:rsidP="00632FCC">
            <w:pPr>
              <w:pStyle w:val="Rubrik4"/>
            </w:pPr>
            <w:r>
              <w:t>Lågdoserad gestagen</w:t>
            </w:r>
          </w:p>
        </w:tc>
      </w:tr>
      <w:tr w:rsidR="00702C15" w:rsidRPr="0094786D" w14:paraId="448B654B" w14:textId="77777777" w:rsidTr="00632FCC">
        <w:tc>
          <w:tcPr>
            <w:tcW w:w="4749" w:type="dxa"/>
          </w:tcPr>
          <w:p w14:paraId="18BE6D74" w14:textId="77777777" w:rsidR="00702C15" w:rsidRPr="0094786D" w:rsidRDefault="00702C15" w:rsidP="00632FCC">
            <w:pPr>
              <w:rPr>
                <w:b/>
                <w:sz w:val="24"/>
                <w:szCs w:val="24"/>
              </w:rPr>
            </w:pPr>
            <w:r w:rsidRPr="0094786D">
              <w:rPr>
                <w:b/>
                <w:sz w:val="24"/>
                <w:szCs w:val="24"/>
              </w:rPr>
              <w:t>levonorgestrel</w:t>
            </w:r>
          </w:p>
        </w:tc>
        <w:tc>
          <w:tcPr>
            <w:tcW w:w="4028" w:type="dxa"/>
          </w:tcPr>
          <w:p w14:paraId="5C79B7C2" w14:textId="77777777" w:rsidR="00702C15" w:rsidRPr="0094786D" w:rsidRDefault="00702C15" w:rsidP="00632FCC">
            <w:pPr>
              <w:rPr>
                <w:sz w:val="24"/>
                <w:szCs w:val="24"/>
              </w:rPr>
            </w:pPr>
            <w:r w:rsidRPr="0094786D">
              <w:rPr>
                <w:sz w:val="24"/>
                <w:szCs w:val="24"/>
              </w:rPr>
              <w:t>Mirena</w:t>
            </w:r>
          </w:p>
        </w:tc>
      </w:tr>
      <w:tr w:rsidR="00702C15" w14:paraId="1B914D6D" w14:textId="77777777" w:rsidTr="00632FCC">
        <w:tc>
          <w:tcPr>
            <w:tcW w:w="8777" w:type="dxa"/>
            <w:gridSpan w:val="2"/>
            <w:tcBorders>
              <w:top w:val="single" w:sz="4" w:space="0" w:color="auto"/>
              <w:left w:val="single" w:sz="4" w:space="0" w:color="auto"/>
              <w:bottom w:val="single" w:sz="4" w:space="0" w:color="auto"/>
              <w:right w:val="single" w:sz="4" w:space="0" w:color="auto"/>
            </w:tcBorders>
          </w:tcPr>
          <w:p w14:paraId="32B9C397" w14:textId="77777777" w:rsidR="00702C15" w:rsidRPr="009F52E0" w:rsidRDefault="00702C15" w:rsidP="00632FCC">
            <w:pPr>
              <w:pStyle w:val="Rubrik4"/>
            </w:pPr>
            <w:r>
              <w:t>Mellandoserad gestagen</w:t>
            </w:r>
          </w:p>
        </w:tc>
      </w:tr>
      <w:tr w:rsidR="00702C15" w:rsidRPr="0094786D" w14:paraId="598F0885" w14:textId="77777777" w:rsidTr="00632FCC">
        <w:tc>
          <w:tcPr>
            <w:tcW w:w="4749" w:type="dxa"/>
            <w:tcBorders>
              <w:top w:val="single" w:sz="4" w:space="0" w:color="auto"/>
              <w:left w:val="single" w:sz="4" w:space="0" w:color="auto"/>
              <w:bottom w:val="single" w:sz="4" w:space="0" w:color="auto"/>
              <w:right w:val="single" w:sz="4" w:space="0" w:color="auto"/>
            </w:tcBorders>
          </w:tcPr>
          <w:p w14:paraId="305412B5" w14:textId="77777777" w:rsidR="00702C15" w:rsidRPr="0094786D" w:rsidRDefault="00702C15" w:rsidP="00632FCC">
            <w:pPr>
              <w:rPr>
                <w:b/>
                <w:sz w:val="24"/>
                <w:szCs w:val="24"/>
              </w:rPr>
            </w:pPr>
            <w:r w:rsidRPr="00603B22">
              <w:rPr>
                <w:bCs/>
                <w:sz w:val="24"/>
                <w:szCs w:val="24"/>
              </w:rPr>
              <w:t xml:space="preserve">1 </w:t>
            </w:r>
            <w:r w:rsidRPr="0094786D">
              <w:rPr>
                <w:b/>
                <w:sz w:val="24"/>
                <w:szCs w:val="24"/>
              </w:rPr>
              <w:t>desogestrel</w:t>
            </w:r>
          </w:p>
        </w:tc>
        <w:tc>
          <w:tcPr>
            <w:tcW w:w="4028" w:type="dxa"/>
            <w:tcBorders>
              <w:top w:val="single" w:sz="4" w:space="0" w:color="auto"/>
              <w:left w:val="single" w:sz="4" w:space="0" w:color="auto"/>
              <w:bottom w:val="single" w:sz="4" w:space="0" w:color="auto"/>
              <w:right w:val="single" w:sz="4" w:space="0" w:color="auto"/>
            </w:tcBorders>
          </w:tcPr>
          <w:p w14:paraId="245E87DE" w14:textId="77777777" w:rsidR="00702C15" w:rsidRPr="00C0216E" w:rsidRDefault="00702C15" w:rsidP="00632FCC">
            <w:pPr>
              <w:rPr>
                <w:bCs/>
                <w:sz w:val="24"/>
                <w:szCs w:val="24"/>
              </w:rPr>
            </w:pPr>
            <w:r w:rsidRPr="00C0216E">
              <w:rPr>
                <w:bCs/>
                <w:sz w:val="24"/>
                <w:szCs w:val="24"/>
              </w:rPr>
              <w:t>Gestrina</w:t>
            </w:r>
          </w:p>
        </w:tc>
      </w:tr>
      <w:tr w:rsidR="00702C15" w:rsidRPr="0094786D" w14:paraId="513FD9D3" w14:textId="77777777" w:rsidTr="00632FCC">
        <w:tc>
          <w:tcPr>
            <w:tcW w:w="4749" w:type="dxa"/>
            <w:tcBorders>
              <w:top w:val="single" w:sz="4" w:space="0" w:color="auto"/>
              <w:left w:val="single" w:sz="4" w:space="0" w:color="auto"/>
              <w:bottom w:val="single" w:sz="4" w:space="0" w:color="auto"/>
              <w:right w:val="single" w:sz="4" w:space="0" w:color="auto"/>
            </w:tcBorders>
          </w:tcPr>
          <w:p w14:paraId="5F46AAFC" w14:textId="77777777" w:rsidR="00702C15" w:rsidRPr="0094786D" w:rsidRDefault="00702C15" w:rsidP="00632FCC">
            <w:pPr>
              <w:rPr>
                <w:b/>
                <w:sz w:val="24"/>
                <w:szCs w:val="24"/>
              </w:rPr>
            </w:pPr>
            <w:r w:rsidRPr="00603B22">
              <w:rPr>
                <w:bCs/>
                <w:sz w:val="24"/>
                <w:szCs w:val="24"/>
              </w:rPr>
              <w:t xml:space="preserve">2 </w:t>
            </w:r>
            <w:r w:rsidRPr="0094786D">
              <w:rPr>
                <w:b/>
                <w:sz w:val="24"/>
                <w:szCs w:val="24"/>
              </w:rPr>
              <w:t>drospirenon</w:t>
            </w:r>
          </w:p>
        </w:tc>
        <w:tc>
          <w:tcPr>
            <w:tcW w:w="4028" w:type="dxa"/>
            <w:tcBorders>
              <w:top w:val="single" w:sz="4" w:space="0" w:color="auto"/>
              <w:left w:val="single" w:sz="4" w:space="0" w:color="auto"/>
              <w:bottom w:val="single" w:sz="4" w:space="0" w:color="auto"/>
              <w:right w:val="single" w:sz="4" w:space="0" w:color="auto"/>
            </w:tcBorders>
          </w:tcPr>
          <w:p w14:paraId="351A6921" w14:textId="77777777" w:rsidR="00702C15" w:rsidRPr="00C0216E" w:rsidRDefault="00702C15" w:rsidP="00632FCC">
            <w:pPr>
              <w:rPr>
                <w:bCs/>
                <w:sz w:val="24"/>
                <w:szCs w:val="24"/>
              </w:rPr>
            </w:pPr>
            <w:r w:rsidRPr="00C0216E">
              <w:rPr>
                <w:bCs/>
                <w:sz w:val="24"/>
                <w:szCs w:val="24"/>
              </w:rPr>
              <w:t>Slinda</w:t>
            </w:r>
          </w:p>
        </w:tc>
      </w:tr>
      <w:tr w:rsidR="00702C15" w:rsidRPr="0094786D" w14:paraId="5ACA617D" w14:textId="77777777" w:rsidTr="00632FCC">
        <w:tc>
          <w:tcPr>
            <w:tcW w:w="4749" w:type="dxa"/>
          </w:tcPr>
          <w:p w14:paraId="19944E65" w14:textId="77777777" w:rsidR="00702C15" w:rsidRPr="0094786D" w:rsidRDefault="00702C15" w:rsidP="00632FCC">
            <w:pPr>
              <w:rPr>
                <w:b/>
                <w:sz w:val="24"/>
                <w:szCs w:val="24"/>
              </w:rPr>
            </w:pPr>
            <w:r w:rsidRPr="0094786D">
              <w:rPr>
                <w:b/>
                <w:sz w:val="24"/>
                <w:szCs w:val="24"/>
              </w:rPr>
              <w:t>etonogestrel</w:t>
            </w:r>
          </w:p>
        </w:tc>
        <w:tc>
          <w:tcPr>
            <w:tcW w:w="4028" w:type="dxa"/>
          </w:tcPr>
          <w:p w14:paraId="69902AE4" w14:textId="77777777" w:rsidR="00702C15" w:rsidRPr="00C0216E" w:rsidRDefault="00702C15" w:rsidP="00632FCC">
            <w:pPr>
              <w:rPr>
                <w:bCs/>
                <w:sz w:val="24"/>
                <w:szCs w:val="24"/>
              </w:rPr>
            </w:pPr>
            <w:r w:rsidRPr="00C0216E">
              <w:rPr>
                <w:bCs/>
                <w:sz w:val="24"/>
                <w:szCs w:val="24"/>
              </w:rPr>
              <w:t>Nexplanon implantat</w:t>
            </w:r>
          </w:p>
        </w:tc>
      </w:tr>
    </w:tbl>
    <w:p w14:paraId="210AF17F" w14:textId="77777777" w:rsidR="00702C15" w:rsidRPr="00603B22" w:rsidRDefault="00702C15" w:rsidP="00702C15"/>
    <w:p w14:paraId="3BDF5CFE" w14:textId="77777777" w:rsidR="00702C15" w:rsidRDefault="00702C15" w:rsidP="00702C15">
      <w:pPr>
        <w:rPr>
          <w:sz w:val="24"/>
          <w:szCs w:val="24"/>
        </w:rPr>
      </w:pPr>
      <w:r w:rsidRPr="00A20B50">
        <w:rPr>
          <w:b/>
          <w:bCs/>
          <w:sz w:val="24"/>
          <w:szCs w:val="24"/>
        </w:rPr>
        <w:t>Lågdoserade gestagener</w:t>
      </w:r>
      <w:r>
        <w:rPr>
          <w:sz w:val="24"/>
          <w:szCs w:val="24"/>
        </w:rPr>
        <w:t xml:space="preserve"> i tablettform (Mini-Pe) används allt mer sällan pga. sämre säkerhet mot graviditet och kort glömskemarginal men kan vara ett alternativ om biverkningar på högre dos. Hormonspiraler räknas alla till lågdoserade gestagener. Mirena är den vanligaste men har kommit några nyare mindre (Jaydess, Kyleena) som har ytterligare lägre dos. Ger ett mycket gott skydd mot graviditet utan risk för glömska. Mirena har full effekt i 8 år och de mindre i 3 respektive 5 år. </w:t>
      </w:r>
      <w:r>
        <w:rPr>
          <w:sz w:val="24"/>
          <w:szCs w:val="24"/>
        </w:rPr>
        <w:br/>
        <w:t xml:space="preserve">Kan ges till patienter i alla åldrar, ofta från ca 15 års ålder. Ofta god effekt på blödningsmönster och mensvärk, många blir helt blödningsfria på Mirena. Sätts in efter en gynekologisk undersökning av utbildad personal på till exempel Kvinnohälsovården. </w:t>
      </w:r>
    </w:p>
    <w:p w14:paraId="02FF5D89" w14:textId="77777777" w:rsidR="00702C15" w:rsidRDefault="00702C15" w:rsidP="00702C15">
      <w:pPr>
        <w:rPr>
          <w:sz w:val="24"/>
          <w:szCs w:val="24"/>
        </w:rPr>
      </w:pPr>
      <w:r w:rsidRPr="00A20B50">
        <w:rPr>
          <w:b/>
          <w:bCs/>
          <w:sz w:val="24"/>
          <w:szCs w:val="24"/>
        </w:rPr>
        <w:t>Mellandoserade gestagener</w:t>
      </w:r>
      <w:r>
        <w:rPr>
          <w:sz w:val="24"/>
          <w:szCs w:val="24"/>
        </w:rPr>
        <w:t xml:space="preserve"> finns i form av tabletter (Gestrina, Slinda) och p-stav (Nexplanon). Har ofta en positiv effekt på blödningsmängd och mensvärk. Kan användas som ett förstahandsval men är ofta ett bra alternativ för de patienter med ökad risk för VTE så som högt BMI och högre ålder.</w:t>
      </w:r>
      <w:r w:rsidRPr="00E141CA">
        <w:rPr>
          <w:color w:val="FF0000"/>
          <w:sz w:val="24"/>
          <w:szCs w:val="24"/>
        </w:rPr>
        <w:t xml:space="preserve"> </w:t>
      </w:r>
      <w:r w:rsidRPr="00E141CA">
        <w:rPr>
          <w:sz w:val="24"/>
          <w:szCs w:val="24"/>
        </w:rPr>
        <w:t>Slinda ingår ej i läkemedelsförmånen men Region Blekinge står för kostnaden för &lt;26 år – ange RB2 på recept.</w:t>
      </w:r>
    </w:p>
    <w:p w14:paraId="19B3FB68" w14:textId="77777777" w:rsidR="00702C15" w:rsidRDefault="00702C15" w:rsidP="00702C15">
      <w:pPr>
        <w:rPr>
          <w:sz w:val="24"/>
          <w:szCs w:val="24"/>
        </w:rPr>
      </w:pPr>
    </w:p>
    <w:p w14:paraId="28C085D3" w14:textId="77777777" w:rsidR="00702C15" w:rsidRDefault="00702C15" w:rsidP="00702C15">
      <w:pPr>
        <w:rPr>
          <w:sz w:val="24"/>
          <w:szCs w:val="24"/>
        </w:rPr>
      </w:pPr>
      <w:r>
        <w:rPr>
          <w:sz w:val="24"/>
          <w:szCs w:val="24"/>
        </w:rPr>
        <w:t xml:space="preserve">P-spruta är ett </w:t>
      </w:r>
      <w:r w:rsidRPr="00A20B50">
        <w:rPr>
          <w:b/>
          <w:bCs/>
          <w:sz w:val="24"/>
          <w:szCs w:val="24"/>
        </w:rPr>
        <w:t>högdoserat gestagen</w:t>
      </w:r>
      <w:r>
        <w:rPr>
          <w:sz w:val="24"/>
          <w:szCs w:val="24"/>
        </w:rPr>
        <w:t xml:space="preserve"> som ges var 12e vecka. Det fungerar väl för en del men innebär en högre risk för biverkningar och ska inte ges till personer under 20 års ålder med tanke på bentäthet. Intervallen bör glesas ut efter 40 års ålder.</w:t>
      </w:r>
    </w:p>
    <w:p w14:paraId="7CDAAD3D" w14:textId="77777777" w:rsidR="00702C15" w:rsidRDefault="00702C15" w:rsidP="00702C15">
      <w:pPr>
        <w:rPr>
          <w:sz w:val="24"/>
          <w:szCs w:val="24"/>
        </w:rPr>
      </w:pPr>
    </w:p>
    <w:p w14:paraId="6C350933" w14:textId="77777777" w:rsidR="00702C15" w:rsidRDefault="00702C15" w:rsidP="00702C15">
      <w:pPr>
        <w:rPr>
          <w:sz w:val="24"/>
          <w:szCs w:val="24"/>
          <w:u w:val="single"/>
        </w:rPr>
      </w:pPr>
      <w:r w:rsidRPr="00F863E2">
        <w:rPr>
          <w:sz w:val="24"/>
          <w:szCs w:val="24"/>
          <w:u w:val="single"/>
        </w:rPr>
        <w:t>Biverkningar</w:t>
      </w:r>
    </w:p>
    <w:p w14:paraId="49AED619" w14:textId="77777777" w:rsidR="00702C15" w:rsidRDefault="00702C15" w:rsidP="00702C15">
      <w:pPr>
        <w:rPr>
          <w:sz w:val="24"/>
          <w:szCs w:val="24"/>
        </w:rPr>
      </w:pPr>
      <w:r>
        <w:rPr>
          <w:sz w:val="24"/>
          <w:szCs w:val="24"/>
        </w:rPr>
        <w:t xml:space="preserve">Vanligaste gestagena biverkningarna är mellanblödningar, humörpåverkan, nedstämdhet acne, spända bröst, ökad aptit och trötthet. De är oftast övergående efter några månader men annars </w:t>
      </w:r>
      <w:r>
        <w:rPr>
          <w:sz w:val="24"/>
          <w:szCs w:val="24"/>
        </w:rPr>
        <w:br/>
        <w:t>kan man byta preparat.</w:t>
      </w:r>
    </w:p>
    <w:p w14:paraId="53585E90" w14:textId="77777777" w:rsidR="00702C15" w:rsidRDefault="00702C15" w:rsidP="00702C15"/>
    <w:p w14:paraId="0030A038" w14:textId="77777777" w:rsidR="00702C15" w:rsidRDefault="00702C15" w:rsidP="00702C15">
      <w:pPr>
        <w:rPr>
          <w:sz w:val="24"/>
          <w:szCs w:val="24"/>
          <w:u w:val="single"/>
        </w:rPr>
      </w:pPr>
      <w:r w:rsidRPr="007338BF">
        <w:rPr>
          <w:sz w:val="24"/>
          <w:szCs w:val="24"/>
          <w:u w:val="single"/>
        </w:rPr>
        <w:t>Kontraindikationer</w:t>
      </w:r>
    </w:p>
    <w:p w14:paraId="647F3904" w14:textId="77777777" w:rsidR="00702C15" w:rsidRDefault="00702C15" w:rsidP="00702C15">
      <w:pPr>
        <w:rPr>
          <w:sz w:val="24"/>
          <w:szCs w:val="24"/>
        </w:rPr>
      </w:pPr>
      <w:r>
        <w:rPr>
          <w:sz w:val="24"/>
          <w:szCs w:val="24"/>
        </w:rPr>
        <w:t xml:space="preserve">Generellt så finns det få kontraindikationer mot gestagena preventivmedel. </w:t>
      </w:r>
    </w:p>
    <w:p w14:paraId="7FBB42E4" w14:textId="77777777" w:rsidR="00702C15" w:rsidRDefault="00702C15" w:rsidP="00702C15">
      <w:pPr>
        <w:pStyle w:val="Liststycke"/>
        <w:numPr>
          <w:ilvl w:val="0"/>
          <w:numId w:val="108"/>
        </w:numPr>
        <w:tabs>
          <w:tab w:val="clear" w:pos="284"/>
        </w:tabs>
        <w:spacing w:after="120" w:line="260" w:lineRule="atLeast"/>
        <w:rPr>
          <w:sz w:val="24"/>
          <w:szCs w:val="24"/>
        </w:rPr>
      </w:pPr>
      <w:r>
        <w:rPr>
          <w:sz w:val="24"/>
          <w:szCs w:val="24"/>
        </w:rPr>
        <w:t>Pågående VTE under behandling</w:t>
      </w:r>
    </w:p>
    <w:p w14:paraId="4E021765" w14:textId="77777777" w:rsidR="00702C15" w:rsidRDefault="00702C15" w:rsidP="00702C15">
      <w:pPr>
        <w:pStyle w:val="Liststycke"/>
        <w:numPr>
          <w:ilvl w:val="0"/>
          <w:numId w:val="108"/>
        </w:numPr>
        <w:tabs>
          <w:tab w:val="clear" w:pos="284"/>
        </w:tabs>
        <w:spacing w:after="120" w:line="260" w:lineRule="atLeast"/>
        <w:rPr>
          <w:sz w:val="24"/>
          <w:szCs w:val="24"/>
        </w:rPr>
      </w:pPr>
      <w:r>
        <w:rPr>
          <w:sz w:val="24"/>
          <w:szCs w:val="24"/>
        </w:rPr>
        <w:lastRenderedPageBreak/>
        <w:t>Genomgången eller pågående bröstcancer</w:t>
      </w:r>
    </w:p>
    <w:p w14:paraId="41484D31" w14:textId="77777777" w:rsidR="00702C15" w:rsidRDefault="00702C15" w:rsidP="00702C15">
      <w:pPr>
        <w:pStyle w:val="Liststycke"/>
        <w:numPr>
          <w:ilvl w:val="0"/>
          <w:numId w:val="108"/>
        </w:numPr>
        <w:tabs>
          <w:tab w:val="clear" w:pos="284"/>
        </w:tabs>
        <w:spacing w:after="120" w:line="260" w:lineRule="atLeast"/>
        <w:rPr>
          <w:sz w:val="24"/>
          <w:szCs w:val="24"/>
        </w:rPr>
      </w:pPr>
      <w:r>
        <w:rPr>
          <w:sz w:val="24"/>
          <w:szCs w:val="24"/>
        </w:rPr>
        <w:t>Aktiv leversjukdom, levercirrhos</w:t>
      </w:r>
    </w:p>
    <w:p w14:paraId="0DC61FEE" w14:textId="77777777" w:rsidR="00702C15" w:rsidRPr="007338BF" w:rsidRDefault="00702C15" w:rsidP="00702C15">
      <w:pPr>
        <w:pStyle w:val="Liststycke"/>
        <w:numPr>
          <w:ilvl w:val="0"/>
          <w:numId w:val="108"/>
        </w:numPr>
        <w:tabs>
          <w:tab w:val="clear" w:pos="284"/>
        </w:tabs>
        <w:spacing w:after="120" w:line="260" w:lineRule="atLeast"/>
        <w:rPr>
          <w:sz w:val="24"/>
          <w:szCs w:val="24"/>
        </w:rPr>
      </w:pPr>
      <w:r>
        <w:rPr>
          <w:sz w:val="24"/>
          <w:szCs w:val="24"/>
        </w:rPr>
        <w:t>Akut intermittent porfyri</w:t>
      </w:r>
    </w:p>
    <w:p w14:paraId="04C399BF" w14:textId="77777777" w:rsidR="00702C15" w:rsidRDefault="00702C15" w:rsidP="00702C15">
      <w:pPr>
        <w:rPr>
          <w:sz w:val="24"/>
          <w:szCs w:val="24"/>
        </w:rPr>
      </w:pPr>
    </w:p>
    <w:p w14:paraId="5EEDF546" w14:textId="77777777" w:rsidR="00702C15" w:rsidRDefault="00702C15" w:rsidP="00702C15">
      <w:pPr>
        <w:rPr>
          <w:sz w:val="24"/>
          <w:szCs w:val="24"/>
        </w:rPr>
      </w:pPr>
      <w:r>
        <w:rPr>
          <w:sz w:val="24"/>
          <w:szCs w:val="24"/>
        </w:rPr>
        <w:t>För information om sterilisering se PM ”Preventivmedel”</w:t>
      </w:r>
    </w:p>
    <w:p w14:paraId="69E763CE" w14:textId="77777777" w:rsidR="00702C15" w:rsidRDefault="00702C15" w:rsidP="00702C15">
      <w:pPr>
        <w:rPr>
          <w:sz w:val="24"/>
          <w:szCs w:val="24"/>
        </w:rPr>
      </w:pPr>
      <w:r>
        <w:rPr>
          <w:sz w:val="24"/>
          <w:szCs w:val="24"/>
        </w:rPr>
        <w:t xml:space="preserve">För akut antikonception finns separat PM </w:t>
      </w:r>
    </w:p>
    <w:p w14:paraId="6CECCCD2" w14:textId="77777777" w:rsidR="00702C15" w:rsidRPr="005526E5" w:rsidRDefault="00702C15" w:rsidP="00702C15">
      <w:pPr>
        <w:pStyle w:val="Rubrik2"/>
      </w:pPr>
      <w:r w:rsidRPr="00C93530">
        <w:t>Akutpreventivmedel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702C15" w:rsidRPr="0094786D" w14:paraId="4A9B90BA" w14:textId="77777777" w:rsidTr="00632FCC">
        <w:tc>
          <w:tcPr>
            <w:tcW w:w="4536" w:type="dxa"/>
          </w:tcPr>
          <w:p w14:paraId="537A7F36" w14:textId="77777777" w:rsidR="00702C15" w:rsidRPr="0094786D" w:rsidRDefault="00702C15" w:rsidP="00632FCC">
            <w:pPr>
              <w:rPr>
                <w:sz w:val="24"/>
                <w:szCs w:val="24"/>
              </w:rPr>
            </w:pPr>
            <w:r w:rsidRPr="0094786D">
              <w:rPr>
                <w:b/>
                <w:sz w:val="24"/>
                <w:szCs w:val="24"/>
              </w:rPr>
              <w:t>ulipristal</w:t>
            </w:r>
          </w:p>
        </w:tc>
        <w:tc>
          <w:tcPr>
            <w:tcW w:w="4536" w:type="dxa"/>
          </w:tcPr>
          <w:p w14:paraId="1D6F1C40" w14:textId="77777777" w:rsidR="00702C15" w:rsidRPr="0094786D" w:rsidRDefault="00702C15" w:rsidP="00632FCC">
            <w:pPr>
              <w:rPr>
                <w:sz w:val="24"/>
                <w:szCs w:val="24"/>
              </w:rPr>
            </w:pPr>
            <w:r w:rsidRPr="0094786D">
              <w:rPr>
                <w:sz w:val="24"/>
                <w:szCs w:val="24"/>
              </w:rPr>
              <w:t>EllaOne</w:t>
            </w:r>
          </w:p>
        </w:tc>
      </w:tr>
      <w:tr w:rsidR="00702C15" w:rsidRPr="0094786D" w14:paraId="4BB69398" w14:textId="77777777" w:rsidTr="00632FCC">
        <w:tc>
          <w:tcPr>
            <w:tcW w:w="4536" w:type="dxa"/>
          </w:tcPr>
          <w:p w14:paraId="4D0C025E" w14:textId="77777777" w:rsidR="00702C15" w:rsidRPr="0094786D" w:rsidRDefault="00702C15" w:rsidP="00632FCC">
            <w:pPr>
              <w:rPr>
                <w:sz w:val="24"/>
                <w:szCs w:val="24"/>
              </w:rPr>
            </w:pPr>
            <w:r w:rsidRPr="0094786D">
              <w:rPr>
                <w:b/>
                <w:sz w:val="24"/>
                <w:szCs w:val="24"/>
              </w:rPr>
              <w:t>levonorgestrel</w:t>
            </w:r>
          </w:p>
        </w:tc>
        <w:tc>
          <w:tcPr>
            <w:tcW w:w="4536" w:type="dxa"/>
          </w:tcPr>
          <w:p w14:paraId="60C39EF9" w14:textId="77777777" w:rsidR="00702C15" w:rsidRPr="0094786D" w:rsidRDefault="00702C15" w:rsidP="00632FCC">
            <w:pPr>
              <w:rPr>
                <w:sz w:val="24"/>
                <w:szCs w:val="24"/>
              </w:rPr>
            </w:pPr>
            <w:r>
              <w:rPr>
                <w:sz w:val="24"/>
                <w:szCs w:val="24"/>
              </w:rPr>
              <w:t>Levonorgestrel</w:t>
            </w:r>
          </w:p>
        </w:tc>
      </w:tr>
      <w:tr w:rsidR="00702C15" w:rsidRPr="0094786D" w14:paraId="013B3603" w14:textId="77777777" w:rsidTr="00632FCC">
        <w:tc>
          <w:tcPr>
            <w:tcW w:w="4536" w:type="dxa"/>
          </w:tcPr>
          <w:p w14:paraId="3648FF97" w14:textId="77777777" w:rsidR="00702C15" w:rsidRPr="0094786D" w:rsidRDefault="00702C15" w:rsidP="00632FCC">
            <w:pPr>
              <w:rPr>
                <w:sz w:val="24"/>
                <w:szCs w:val="24"/>
              </w:rPr>
            </w:pPr>
            <w:r w:rsidRPr="0094786D">
              <w:rPr>
                <w:b/>
                <w:bCs/>
                <w:sz w:val="24"/>
                <w:szCs w:val="24"/>
              </w:rPr>
              <w:t>koppar</w:t>
            </w:r>
          </w:p>
        </w:tc>
        <w:tc>
          <w:tcPr>
            <w:tcW w:w="4536" w:type="dxa"/>
          </w:tcPr>
          <w:p w14:paraId="298227BD" w14:textId="77777777" w:rsidR="00702C15" w:rsidRPr="0094786D" w:rsidRDefault="00702C15" w:rsidP="00632FCC">
            <w:pPr>
              <w:rPr>
                <w:sz w:val="24"/>
                <w:szCs w:val="24"/>
              </w:rPr>
            </w:pPr>
            <w:r w:rsidRPr="0094786D">
              <w:rPr>
                <w:sz w:val="24"/>
                <w:szCs w:val="24"/>
              </w:rPr>
              <w:t>kopparspiral</w:t>
            </w:r>
          </w:p>
        </w:tc>
      </w:tr>
    </w:tbl>
    <w:p w14:paraId="5793B4FB" w14:textId="77777777" w:rsidR="00702C15" w:rsidRPr="00C93530" w:rsidRDefault="00702C15" w:rsidP="00702C15">
      <w:pPr>
        <w:pStyle w:val="Rubrik3"/>
      </w:pPr>
      <w:r w:rsidRPr="00C93530">
        <w:t>Indikation</w:t>
      </w:r>
    </w:p>
    <w:p w14:paraId="5892DB3F" w14:textId="77777777" w:rsidR="00702C15" w:rsidRPr="0094786D" w:rsidRDefault="00702C15" w:rsidP="00702C15">
      <w:pPr>
        <w:rPr>
          <w:rFonts w:asciiTheme="minorHAnsi" w:hAnsiTheme="minorHAnsi" w:cs="Arial"/>
          <w:b/>
          <w:spacing w:val="8"/>
          <w:sz w:val="24"/>
          <w:szCs w:val="24"/>
        </w:rPr>
      </w:pPr>
      <w:r w:rsidRPr="0094786D">
        <w:rPr>
          <w:rFonts w:asciiTheme="minorHAnsi" w:hAnsiTheme="minorHAnsi"/>
          <w:sz w:val="24"/>
          <w:szCs w:val="24"/>
        </w:rPr>
        <w:t xml:space="preserve">Bör helst användas inom 72 timmar efter samlag utan preventivmedel eller vid misslyckande med en etablerad metod, till exempel när kondom gått sönder, glömd tablett et cetera. </w:t>
      </w:r>
      <w:r>
        <w:rPr>
          <w:rFonts w:asciiTheme="minorHAnsi" w:hAnsiTheme="minorHAnsi"/>
          <w:sz w:val="24"/>
          <w:szCs w:val="24"/>
        </w:rPr>
        <w:t xml:space="preserve">Kan användas upp till 5 dygn efter oskyddat samlag, men risk för lägre effekt efter 72 timmar. </w:t>
      </w:r>
      <w:r w:rsidRPr="0094786D">
        <w:rPr>
          <w:rFonts w:asciiTheme="minorHAnsi" w:hAnsiTheme="minorHAnsi"/>
          <w:sz w:val="24"/>
          <w:szCs w:val="24"/>
        </w:rPr>
        <w:t xml:space="preserve">Sannolikheten för att bli gravid efter ett enstaka oskyddat samlag beror på när i menstruationscykeln det sker. Störst risk för graviditet föreligger om samlag sker under de 48 timmar som föregår ovulation samt under ovulationsdagen. </w:t>
      </w:r>
    </w:p>
    <w:p w14:paraId="14F1F1EE" w14:textId="77777777" w:rsidR="00702C15" w:rsidRPr="00C93530" w:rsidRDefault="00702C15" w:rsidP="00702C15">
      <w:pPr>
        <w:pStyle w:val="Rubrik3"/>
      </w:pPr>
      <w:r w:rsidRPr="00C93530">
        <w:t>Handhavande</w:t>
      </w:r>
      <w:r>
        <w:br/>
      </w:r>
    </w:p>
    <w:p w14:paraId="20DAFC79" w14:textId="77777777" w:rsidR="00702C15" w:rsidRPr="0094786D" w:rsidRDefault="00702C15" w:rsidP="00702C15">
      <w:pPr>
        <w:numPr>
          <w:ilvl w:val="0"/>
          <w:numId w:val="10"/>
        </w:numPr>
        <w:contextualSpacing/>
        <w:rPr>
          <w:rFonts w:asciiTheme="minorHAnsi" w:hAnsiTheme="minorHAnsi"/>
          <w:sz w:val="24"/>
          <w:szCs w:val="24"/>
        </w:rPr>
      </w:pPr>
      <w:r w:rsidRPr="0094786D">
        <w:rPr>
          <w:rFonts w:asciiTheme="minorHAnsi" w:hAnsiTheme="minorHAnsi"/>
          <w:sz w:val="24"/>
          <w:szCs w:val="24"/>
        </w:rPr>
        <w:t>För in i journalen sista mensdatum, menscykelns längd, tidpunkt för det oskyddade samlaget, eventuellt pågående bruk av preventivmedel.</w:t>
      </w:r>
    </w:p>
    <w:p w14:paraId="0C146C9A" w14:textId="77777777" w:rsidR="00702C15" w:rsidRPr="0094786D" w:rsidRDefault="00702C15" w:rsidP="00702C15">
      <w:pPr>
        <w:numPr>
          <w:ilvl w:val="0"/>
          <w:numId w:val="10"/>
        </w:numPr>
        <w:contextualSpacing/>
        <w:rPr>
          <w:rFonts w:asciiTheme="minorHAnsi" w:hAnsiTheme="minorHAnsi"/>
          <w:sz w:val="24"/>
          <w:szCs w:val="24"/>
        </w:rPr>
      </w:pPr>
      <w:r w:rsidRPr="0094786D">
        <w:rPr>
          <w:rFonts w:asciiTheme="minorHAnsi" w:hAnsiTheme="minorHAnsi"/>
          <w:sz w:val="24"/>
          <w:szCs w:val="24"/>
        </w:rPr>
        <w:t>Uteslut pågående graviditet.</w:t>
      </w:r>
    </w:p>
    <w:p w14:paraId="0696FDBB" w14:textId="77777777" w:rsidR="00702C15" w:rsidRPr="0094786D" w:rsidRDefault="00702C15" w:rsidP="00702C15">
      <w:pPr>
        <w:numPr>
          <w:ilvl w:val="0"/>
          <w:numId w:val="10"/>
        </w:numPr>
        <w:contextualSpacing/>
        <w:rPr>
          <w:rFonts w:asciiTheme="minorHAnsi" w:hAnsiTheme="minorHAnsi"/>
          <w:sz w:val="24"/>
          <w:szCs w:val="24"/>
        </w:rPr>
      </w:pPr>
      <w:r w:rsidRPr="0094786D">
        <w:rPr>
          <w:rFonts w:asciiTheme="minorHAnsi" w:hAnsiTheme="minorHAnsi"/>
          <w:sz w:val="24"/>
          <w:szCs w:val="24"/>
        </w:rPr>
        <w:t xml:space="preserve">Om patienten använder hormonell antikonception ska hon fortsätta med detta. </w:t>
      </w:r>
      <w:r w:rsidRPr="0094786D">
        <w:rPr>
          <w:rFonts w:asciiTheme="minorHAnsi" w:hAnsiTheme="minorHAnsi"/>
          <w:sz w:val="24"/>
          <w:szCs w:val="24"/>
        </w:rPr>
        <w:br/>
        <w:t xml:space="preserve">Observera dock att om ulipristal (EllaOne) använts som akutpreventivmedel bör uppehåll görs under fem dagar då gestagener minskar effekt av ulipristal. </w:t>
      </w:r>
    </w:p>
    <w:p w14:paraId="6990A1BC" w14:textId="77777777" w:rsidR="00702C15" w:rsidRPr="0094786D" w:rsidRDefault="00702C15" w:rsidP="00702C15">
      <w:pPr>
        <w:numPr>
          <w:ilvl w:val="0"/>
          <w:numId w:val="10"/>
        </w:numPr>
        <w:contextualSpacing/>
        <w:rPr>
          <w:rFonts w:asciiTheme="minorHAnsi" w:hAnsiTheme="minorHAnsi"/>
          <w:sz w:val="24"/>
          <w:szCs w:val="24"/>
        </w:rPr>
      </w:pPr>
      <w:r w:rsidRPr="0094786D">
        <w:rPr>
          <w:rFonts w:asciiTheme="minorHAnsi" w:hAnsiTheme="minorHAnsi"/>
          <w:sz w:val="24"/>
          <w:szCs w:val="24"/>
        </w:rPr>
        <w:t xml:space="preserve">Patienten bör använda kompletterande skydd med barriärmetod under sju dagar efter start reguljärt preventivmedel. </w:t>
      </w:r>
    </w:p>
    <w:p w14:paraId="6C9988FA" w14:textId="77777777" w:rsidR="00702C15" w:rsidRPr="0094786D" w:rsidRDefault="00702C15" w:rsidP="00702C15">
      <w:pPr>
        <w:numPr>
          <w:ilvl w:val="0"/>
          <w:numId w:val="10"/>
        </w:numPr>
        <w:contextualSpacing/>
        <w:rPr>
          <w:rFonts w:asciiTheme="minorHAnsi" w:hAnsiTheme="minorHAnsi"/>
          <w:sz w:val="24"/>
          <w:szCs w:val="24"/>
        </w:rPr>
      </w:pPr>
      <w:r w:rsidRPr="0094786D">
        <w:rPr>
          <w:rFonts w:asciiTheme="minorHAnsi" w:hAnsiTheme="minorHAnsi"/>
          <w:sz w:val="24"/>
          <w:szCs w:val="24"/>
        </w:rPr>
        <w:t xml:space="preserve">Informera om vikten av att graviditetstest görs efter cirka 3 veckor för att utesluta eventuell </w:t>
      </w:r>
      <w:r w:rsidRPr="0094786D">
        <w:rPr>
          <w:rFonts w:asciiTheme="minorHAnsi" w:hAnsiTheme="minorHAnsi"/>
          <w:sz w:val="24"/>
          <w:szCs w:val="24"/>
        </w:rPr>
        <w:br/>
        <w:t>inträffad graviditet. Rekommendera att patienten kontaktar ungdomsmottagning eller kvinnohälsovårdsmottagning för mer utförlig preventivmedelsrådgivning.</w:t>
      </w:r>
    </w:p>
    <w:p w14:paraId="5928DD4C" w14:textId="77777777" w:rsidR="00702C15" w:rsidRPr="0094786D" w:rsidRDefault="00702C15" w:rsidP="00702C15">
      <w:pPr>
        <w:numPr>
          <w:ilvl w:val="0"/>
          <w:numId w:val="10"/>
        </w:numPr>
        <w:contextualSpacing/>
        <w:rPr>
          <w:rFonts w:asciiTheme="minorHAnsi" w:hAnsiTheme="minorHAnsi"/>
          <w:sz w:val="24"/>
          <w:szCs w:val="24"/>
        </w:rPr>
      </w:pPr>
      <w:r w:rsidRPr="0094786D">
        <w:rPr>
          <w:rFonts w:asciiTheme="minorHAnsi" w:hAnsiTheme="minorHAnsi"/>
          <w:sz w:val="24"/>
          <w:szCs w:val="24"/>
        </w:rPr>
        <w:t xml:space="preserve">Akutpreventivmedel är effektivt, observera dock risk för graviditet vid uppskjuten ovulation efter användande av ulipristal eller levonorgestrel och fortsatta oskyddade samlag. </w:t>
      </w:r>
    </w:p>
    <w:p w14:paraId="0FBE9DD4" w14:textId="77777777" w:rsidR="00702C15" w:rsidRPr="00C93530" w:rsidRDefault="00702C15" w:rsidP="00702C15">
      <w:pPr>
        <w:pStyle w:val="Rubrik3"/>
      </w:pPr>
      <w:r w:rsidRPr="00C93530">
        <w:t>Metoder</w:t>
      </w:r>
    </w:p>
    <w:p w14:paraId="1EB9931A"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Metoder som kan användas är ulipristal (EllaOne), levonorgestrel eller kopparspiral.</w:t>
      </w:r>
    </w:p>
    <w:p w14:paraId="504D120E"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 xml:space="preserve">Ulipristal och levonorgestrel är receptfritt. Kopparspiralen kan erhållas kostnadsfritt på ungdomsmottagning eller kvinnoklinikens mottagningar. Ungdomar och unga vuxna upp till 26 års ålder kan erhålla tablett ulipristal eller levonorgestrel kostnadsfritt på ungdomsmottagning eller via </w:t>
      </w:r>
      <w:r w:rsidRPr="0094786D">
        <w:rPr>
          <w:rFonts w:asciiTheme="minorHAnsi" w:hAnsiTheme="minorHAnsi"/>
          <w:sz w:val="24"/>
          <w:szCs w:val="24"/>
        </w:rPr>
        <w:lastRenderedPageBreak/>
        <w:t xml:space="preserve">kvinnohälsovårdsmottagning. Vid helger och nattetid då apoteken är stängda kan tablett erhållas på BB-avdelningen i Karlskrona. </w:t>
      </w:r>
    </w:p>
    <w:p w14:paraId="37BA731C" w14:textId="77777777" w:rsidR="00702C15" w:rsidRPr="00C93530" w:rsidRDefault="00702C15" w:rsidP="00702C15">
      <w:pPr>
        <w:pStyle w:val="Rubrik3"/>
      </w:pPr>
      <w:r w:rsidRPr="00C93530">
        <w:t>Ulipristal (EllaOne)</w:t>
      </w:r>
    </w:p>
    <w:p w14:paraId="06DED2B7"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Ulipristal (EllaOne) är en syntetisk progesteronreceptormodulerare vars verkningsmekanism beror på när i menscykeln behandlingen ges. Om behandling ges i follikelfas hämmas ägglossningen, medan endometriets mognad fördröjs om tabletten ges efter ovulationen.</w:t>
      </w:r>
    </w:p>
    <w:p w14:paraId="2D466C48"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1 tablett á 30 mg intas så snart möjligt efter oskyddat samlag, har dock skyddseffekt upp till fem dygn (120 timmar) efter ett oskyddat samlag.</w:t>
      </w:r>
    </w:p>
    <w:p w14:paraId="01B4C9AC"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 xml:space="preserve">Bör inte intas samtidigt som </w:t>
      </w:r>
      <w:r w:rsidRPr="0094786D">
        <w:rPr>
          <w:rFonts w:asciiTheme="minorHAnsi" w:hAnsiTheme="minorHAnsi"/>
          <w:b/>
          <w:sz w:val="24"/>
          <w:szCs w:val="24"/>
        </w:rPr>
        <w:t>läkemedel som minskar pH-värdet i magsäcken</w:t>
      </w:r>
      <w:r w:rsidRPr="0094786D">
        <w:rPr>
          <w:rFonts w:asciiTheme="minorHAnsi" w:hAnsiTheme="minorHAnsi"/>
          <w:sz w:val="24"/>
          <w:szCs w:val="24"/>
        </w:rPr>
        <w:t xml:space="preserve">, som exempelvis antacida, på grund av minskad absorption och därmed minskad effekt. </w:t>
      </w:r>
    </w:p>
    <w:p w14:paraId="0FA971DA" w14:textId="77777777" w:rsidR="00702C15" w:rsidRPr="0094786D" w:rsidRDefault="00702C15" w:rsidP="00702C15">
      <w:pPr>
        <w:rPr>
          <w:rFonts w:asciiTheme="minorHAnsi" w:hAnsiTheme="minorHAnsi"/>
          <w:sz w:val="24"/>
          <w:szCs w:val="24"/>
        </w:rPr>
      </w:pPr>
    </w:p>
    <w:p w14:paraId="72816BAC"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 xml:space="preserve">Bör inte användas vid </w:t>
      </w:r>
      <w:r w:rsidRPr="0094786D">
        <w:rPr>
          <w:rFonts w:asciiTheme="minorHAnsi" w:hAnsiTheme="minorHAnsi"/>
          <w:b/>
          <w:sz w:val="24"/>
          <w:szCs w:val="24"/>
        </w:rPr>
        <w:t>svår leversjukdom</w:t>
      </w:r>
      <w:r w:rsidRPr="0094786D">
        <w:rPr>
          <w:rFonts w:asciiTheme="minorHAnsi" w:hAnsiTheme="minorHAnsi"/>
          <w:sz w:val="24"/>
          <w:szCs w:val="24"/>
        </w:rPr>
        <w:t>.</w:t>
      </w:r>
    </w:p>
    <w:p w14:paraId="6A0C8E28"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Biverkningar: huvudvärk, illamående och buksmärta, i de flesta fall av mild till måttlig karaktär.</w:t>
      </w:r>
    </w:p>
    <w:p w14:paraId="7EB68B4A"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Ammande bör vänta med amning 36 timmar efter tablettintag.</w:t>
      </w:r>
    </w:p>
    <w:p w14:paraId="3C0A9244" w14:textId="77777777" w:rsidR="00702C15" w:rsidRPr="0094786D" w:rsidRDefault="00702C15" w:rsidP="00702C15">
      <w:pPr>
        <w:rPr>
          <w:rFonts w:asciiTheme="minorHAnsi" w:hAnsiTheme="minorHAnsi"/>
          <w:sz w:val="24"/>
          <w:szCs w:val="24"/>
        </w:rPr>
      </w:pPr>
    </w:p>
    <w:p w14:paraId="7C9A0242"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 xml:space="preserve">Ulipristal kan vara att föredra i stället för levonorgestrel om &gt;72 timmar efter ett oskyddat samlag, dock med beaktande av att Ulipristal ej bör användas vid svår leversjukdom. </w:t>
      </w:r>
    </w:p>
    <w:p w14:paraId="3B5589B9" w14:textId="77777777" w:rsidR="00702C15" w:rsidRPr="0094786D" w:rsidRDefault="00702C15" w:rsidP="00702C15">
      <w:pPr>
        <w:rPr>
          <w:rFonts w:asciiTheme="minorHAnsi" w:hAnsiTheme="minorHAnsi"/>
          <w:sz w:val="24"/>
          <w:szCs w:val="24"/>
        </w:rPr>
      </w:pPr>
    </w:p>
    <w:p w14:paraId="5B915FD6"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 xml:space="preserve">På grund av </w:t>
      </w:r>
      <w:r w:rsidRPr="0094786D">
        <w:rPr>
          <w:rFonts w:asciiTheme="minorHAnsi" w:hAnsiTheme="minorHAnsi"/>
          <w:b/>
          <w:sz w:val="24"/>
          <w:szCs w:val="24"/>
        </w:rPr>
        <w:t>interaktion mellan gestagen och ulipristal</w:t>
      </w:r>
      <w:r w:rsidRPr="0094786D">
        <w:rPr>
          <w:rFonts w:asciiTheme="minorHAnsi" w:hAnsiTheme="minorHAnsi"/>
          <w:sz w:val="24"/>
          <w:szCs w:val="24"/>
        </w:rPr>
        <w:t>, som båda binder till progesteronreceptorn, bör återgång till eller påbörjande av reguljär hormonell preventivmetod inte ske förrän 5 dagar efter intag av ulipristal</w:t>
      </w:r>
      <w:r w:rsidRPr="0094786D">
        <w:rPr>
          <w:rFonts w:asciiTheme="minorHAnsi" w:hAnsiTheme="minorHAnsi"/>
          <w:color w:val="FF0000"/>
          <w:sz w:val="24"/>
          <w:szCs w:val="24"/>
        </w:rPr>
        <w:t xml:space="preserve">. </w:t>
      </w:r>
      <w:r w:rsidRPr="0094786D">
        <w:rPr>
          <w:rFonts w:asciiTheme="minorHAnsi" w:hAnsiTheme="minorHAnsi"/>
          <w:sz w:val="24"/>
          <w:szCs w:val="24"/>
        </w:rPr>
        <w:t>(Effektiviteten av ulipristal minskar vid användande av gestagener under sju dagar innan och fem dagar efter intag av ulipristal.)</w:t>
      </w:r>
      <w:r>
        <w:rPr>
          <w:rFonts w:asciiTheme="minorHAnsi" w:hAnsiTheme="minorHAnsi"/>
          <w:sz w:val="24"/>
          <w:szCs w:val="24"/>
        </w:rPr>
        <w:t xml:space="preserve"> </w:t>
      </w:r>
      <w:r>
        <w:rPr>
          <w:rFonts w:asciiTheme="minorHAnsi" w:hAnsiTheme="minorHAnsi"/>
          <w:sz w:val="24"/>
          <w:szCs w:val="24"/>
        </w:rPr>
        <w:br/>
      </w:r>
      <w:r w:rsidRPr="0094786D">
        <w:rPr>
          <w:rFonts w:asciiTheme="minorHAnsi" w:hAnsiTheme="minorHAnsi"/>
          <w:sz w:val="24"/>
          <w:szCs w:val="24"/>
        </w:rPr>
        <w:t xml:space="preserve">Rekommendera användande av kompletterande skydd med barriärmetod till och med </w:t>
      </w:r>
      <w:r>
        <w:rPr>
          <w:rFonts w:asciiTheme="minorHAnsi" w:hAnsiTheme="minorHAnsi"/>
          <w:sz w:val="24"/>
          <w:szCs w:val="24"/>
        </w:rPr>
        <w:br/>
      </w:r>
      <w:r w:rsidRPr="0094786D">
        <w:rPr>
          <w:rFonts w:asciiTheme="minorHAnsi" w:hAnsiTheme="minorHAnsi"/>
          <w:sz w:val="24"/>
          <w:szCs w:val="24"/>
        </w:rPr>
        <w:t>sju dagar efter start av reguljärt preventivmedel.</w:t>
      </w:r>
    </w:p>
    <w:p w14:paraId="73168894" w14:textId="77777777" w:rsidR="00702C15" w:rsidRPr="00C93530" w:rsidRDefault="00702C15" w:rsidP="00702C15">
      <w:pPr>
        <w:pStyle w:val="Rubrik3"/>
      </w:pPr>
      <w:r w:rsidRPr="00C93530">
        <w:t>Levonorgestrel</w:t>
      </w:r>
    </w:p>
    <w:p w14:paraId="42828EED"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1 tablett à 1,5 mg intas som engångsdos så snart som möjligt, helst inom 12 timmar, men inte mer än 5 dygn efter oskyddat samlag. Om kräkning inom 3 timmar efter tablettintag rekommenderas omedelbart intag av ny tablett. I de flesta fall kommer menstruationen på förväntad tid eller någon dag försenad.</w:t>
      </w:r>
    </w:p>
    <w:p w14:paraId="25B1E900" w14:textId="77777777" w:rsidR="00702C15" w:rsidRPr="0094786D" w:rsidRDefault="00702C15" w:rsidP="00702C15">
      <w:pPr>
        <w:rPr>
          <w:rFonts w:asciiTheme="minorHAnsi" w:hAnsiTheme="minorHAnsi"/>
          <w:sz w:val="24"/>
          <w:szCs w:val="24"/>
        </w:rPr>
      </w:pPr>
    </w:p>
    <w:p w14:paraId="354462BE"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 xml:space="preserve">Inga kontraindikationer i form av anamnes på trombos eller hereditet för trombos föreligger. </w:t>
      </w:r>
      <w:r w:rsidRPr="0094786D">
        <w:rPr>
          <w:rFonts w:asciiTheme="minorHAnsi" w:hAnsiTheme="minorHAnsi"/>
          <w:sz w:val="24"/>
          <w:szCs w:val="24"/>
        </w:rPr>
        <w:br/>
        <w:t xml:space="preserve">Levonorgestrel bör inte användas vid </w:t>
      </w:r>
      <w:r w:rsidRPr="0094786D">
        <w:rPr>
          <w:rFonts w:asciiTheme="minorHAnsi" w:hAnsiTheme="minorHAnsi"/>
          <w:b/>
          <w:sz w:val="24"/>
          <w:szCs w:val="24"/>
        </w:rPr>
        <w:t>grav leversjukdom</w:t>
      </w:r>
      <w:r w:rsidRPr="0094786D">
        <w:rPr>
          <w:rFonts w:asciiTheme="minorHAnsi" w:hAnsiTheme="minorHAnsi"/>
          <w:sz w:val="24"/>
          <w:szCs w:val="24"/>
        </w:rPr>
        <w:t>.</w:t>
      </w:r>
    </w:p>
    <w:p w14:paraId="1B8CE047" w14:textId="77777777" w:rsidR="00702C15" w:rsidRPr="0094786D" w:rsidRDefault="00702C15" w:rsidP="00702C15">
      <w:pPr>
        <w:rPr>
          <w:rFonts w:asciiTheme="minorHAnsi" w:hAnsiTheme="minorHAnsi"/>
          <w:sz w:val="24"/>
          <w:szCs w:val="24"/>
        </w:rPr>
      </w:pPr>
    </w:p>
    <w:p w14:paraId="0684C1B0"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 xml:space="preserve">Hormonell metod som reguljär preventivmetod kan startas direkt (QuickStart) efter intag av </w:t>
      </w:r>
      <w:r w:rsidRPr="0094786D">
        <w:rPr>
          <w:rFonts w:asciiTheme="minorHAnsi" w:hAnsiTheme="minorHAnsi"/>
          <w:sz w:val="24"/>
          <w:szCs w:val="24"/>
        </w:rPr>
        <w:br/>
        <w:t xml:space="preserve">levonorgestrel. Barriärmetod används under sju dagar, fram till att preventivmetoden blir effektiv. </w:t>
      </w:r>
    </w:p>
    <w:p w14:paraId="2E0731C3" w14:textId="77777777" w:rsidR="00702C15" w:rsidRPr="0094786D" w:rsidRDefault="00702C15" w:rsidP="00702C15">
      <w:pPr>
        <w:rPr>
          <w:rFonts w:asciiTheme="minorHAnsi" w:hAnsiTheme="minorHAnsi"/>
          <w:sz w:val="24"/>
          <w:szCs w:val="24"/>
        </w:rPr>
      </w:pPr>
    </w:p>
    <w:p w14:paraId="650CE1DA"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Biverkningar: Illamående, huvudvärk, yrsel och trötthet vilket är snabbt övergående.</w:t>
      </w:r>
    </w:p>
    <w:p w14:paraId="3A414422" w14:textId="77777777" w:rsidR="00702C15" w:rsidRPr="0094786D" w:rsidRDefault="00702C15" w:rsidP="00702C15">
      <w:pPr>
        <w:rPr>
          <w:rFonts w:asciiTheme="minorHAnsi" w:hAnsiTheme="minorHAnsi"/>
          <w:sz w:val="24"/>
          <w:szCs w:val="24"/>
        </w:rPr>
      </w:pPr>
    </w:p>
    <w:p w14:paraId="74DFA151"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 xml:space="preserve">Behandling med ulipristal eller levonorgestrel som akut preventivmedel kan vid behov upprepas i samma menscykel men ger då ökad risk för oregelbundna blödningar, samt är mindre effektivt än reguljära preventivmetoder. Behandling behöver ej upprepas oftare än en gång per dygn, </w:t>
      </w:r>
      <w:r>
        <w:rPr>
          <w:rFonts w:asciiTheme="minorHAnsi" w:hAnsiTheme="minorHAnsi"/>
          <w:sz w:val="24"/>
          <w:szCs w:val="24"/>
        </w:rPr>
        <w:br/>
      </w:r>
      <w:r w:rsidRPr="0094786D">
        <w:rPr>
          <w:rFonts w:asciiTheme="minorHAnsi" w:hAnsiTheme="minorHAnsi"/>
          <w:sz w:val="24"/>
          <w:szCs w:val="24"/>
        </w:rPr>
        <w:lastRenderedPageBreak/>
        <w:t>om upprepade oskyddade samlag sker inom den tidsramen.</w:t>
      </w:r>
      <w:r w:rsidRPr="0094786D">
        <w:rPr>
          <w:rFonts w:asciiTheme="minorHAnsi" w:hAnsiTheme="minorHAnsi"/>
          <w:sz w:val="24"/>
          <w:szCs w:val="24"/>
        </w:rPr>
        <w:br/>
      </w:r>
    </w:p>
    <w:p w14:paraId="423C9FE1" w14:textId="77777777" w:rsidR="00702C15" w:rsidRPr="0094786D" w:rsidRDefault="00702C15" w:rsidP="00702C15">
      <w:pPr>
        <w:numPr>
          <w:ilvl w:val="0"/>
          <w:numId w:val="11"/>
        </w:numPr>
        <w:contextualSpacing/>
        <w:rPr>
          <w:rFonts w:asciiTheme="minorHAnsi" w:hAnsiTheme="minorHAnsi"/>
          <w:sz w:val="24"/>
          <w:szCs w:val="24"/>
        </w:rPr>
      </w:pPr>
      <w:r w:rsidRPr="0094786D">
        <w:rPr>
          <w:rFonts w:asciiTheme="minorHAnsi" w:hAnsiTheme="minorHAnsi"/>
          <w:sz w:val="24"/>
          <w:szCs w:val="24"/>
        </w:rPr>
        <w:t>Om ulipristal (Ella One) använts i samma cykel ska levonorgestrel ej tas under de kommande fem dygnen då i så fall effekten av ulipristal minskar.</w:t>
      </w:r>
    </w:p>
    <w:p w14:paraId="2ACE5388" w14:textId="77777777" w:rsidR="00702C15" w:rsidRPr="0094786D" w:rsidRDefault="00702C15" w:rsidP="00702C15">
      <w:pPr>
        <w:numPr>
          <w:ilvl w:val="0"/>
          <w:numId w:val="11"/>
        </w:numPr>
        <w:contextualSpacing/>
        <w:rPr>
          <w:rFonts w:asciiTheme="minorHAnsi" w:hAnsiTheme="minorHAnsi"/>
          <w:sz w:val="24"/>
          <w:szCs w:val="24"/>
        </w:rPr>
      </w:pPr>
      <w:r w:rsidRPr="0094786D">
        <w:rPr>
          <w:rFonts w:asciiTheme="minorHAnsi" w:hAnsiTheme="minorHAnsi"/>
          <w:sz w:val="24"/>
          <w:szCs w:val="24"/>
        </w:rPr>
        <w:t>Om levonorgestrel använts tidigare i cykeln kan detta upprepas.</w:t>
      </w:r>
    </w:p>
    <w:p w14:paraId="4867453F" w14:textId="77777777" w:rsidR="00702C15" w:rsidRPr="0094786D" w:rsidRDefault="00702C15" w:rsidP="00702C15">
      <w:pPr>
        <w:numPr>
          <w:ilvl w:val="0"/>
          <w:numId w:val="11"/>
        </w:numPr>
        <w:contextualSpacing/>
        <w:rPr>
          <w:rFonts w:asciiTheme="minorHAnsi" w:hAnsiTheme="minorHAnsi"/>
          <w:sz w:val="24"/>
          <w:szCs w:val="24"/>
        </w:rPr>
      </w:pPr>
      <w:r w:rsidRPr="0094786D">
        <w:rPr>
          <w:rFonts w:asciiTheme="minorHAnsi" w:hAnsiTheme="minorHAnsi"/>
          <w:sz w:val="24"/>
          <w:szCs w:val="24"/>
        </w:rPr>
        <w:t>Om levonorgestrel använts tidigare i cykeln bör ulipristal ej ges under de kommande sju dygnen.</w:t>
      </w:r>
    </w:p>
    <w:p w14:paraId="3CD86E9C" w14:textId="77777777" w:rsidR="00702C15" w:rsidRPr="0094786D" w:rsidRDefault="00702C15" w:rsidP="00702C15">
      <w:pPr>
        <w:rPr>
          <w:rFonts w:asciiTheme="minorHAnsi" w:hAnsiTheme="minorHAnsi"/>
          <w:sz w:val="24"/>
          <w:szCs w:val="24"/>
        </w:rPr>
      </w:pPr>
    </w:p>
    <w:p w14:paraId="56181FA7" w14:textId="77777777" w:rsidR="00702C15" w:rsidRDefault="00702C15" w:rsidP="00702C15">
      <w:pPr>
        <w:rPr>
          <w:rFonts w:asciiTheme="minorHAnsi" w:hAnsiTheme="minorHAnsi"/>
          <w:sz w:val="24"/>
          <w:szCs w:val="24"/>
        </w:rPr>
      </w:pPr>
      <w:r w:rsidRPr="0094786D">
        <w:rPr>
          <w:rFonts w:asciiTheme="minorHAnsi" w:hAnsiTheme="minorHAnsi"/>
          <w:sz w:val="24"/>
          <w:szCs w:val="24"/>
        </w:rPr>
        <w:t xml:space="preserve">Vid användande av </w:t>
      </w:r>
      <w:r w:rsidRPr="0094786D">
        <w:rPr>
          <w:rFonts w:asciiTheme="minorHAnsi" w:hAnsiTheme="minorHAnsi"/>
          <w:b/>
          <w:sz w:val="24"/>
          <w:szCs w:val="24"/>
        </w:rPr>
        <w:t>enzyminducerande läkemedel</w:t>
      </w:r>
      <w:r w:rsidRPr="0094786D">
        <w:rPr>
          <w:rFonts w:asciiTheme="minorHAnsi" w:hAnsiTheme="minorHAnsi"/>
          <w:sz w:val="24"/>
          <w:szCs w:val="24"/>
        </w:rPr>
        <w:t xml:space="preserve"> som antiepileptika kan effektiviteten av ulipristal och levonorgestrel minska.</w:t>
      </w:r>
      <w:r w:rsidRPr="0094786D" w:rsidDel="00E23493">
        <w:rPr>
          <w:rFonts w:asciiTheme="minorHAnsi" w:hAnsiTheme="minorHAnsi"/>
          <w:sz w:val="24"/>
          <w:szCs w:val="24"/>
        </w:rPr>
        <w:t xml:space="preserve"> </w:t>
      </w:r>
      <w:r w:rsidRPr="0094786D">
        <w:rPr>
          <w:rFonts w:asciiTheme="minorHAnsi" w:hAnsiTheme="minorHAnsi"/>
          <w:sz w:val="24"/>
          <w:szCs w:val="24"/>
        </w:rPr>
        <w:t xml:space="preserve">Kopparspiral ska då om möjligt erbjudas. </w:t>
      </w:r>
      <w:r>
        <w:rPr>
          <w:rFonts w:asciiTheme="minorHAnsi" w:hAnsiTheme="minorHAnsi"/>
          <w:sz w:val="24"/>
          <w:szCs w:val="24"/>
        </w:rPr>
        <w:br/>
      </w:r>
      <w:r w:rsidRPr="0094786D">
        <w:rPr>
          <w:rFonts w:asciiTheme="minorHAnsi" w:hAnsiTheme="minorHAnsi"/>
          <w:sz w:val="24"/>
          <w:szCs w:val="24"/>
        </w:rPr>
        <w:t>Dubbel dos levonorgestrel kan övervägas.</w:t>
      </w:r>
    </w:p>
    <w:p w14:paraId="7683205B" w14:textId="77777777" w:rsidR="00702C15" w:rsidRPr="00C93530" w:rsidRDefault="00702C15" w:rsidP="00702C15">
      <w:pPr>
        <w:pStyle w:val="Rubrik3"/>
      </w:pPr>
      <w:r w:rsidRPr="00C93530">
        <w:t>Kopparspiral</w:t>
      </w:r>
    </w:p>
    <w:p w14:paraId="1F7D4955" w14:textId="77777777" w:rsidR="00702C15" w:rsidRPr="0094786D" w:rsidRDefault="00702C15" w:rsidP="00702C15">
      <w:pPr>
        <w:rPr>
          <w:rFonts w:asciiTheme="minorHAnsi" w:hAnsiTheme="minorHAnsi"/>
          <w:sz w:val="24"/>
          <w:szCs w:val="24"/>
        </w:rPr>
      </w:pPr>
      <w:r w:rsidRPr="0094786D">
        <w:rPr>
          <w:rFonts w:asciiTheme="minorHAnsi" w:hAnsiTheme="minorHAnsi"/>
          <w:sz w:val="24"/>
          <w:szCs w:val="24"/>
        </w:rPr>
        <w:t>Inom 5 dygn efter samlaget insätt en kopparspiral hos kvinnor som inte har kontraindikationer mot metoden. Spiralen förhindrar befruktning och/eller implantation. Småblödningar kan förekomma som vid alla spiralinsättningar.</w:t>
      </w:r>
      <w:r w:rsidRPr="0094786D">
        <w:rPr>
          <w:rFonts w:asciiTheme="minorHAnsi" w:hAnsiTheme="minorHAnsi"/>
          <w:color w:val="FF0000"/>
          <w:sz w:val="24"/>
          <w:szCs w:val="24"/>
        </w:rPr>
        <w:t xml:space="preserve"> </w:t>
      </w:r>
      <w:r w:rsidRPr="0094786D">
        <w:rPr>
          <w:rFonts w:asciiTheme="minorHAnsi" w:hAnsiTheme="minorHAnsi"/>
          <w:sz w:val="24"/>
          <w:szCs w:val="24"/>
        </w:rPr>
        <w:t xml:space="preserve">Fördelen med denna metod är att spiralen kan behållas på plats som en effektiv fortsatt preventivmetod om patienten så önskar. Att beakta om patient har rikliga menstruationsblödningar och/eller menstruationssmärtor är att kopparspiral kan ge rikligare menstruationer och ökade menstruationssmärtor. </w:t>
      </w:r>
    </w:p>
    <w:p w14:paraId="2473088A" w14:textId="77777777" w:rsidR="00702C15" w:rsidRPr="00C93530" w:rsidRDefault="00702C15" w:rsidP="00702C15">
      <w:pPr>
        <w:pStyle w:val="Rubrik2"/>
      </w:pPr>
      <w:r w:rsidRPr="00C93530">
        <w:t>Menstruationsförskjutning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15"/>
        <w:gridCol w:w="4362"/>
      </w:tblGrid>
      <w:tr w:rsidR="00702C15" w:rsidRPr="0094786D" w14:paraId="266C525D" w14:textId="77777777" w:rsidTr="00632FCC">
        <w:tc>
          <w:tcPr>
            <w:tcW w:w="4415" w:type="dxa"/>
          </w:tcPr>
          <w:p w14:paraId="6C1B549F" w14:textId="77777777" w:rsidR="00702C15" w:rsidRPr="0094786D" w:rsidRDefault="00702C15" w:rsidP="00632FCC">
            <w:pPr>
              <w:rPr>
                <w:sz w:val="24"/>
                <w:szCs w:val="24"/>
              </w:rPr>
            </w:pPr>
            <w:r w:rsidRPr="0094786D">
              <w:rPr>
                <w:b/>
                <w:sz w:val="24"/>
                <w:szCs w:val="24"/>
              </w:rPr>
              <w:t>noretisteron</w:t>
            </w:r>
          </w:p>
        </w:tc>
        <w:tc>
          <w:tcPr>
            <w:tcW w:w="4362" w:type="dxa"/>
          </w:tcPr>
          <w:p w14:paraId="6F8A4455" w14:textId="77777777" w:rsidR="00702C15" w:rsidRPr="0094786D" w:rsidRDefault="00702C15" w:rsidP="00632FCC">
            <w:pPr>
              <w:rPr>
                <w:sz w:val="24"/>
                <w:szCs w:val="24"/>
              </w:rPr>
            </w:pPr>
            <w:r w:rsidRPr="0094786D">
              <w:rPr>
                <w:sz w:val="24"/>
                <w:szCs w:val="24"/>
              </w:rPr>
              <w:t>Primolut-Nor</w:t>
            </w:r>
          </w:p>
        </w:tc>
      </w:tr>
    </w:tbl>
    <w:p w14:paraId="24A07967" w14:textId="77777777" w:rsidR="00702C15" w:rsidRDefault="00702C15" w:rsidP="00702C15">
      <w:pPr>
        <w:rPr>
          <w:sz w:val="24"/>
          <w:szCs w:val="24"/>
        </w:rPr>
      </w:pPr>
    </w:p>
    <w:p w14:paraId="2500CFC5" w14:textId="71A0663C" w:rsidR="00702C15" w:rsidRPr="0094786D" w:rsidRDefault="00702C15" w:rsidP="00702C15">
      <w:pPr>
        <w:rPr>
          <w:sz w:val="24"/>
          <w:szCs w:val="24"/>
        </w:rPr>
      </w:pPr>
      <w:r w:rsidRPr="0094786D">
        <w:rPr>
          <w:sz w:val="24"/>
          <w:szCs w:val="24"/>
        </w:rPr>
        <w:t xml:space="preserve">Behandling med Primolut-Nor eller Provera påbörjas senast tre dagar före beräknad mens. </w:t>
      </w:r>
    </w:p>
    <w:p w14:paraId="2B2F76C2" w14:textId="77777777" w:rsidR="00702C15" w:rsidRPr="0094786D" w:rsidRDefault="00702C15" w:rsidP="00702C15">
      <w:r w:rsidRPr="0094786D">
        <w:rPr>
          <w:sz w:val="24"/>
          <w:szCs w:val="24"/>
        </w:rPr>
        <w:t xml:space="preserve">Vid pågående p-pilleranvändning påbörjas ny karta direkt utan uppehåll med utelämnande av de hormonfria tabletterna. Vid trefas p-piller fortsätter man med de piller som har den högsta gestagenhalten. </w:t>
      </w:r>
    </w:p>
    <w:p w14:paraId="56EBC12C" w14:textId="77777777" w:rsidR="00702C15" w:rsidRPr="0094786D" w:rsidRDefault="00702C15" w:rsidP="00702C15">
      <w:pPr>
        <w:pStyle w:val="Rubrik2"/>
        <w:rPr>
          <w:sz w:val="32"/>
          <w:szCs w:val="28"/>
        </w:rPr>
      </w:pPr>
      <w:r w:rsidRPr="00C93530">
        <w:t xml:space="preserve">Rikliga menstruationsblödningar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702C15" w:rsidRPr="0094786D" w14:paraId="393C3E72" w14:textId="77777777" w:rsidTr="00632FCC">
        <w:tc>
          <w:tcPr>
            <w:tcW w:w="4536" w:type="dxa"/>
          </w:tcPr>
          <w:p w14:paraId="2D5EA6E0" w14:textId="77777777" w:rsidR="00702C15" w:rsidRPr="0094786D" w:rsidRDefault="00702C15" w:rsidP="00632FCC">
            <w:pPr>
              <w:rPr>
                <w:sz w:val="24"/>
                <w:szCs w:val="24"/>
              </w:rPr>
            </w:pPr>
            <w:r w:rsidRPr="0094786D">
              <w:rPr>
                <w:b/>
                <w:sz w:val="24"/>
                <w:szCs w:val="24"/>
              </w:rPr>
              <w:t>tranexamsyra</w:t>
            </w:r>
          </w:p>
        </w:tc>
        <w:tc>
          <w:tcPr>
            <w:tcW w:w="4536" w:type="dxa"/>
          </w:tcPr>
          <w:p w14:paraId="2334BCD0" w14:textId="77777777" w:rsidR="00702C15" w:rsidRPr="0094786D" w:rsidRDefault="00702C15" w:rsidP="00632FCC">
            <w:pPr>
              <w:rPr>
                <w:sz w:val="24"/>
                <w:szCs w:val="24"/>
              </w:rPr>
            </w:pPr>
            <w:r>
              <w:rPr>
                <w:sz w:val="24"/>
                <w:szCs w:val="24"/>
              </w:rPr>
              <w:t>tranexamsyra tabletter</w:t>
            </w:r>
          </w:p>
        </w:tc>
      </w:tr>
      <w:tr w:rsidR="00702C15" w:rsidRPr="0094786D" w14:paraId="3D6D0750" w14:textId="77777777" w:rsidTr="00632FCC">
        <w:tc>
          <w:tcPr>
            <w:tcW w:w="4536" w:type="dxa"/>
          </w:tcPr>
          <w:p w14:paraId="57346ECF" w14:textId="77777777" w:rsidR="00702C15" w:rsidRPr="0094786D" w:rsidRDefault="00702C15" w:rsidP="00632FCC">
            <w:pPr>
              <w:rPr>
                <w:sz w:val="24"/>
                <w:szCs w:val="24"/>
              </w:rPr>
            </w:pPr>
            <w:r w:rsidRPr="0094786D">
              <w:rPr>
                <w:b/>
                <w:sz w:val="24"/>
                <w:szCs w:val="24"/>
              </w:rPr>
              <w:t>levonorgestrel</w:t>
            </w:r>
          </w:p>
        </w:tc>
        <w:tc>
          <w:tcPr>
            <w:tcW w:w="4536" w:type="dxa"/>
          </w:tcPr>
          <w:p w14:paraId="118BDB69" w14:textId="77777777" w:rsidR="00702C15" w:rsidRPr="0094786D" w:rsidRDefault="00702C15" w:rsidP="00632FCC">
            <w:pPr>
              <w:rPr>
                <w:sz w:val="24"/>
                <w:szCs w:val="24"/>
              </w:rPr>
            </w:pPr>
            <w:r w:rsidRPr="0094786D">
              <w:rPr>
                <w:sz w:val="24"/>
                <w:szCs w:val="24"/>
              </w:rPr>
              <w:t>Mirena</w:t>
            </w:r>
          </w:p>
        </w:tc>
      </w:tr>
      <w:tr w:rsidR="00702C15" w:rsidRPr="0094786D" w14:paraId="7FDBC439" w14:textId="77777777" w:rsidTr="00632FCC">
        <w:tc>
          <w:tcPr>
            <w:tcW w:w="4536" w:type="dxa"/>
          </w:tcPr>
          <w:p w14:paraId="1ABE5C6F" w14:textId="77777777" w:rsidR="00702C15" w:rsidRPr="0094786D" w:rsidRDefault="00702C15" w:rsidP="00632FCC">
            <w:pPr>
              <w:rPr>
                <w:sz w:val="24"/>
                <w:szCs w:val="24"/>
              </w:rPr>
            </w:pPr>
            <w:r w:rsidRPr="0094786D">
              <w:rPr>
                <w:b/>
                <w:bCs/>
                <w:sz w:val="24"/>
                <w:szCs w:val="24"/>
              </w:rPr>
              <w:t>kombinationsmedel</w:t>
            </w:r>
          </w:p>
        </w:tc>
        <w:tc>
          <w:tcPr>
            <w:tcW w:w="4536" w:type="dxa"/>
          </w:tcPr>
          <w:p w14:paraId="13ECD609" w14:textId="77777777" w:rsidR="00702C15" w:rsidRPr="0094786D" w:rsidRDefault="00702C15" w:rsidP="00632FCC">
            <w:pPr>
              <w:rPr>
                <w:sz w:val="24"/>
                <w:szCs w:val="24"/>
              </w:rPr>
            </w:pPr>
            <w:r w:rsidRPr="0094786D">
              <w:rPr>
                <w:sz w:val="24"/>
                <w:szCs w:val="24"/>
              </w:rPr>
              <w:t>kombinerad hormonell preventivmetod</w:t>
            </w:r>
          </w:p>
        </w:tc>
      </w:tr>
    </w:tbl>
    <w:p w14:paraId="2D03BE50" w14:textId="77777777" w:rsidR="00702C15" w:rsidRPr="0094786D" w:rsidRDefault="00702C15" w:rsidP="00702C15">
      <w:pPr>
        <w:rPr>
          <w:sz w:val="24"/>
          <w:szCs w:val="24"/>
        </w:rPr>
      </w:pPr>
    </w:p>
    <w:p w14:paraId="03A8C36E" w14:textId="77777777" w:rsidR="00702C15" w:rsidRPr="0094786D" w:rsidRDefault="00702C15" w:rsidP="00702C15">
      <w:pPr>
        <w:rPr>
          <w:sz w:val="24"/>
          <w:szCs w:val="24"/>
        </w:rPr>
      </w:pPr>
      <w:r w:rsidRPr="0094786D">
        <w:rPr>
          <w:sz w:val="24"/>
          <w:szCs w:val="24"/>
        </w:rPr>
        <w:t xml:space="preserve">Vid regelbundna men rikliga menstruationer kan fibrinolyshämmare som tranexamsyra ge en reduktion av blödningsmängden. Mindre förpackningar av tranexamsyra finns receptfritt. Mirena, hormonspiral, är förutom att det är en säker antikonceptionsmetod, även en effektiv behandling av riklig menstruationsblödning. Specifikt för uterusblödning kan NSAID-preparat ge viss minskning av blödningsmängd. Vid samtidig dysmenorré kan NSAID-preparat ha effekt både på blödningsmängd och smärtor. Kombinerad hormonell preventivmetod kan ha god effekt mot rikliga menstruationsblödningar. Kombinations-p-piller Qlaira har, förutom antikonception, indikation riklig mensblödning utan organisk patologi där patienten samtidigt önskar antikonception. </w:t>
      </w:r>
      <w:r>
        <w:rPr>
          <w:sz w:val="24"/>
          <w:szCs w:val="24"/>
        </w:rPr>
        <w:br/>
      </w:r>
    </w:p>
    <w:p w14:paraId="7C5E078F" w14:textId="77777777" w:rsidR="00702C15" w:rsidRPr="0094786D" w:rsidRDefault="00702C15" w:rsidP="00702C15">
      <w:pPr>
        <w:rPr>
          <w:sz w:val="24"/>
          <w:szCs w:val="24"/>
        </w:rPr>
      </w:pPr>
      <w:r w:rsidRPr="0094786D">
        <w:rPr>
          <w:sz w:val="24"/>
          <w:szCs w:val="24"/>
        </w:rPr>
        <w:lastRenderedPageBreak/>
        <w:t>Vid riklig, långdragen anovulatorisk blödning vid menarche och perimenopausalt kan cyklisk gestagenbehandling, med exempelvis Primolut-nor, ha effekt. Observera dock att vid nytillkomna rikliga, långdragna eller oregelbundna blödningar hos pre-/perimenopausal kvinna, som inte svarar på sedvanlig behandling samt vid postmenopausal blödning ska patienten remitteras till gynekolog för utredning.</w:t>
      </w:r>
    </w:p>
    <w:p w14:paraId="3E54E66B" w14:textId="77777777" w:rsidR="00702C15" w:rsidRPr="00C93530" w:rsidRDefault="00702C15" w:rsidP="00702C15">
      <w:pPr>
        <w:pStyle w:val="Rubrik2"/>
      </w:pPr>
      <w:r w:rsidRPr="00C93530">
        <w:t>Menstruationssmärtor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702C15" w:rsidRPr="0094786D" w14:paraId="5561A88F" w14:textId="77777777" w:rsidTr="00632FCC">
        <w:tc>
          <w:tcPr>
            <w:tcW w:w="4536" w:type="dxa"/>
          </w:tcPr>
          <w:p w14:paraId="5A187F3F" w14:textId="77777777" w:rsidR="00702C15" w:rsidRPr="0094786D" w:rsidRDefault="00702C15" w:rsidP="00632FCC">
            <w:pPr>
              <w:rPr>
                <w:sz w:val="24"/>
                <w:szCs w:val="24"/>
              </w:rPr>
            </w:pPr>
            <w:r>
              <w:rPr>
                <w:b/>
                <w:bCs/>
                <w:sz w:val="24"/>
                <w:szCs w:val="24"/>
              </w:rPr>
              <w:t>N</w:t>
            </w:r>
            <w:r w:rsidRPr="0094786D">
              <w:rPr>
                <w:b/>
                <w:bCs/>
                <w:sz w:val="24"/>
                <w:szCs w:val="24"/>
              </w:rPr>
              <w:t>aproxen</w:t>
            </w:r>
            <w:r>
              <w:rPr>
                <w:b/>
                <w:bCs/>
                <w:sz w:val="24"/>
                <w:szCs w:val="24"/>
              </w:rPr>
              <w:t xml:space="preserve"> eller Ibuprofen</w:t>
            </w:r>
          </w:p>
        </w:tc>
        <w:tc>
          <w:tcPr>
            <w:tcW w:w="4536" w:type="dxa"/>
          </w:tcPr>
          <w:p w14:paraId="78D66EB2" w14:textId="77777777" w:rsidR="00702C15" w:rsidRPr="0094786D" w:rsidRDefault="00702C15" w:rsidP="00632FCC">
            <w:pPr>
              <w:rPr>
                <w:sz w:val="24"/>
                <w:szCs w:val="24"/>
              </w:rPr>
            </w:pPr>
          </w:p>
        </w:tc>
      </w:tr>
      <w:tr w:rsidR="00702C15" w:rsidRPr="0094786D" w14:paraId="563B133C" w14:textId="77777777" w:rsidTr="00632FCC">
        <w:tc>
          <w:tcPr>
            <w:tcW w:w="4536" w:type="dxa"/>
          </w:tcPr>
          <w:p w14:paraId="1E8C6692" w14:textId="77777777" w:rsidR="00702C15" w:rsidRPr="0094786D" w:rsidRDefault="00702C15" w:rsidP="00632FCC">
            <w:pPr>
              <w:rPr>
                <w:b/>
                <w:bCs/>
                <w:sz w:val="24"/>
                <w:szCs w:val="24"/>
              </w:rPr>
            </w:pPr>
            <w:r w:rsidRPr="0094786D">
              <w:rPr>
                <w:b/>
                <w:bCs/>
                <w:sz w:val="24"/>
                <w:szCs w:val="24"/>
              </w:rPr>
              <w:t>kombinerade p-piller</w:t>
            </w:r>
          </w:p>
        </w:tc>
        <w:tc>
          <w:tcPr>
            <w:tcW w:w="4536" w:type="dxa"/>
          </w:tcPr>
          <w:p w14:paraId="0B47A2BE" w14:textId="77777777" w:rsidR="00702C15" w:rsidRPr="0094786D" w:rsidRDefault="00702C15" w:rsidP="00632FCC">
            <w:pPr>
              <w:rPr>
                <w:sz w:val="24"/>
                <w:szCs w:val="24"/>
              </w:rPr>
            </w:pPr>
          </w:p>
        </w:tc>
      </w:tr>
    </w:tbl>
    <w:p w14:paraId="335DD830" w14:textId="77777777" w:rsidR="00702C15" w:rsidRPr="00C93530" w:rsidRDefault="00702C15" w:rsidP="00702C15">
      <w:pPr>
        <w:rPr>
          <w:sz w:val="24"/>
          <w:szCs w:val="24"/>
        </w:rPr>
      </w:pPr>
    </w:p>
    <w:p w14:paraId="323B78CA" w14:textId="77777777" w:rsidR="00702C15" w:rsidRPr="00700251" w:rsidRDefault="00702C15" w:rsidP="00702C15">
      <w:pPr>
        <w:rPr>
          <w:sz w:val="24"/>
          <w:szCs w:val="24"/>
        </w:rPr>
      </w:pPr>
      <w:r w:rsidRPr="00C93530">
        <w:rPr>
          <w:sz w:val="24"/>
          <w:szCs w:val="24"/>
        </w:rPr>
        <w:t>Vid primär dysmenorré erhålls god smärtstillande effekt av NSAID - preparat, gärna då kombinerat med paracetamol.</w:t>
      </w:r>
      <w:r>
        <w:rPr>
          <w:sz w:val="24"/>
          <w:szCs w:val="24"/>
        </w:rPr>
        <w:t xml:space="preserve"> </w:t>
      </w:r>
      <w:r w:rsidRPr="00C93530">
        <w:rPr>
          <w:sz w:val="24"/>
          <w:szCs w:val="24"/>
        </w:rPr>
        <w:t>TENS och värmekudde kan ge lindring</w:t>
      </w:r>
      <w:r w:rsidRPr="00700251">
        <w:rPr>
          <w:sz w:val="24"/>
          <w:szCs w:val="24"/>
        </w:rPr>
        <w:t>. Börja med ibuprofen 400mg 1x3, gärna två dagar innan mens. Vid otillräcklig effekt, lägg till paracetamol i maxdos. Hos ungdomar över 12 år och 50kg kan ibuprofen ersättas av Naproxen 250mg 1-2 tabl 1-2 ggr/ dag. Naproxen finns receptfritt i mindre förpackningar.</w:t>
      </w:r>
    </w:p>
    <w:p w14:paraId="2E959E92" w14:textId="77777777" w:rsidR="00702C15" w:rsidRPr="00C93530" w:rsidRDefault="00702C15" w:rsidP="00702C15">
      <w:pPr>
        <w:rPr>
          <w:sz w:val="24"/>
          <w:szCs w:val="24"/>
        </w:rPr>
      </w:pPr>
    </w:p>
    <w:p w14:paraId="3CF121ED" w14:textId="77777777" w:rsidR="00702C15" w:rsidRDefault="00702C15" w:rsidP="00702C15">
      <w:pPr>
        <w:rPr>
          <w:sz w:val="24"/>
          <w:szCs w:val="24"/>
        </w:rPr>
      </w:pPr>
      <w:r w:rsidRPr="00C93530">
        <w:rPr>
          <w:sz w:val="24"/>
          <w:szCs w:val="24"/>
        </w:rPr>
        <w:t>Hormonell behandling minskar mensvärk och är samtidigt antikonception. Hormonell metod kan ges som cyklisk behandling men kan även ges kontinuerlig för att ge blödningsfrihet och patienten har då också effekt mot mensvärken. Bäst blödningskontroll har oftast kombinerade hormonella preventivmetoder; p</w:t>
      </w:r>
      <w:r w:rsidRPr="00C93530">
        <w:rPr>
          <w:sz w:val="24"/>
          <w:szCs w:val="24"/>
        </w:rPr>
        <w:noBreakHyphen/>
        <w:t xml:space="preserve">piller, vaginal p-ring och p-plåster. </w:t>
      </w:r>
      <w:r w:rsidRPr="00C93530">
        <w:rPr>
          <w:sz w:val="24"/>
          <w:szCs w:val="24"/>
          <w:lang w:eastAsia="sv-SE"/>
        </w:rPr>
        <w:t xml:space="preserve">För patienter som trots insatt hormonbehandling har menstruationssmärtor kan kombinerade, monofasiska preventivmedel användas kontinuerligt utan uppehåll. Kombinerade monofasiska p-piller, Prionelle, Amorest, eventuellt även Dienorette ges kontinuerligt genom att kassera placebotabletterna i varje karta. </w:t>
      </w:r>
      <w:r>
        <w:rPr>
          <w:sz w:val="24"/>
          <w:szCs w:val="24"/>
          <w:lang w:eastAsia="sv-SE"/>
        </w:rPr>
        <w:br/>
      </w:r>
      <w:r w:rsidRPr="00C93530">
        <w:rPr>
          <w:sz w:val="24"/>
          <w:szCs w:val="24"/>
          <w:lang w:eastAsia="sv-SE"/>
        </w:rPr>
        <w:t xml:space="preserve">Vid eventuell genombrottsblödning görs avbrott under 3-5 dagar. Diza har tablettkarta anpassad till långcykelanvändning. </w:t>
      </w:r>
      <w:r w:rsidRPr="00C93530">
        <w:rPr>
          <w:sz w:val="24"/>
          <w:szCs w:val="24"/>
        </w:rPr>
        <w:t>En kortare hormonfri period i varje fyraveckors tablettkarta kan också ha effekt.</w:t>
      </w:r>
    </w:p>
    <w:p w14:paraId="09AF679A" w14:textId="77777777" w:rsidR="00702C15" w:rsidRDefault="00702C15" w:rsidP="00702C15">
      <w:pPr>
        <w:rPr>
          <w:sz w:val="24"/>
          <w:szCs w:val="24"/>
        </w:rPr>
      </w:pPr>
    </w:p>
    <w:p w14:paraId="29264501" w14:textId="77777777" w:rsidR="00702C15" w:rsidRPr="00C93530" w:rsidRDefault="00702C15" w:rsidP="00702C15">
      <w:pPr>
        <w:rPr>
          <w:sz w:val="24"/>
          <w:szCs w:val="24"/>
        </w:rPr>
      </w:pPr>
      <w:r w:rsidRPr="00C93530">
        <w:rPr>
          <w:sz w:val="24"/>
          <w:szCs w:val="24"/>
        </w:rPr>
        <w:t xml:space="preserve">P-ring (Ornibel, Nuvaring) och p-plåster (Evra) är dyrare än tabletter. För kvinnor som har svårt att komma ihåg regelbundet tablettintag kan medlen vara ett alternativ. Observera att Nuvaring ska förvaras i kylskåp. Varken Ornibel, Nuvaring eller Evra ingår i läkemedelsförmånen. Dessa preparat kan också användas kontinuerligt, det vill säga att patienten sätter in ny ring eller plåster direkt efter den/det förra. </w:t>
      </w:r>
    </w:p>
    <w:p w14:paraId="3C320AD5" w14:textId="77777777" w:rsidR="00702C15" w:rsidRPr="00C93530" w:rsidRDefault="00702C15" w:rsidP="00702C15">
      <w:pPr>
        <w:rPr>
          <w:sz w:val="24"/>
          <w:szCs w:val="24"/>
        </w:rPr>
      </w:pPr>
      <w:r w:rsidRPr="00C93530">
        <w:rPr>
          <w:sz w:val="24"/>
          <w:szCs w:val="24"/>
        </w:rPr>
        <w:t>Mellandoserad gestagenmetod (p-stav, Nexplanon eller "mellanpiller" Gestrina, Cerazette, Desogestrel, Slinda) eller gestagen i högdos (p-spruta, Depo-Provera) kan i vissa fall vara att föredra, till exempel för patienter med kontraindikationer för östrogeninnehållande preparat. Observera dock att Depo-Provera på grund av påverkan på östrogennivåer, bör förskrivas med försiktighet till patient under 18 år på grund av risk att de inte uppnår sin peak bone mass.</w:t>
      </w:r>
    </w:p>
    <w:p w14:paraId="66D6748E" w14:textId="77777777" w:rsidR="00702C15" w:rsidRPr="00C93530" w:rsidRDefault="00702C15" w:rsidP="00702C15">
      <w:pPr>
        <w:rPr>
          <w:sz w:val="24"/>
          <w:szCs w:val="24"/>
        </w:rPr>
      </w:pPr>
      <w:r w:rsidRPr="00C93530">
        <w:rPr>
          <w:sz w:val="24"/>
          <w:szCs w:val="24"/>
        </w:rPr>
        <w:t xml:space="preserve">God effekt kan också uppnås med gestagenbärande spiral (levonorgestrel, Mirena) </w:t>
      </w:r>
      <w:r>
        <w:rPr>
          <w:sz w:val="24"/>
          <w:szCs w:val="24"/>
        </w:rPr>
        <w:t>d</w:t>
      </w:r>
      <w:r w:rsidRPr="00C93530">
        <w:rPr>
          <w:sz w:val="24"/>
          <w:szCs w:val="24"/>
        </w:rPr>
        <w:t>å gestagenbärande spiraler ger en låg plasmakoncentration av gestagen kan det vara en fördel för patienter som haft problem med gestagena biverkningar.</w:t>
      </w:r>
    </w:p>
    <w:p w14:paraId="4C4249FF" w14:textId="77777777" w:rsidR="00702C15" w:rsidRPr="00C93530" w:rsidRDefault="00702C15" w:rsidP="00702C15">
      <w:pPr>
        <w:rPr>
          <w:sz w:val="24"/>
          <w:szCs w:val="24"/>
        </w:rPr>
      </w:pPr>
      <w:r w:rsidRPr="00C93530">
        <w:rPr>
          <w:sz w:val="24"/>
          <w:szCs w:val="24"/>
        </w:rPr>
        <w:t>”</w:t>
      </w:r>
      <w:hyperlink r:id="rId72" w:history="1">
        <w:r w:rsidRPr="00EC4418">
          <w:rPr>
            <w:rStyle w:val="Hyperlnk"/>
            <w:color w:val="0070C0"/>
            <w:sz w:val="24"/>
            <w:szCs w:val="24"/>
          </w:rPr>
          <w:t xml:space="preserve">Patientinformation – </w:t>
        </w:r>
        <w:r w:rsidRPr="00A72584">
          <w:rPr>
            <w:rStyle w:val="Hyperlnk"/>
            <w:color w:val="0070C0"/>
            <w:sz w:val="24"/>
            <w:szCs w:val="24"/>
          </w:rPr>
          <w:t>egenvård</w:t>
        </w:r>
        <w:r w:rsidRPr="00EC4418">
          <w:rPr>
            <w:rStyle w:val="Hyperlnk"/>
            <w:color w:val="0070C0"/>
            <w:sz w:val="24"/>
            <w:szCs w:val="24"/>
          </w:rPr>
          <w:t xml:space="preserve"> vid svår mensvärk</w:t>
        </w:r>
      </w:hyperlink>
      <w:r w:rsidRPr="00C93530">
        <w:rPr>
          <w:sz w:val="24"/>
          <w:szCs w:val="24"/>
        </w:rPr>
        <w:t>” finns att skriva ut. Se Kvinnoklinikens PM</w:t>
      </w:r>
      <w:r>
        <w:rPr>
          <w:sz w:val="24"/>
          <w:szCs w:val="24"/>
        </w:rPr>
        <w:t>.</w:t>
      </w:r>
    </w:p>
    <w:p w14:paraId="261D9062" w14:textId="77777777" w:rsidR="00702C15" w:rsidRDefault="00702C15" w:rsidP="00702C15">
      <w:pPr>
        <w:rPr>
          <w:sz w:val="24"/>
          <w:szCs w:val="24"/>
        </w:rPr>
      </w:pPr>
      <w:r w:rsidRPr="00C93530">
        <w:rPr>
          <w:sz w:val="24"/>
          <w:szCs w:val="24"/>
        </w:rPr>
        <w:t xml:space="preserve">Om behandlingsresistent svår mensvärk föreligger hänvisas patienten till gynekolog för ställningstagande till vidare utredning och justering av behandling. </w:t>
      </w:r>
    </w:p>
    <w:p w14:paraId="5738C3C9" w14:textId="77777777" w:rsidR="00702C15" w:rsidRDefault="00702C15" w:rsidP="00702C15">
      <w:pPr>
        <w:pStyle w:val="Rubrik2"/>
      </w:pPr>
      <w:r w:rsidRPr="00C93530">
        <w:lastRenderedPageBreak/>
        <w:t>Endometrios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702C15" w:rsidRPr="0094786D" w14:paraId="3F263835" w14:textId="77777777" w:rsidTr="00632FCC">
        <w:tc>
          <w:tcPr>
            <w:tcW w:w="4536" w:type="dxa"/>
          </w:tcPr>
          <w:p w14:paraId="37BBDB19" w14:textId="77777777" w:rsidR="00702C15" w:rsidRPr="0094786D" w:rsidRDefault="00702C15" w:rsidP="00632FCC">
            <w:pPr>
              <w:rPr>
                <w:sz w:val="24"/>
                <w:szCs w:val="24"/>
              </w:rPr>
            </w:pPr>
            <w:r w:rsidRPr="0094786D">
              <w:rPr>
                <w:sz w:val="24"/>
                <w:szCs w:val="24"/>
              </w:rPr>
              <w:t>naproxen</w:t>
            </w:r>
          </w:p>
        </w:tc>
        <w:tc>
          <w:tcPr>
            <w:tcW w:w="4536" w:type="dxa"/>
          </w:tcPr>
          <w:p w14:paraId="3CD12932" w14:textId="77777777" w:rsidR="00702C15" w:rsidRPr="0094786D" w:rsidRDefault="00702C15" w:rsidP="00632FCC">
            <w:pPr>
              <w:rPr>
                <w:sz w:val="24"/>
                <w:szCs w:val="24"/>
              </w:rPr>
            </w:pPr>
            <w:r w:rsidRPr="0094786D">
              <w:rPr>
                <w:sz w:val="24"/>
                <w:szCs w:val="24"/>
              </w:rPr>
              <w:t>Naproxen</w:t>
            </w:r>
          </w:p>
        </w:tc>
      </w:tr>
      <w:tr w:rsidR="00702C15" w:rsidRPr="0094786D" w14:paraId="725427A4" w14:textId="77777777" w:rsidTr="00632FCC">
        <w:tc>
          <w:tcPr>
            <w:tcW w:w="4536" w:type="dxa"/>
          </w:tcPr>
          <w:p w14:paraId="38472950" w14:textId="77777777" w:rsidR="00702C15" w:rsidRPr="0094786D" w:rsidRDefault="00702C15" w:rsidP="00632FCC">
            <w:pPr>
              <w:rPr>
                <w:sz w:val="24"/>
                <w:szCs w:val="24"/>
              </w:rPr>
            </w:pPr>
            <w:r w:rsidRPr="0094786D">
              <w:rPr>
                <w:sz w:val="24"/>
                <w:szCs w:val="24"/>
              </w:rPr>
              <w:t>paracetamol</w:t>
            </w:r>
          </w:p>
        </w:tc>
        <w:tc>
          <w:tcPr>
            <w:tcW w:w="4536" w:type="dxa"/>
          </w:tcPr>
          <w:p w14:paraId="1D08B6A9" w14:textId="77777777" w:rsidR="00702C15" w:rsidRPr="0094786D" w:rsidRDefault="00702C15" w:rsidP="00632FCC">
            <w:pPr>
              <w:rPr>
                <w:sz w:val="24"/>
                <w:szCs w:val="24"/>
              </w:rPr>
            </w:pPr>
            <w:r w:rsidRPr="0094786D">
              <w:rPr>
                <w:sz w:val="24"/>
                <w:szCs w:val="24"/>
              </w:rPr>
              <w:t>Alvedon</w:t>
            </w:r>
          </w:p>
        </w:tc>
      </w:tr>
      <w:tr w:rsidR="00702C15" w:rsidRPr="0094786D" w14:paraId="2077A355" w14:textId="77777777" w:rsidTr="00632FCC">
        <w:tc>
          <w:tcPr>
            <w:tcW w:w="4536" w:type="dxa"/>
          </w:tcPr>
          <w:p w14:paraId="2181ABE7" w14:textId="77777777" w:rsidR="00702C15" w:rsidRPr="0094786D" w:rsidRDefault="00702C15" w:rsidP="00632FCC">
            <w:pPr>
              <w:rPr>
                <w:sz w:val="24"/>
                <w:szCs w:val="24"/>
              </w:rPr>
            </w:pPr>
            <w:r w:rsidRPr="0094786D">
              <w:rPr>
                <w:sz w:val="24"/>
                <w:szCs w:val="24"/>
              </w:rPr>
              <w:t>kombinations p-piller</w:t>
            </w:r>
          </w:p>
        </w:tc>
        <w:tc>
          <w:tcPr>
            <w:tcW w:w="4536" w:type="dxa"/>
          </w:tcPr>
          <w:p w14:paraId="06AC70FF" w14:textId="77777777" w:rsidR="00702C15" w:rsidRPr="0094786D" w:rsidRDefault="00702C15" w:rsidP="00632FCC">
            <w:pPr>
              <w:rPr>
                <w:sz w:val="24"/>
                <w:szCs w:val="24"/>
              </w:rPr>
            </w:pPr>
            <w:r w:rsidRPr="0094786D">
              <w:rPr>
                <w:sz w:val="24"/>
                <w:szCs w:val="24"/>
              </w:rPr>
              <w:t>Prionelle</w:t>
            </w:r>
          </w:p>
        </w:tc>
      </w:tr>
      <w:tr w:rsidR="00702C15" w:rsidRPr="0094786D" w14:paraId="607B6F1B" w14:textId="77777777" w:rsidTr="00632FCC">
        <w:tc>
          <w:tcPr>
            <w:tcW w:w="4536" w:type="dxa"/>
          </w:tcPr>
          <w:p w14:paraId="28C1AC4D" w14:textId="77777777" w:rsidR="00702C15" w:rsidRPr="0094786D" w:rsidRDefault="00702C15" w:rsidP="00632FCC">
            <w:pPr>
              <w:rPr>
                <w:sz w:val="24"/>
                <w:szCs w:val="24"/>
              </w:rPr>
            </w:pPr>
            <w:r w:rsidRPr="0094786D">
              <w:rPr>
                <w:sz w:val="24"/>
                <w:szCs w:val="24"/>
              </w:rPr>
              <w:t>levonorgestrel</w:t>
            </w:r>
          </w:p>
        </w:tc>
        <w:tc>
          <w:tcPr>
            <w:tcW w:w="4536" w:type="dxa"/>
          </w:tcPr>
          <w:p w14:paraId="28FBD732" w14:textId="77777777" w:rsidR="00702C15" w:rsidRPr="0094786D" w:rsidRDefault="00702C15" w:rsidP="00632FCC">
            <w:pPr>
              <w:rPr>
                <w:sz w:val="24"/>
                <w:szCs w:val="24"/>
              </w:rPr>
            </w:pPr>
            <w:r w:rsidRPr="0094786D">
              <w:rPr>
                <w:sz w:val="24"/>
                <w:szCs w:val="24"/>
              </w:rPr>
              <w:t>Mirena</w:t>
            </w:r>
          </w:p>
        </w:tc>
      </w:tr>
      <w:tr w:rsidR="00702C15" w:rsidRPr="0094786D" w14:paraId="54C1F826" w14:textId="77777777" w:rsidTr="00632FCC">
        <w:tc>
          <w:tcPr>
            <w:tcW w:w="4536" w:type="dxa"/>
          </w:tcPr>
          <w:p w14:paraId="7A6245C2" w14:textId="77777777" w:rsidR="00702C15" w:rsidRPr="0094786D" w:rsidRDefault="00702C15" w:rsidP="00632FCC">
            <w:pPr>
              <w:rPr>
                <w:sz w:val="24"/>
                <w:szCs w:val="24"/>
              </w:rPr>
            </w:pPr>
            <w:r w:rsidRPr="0094786D">
              <w:rPr>
                <w:sz w:val="24"/>
                <w:szCs w:val="24"/>
              </w:rPr>
              <w:t>desogestrel</w:t>
            </w:r>
          </w:p>
        </w:tc>
        <w:tc>
          <w:tcPr>
            <w:tcW w:w="4536" w:type="dxa"/>
          </w:tcPr>
          <w:p w14:paraId="271B1359" w14:textId="77777777" w:rsidR="00702C15" w:rsidRPr="0094786D" w:rsidRDefault="00702C15" w:rsidP="00632FCC">
            <w:pPr>
              <w:rPr>
                <w:sz w:val="24"/>
                <w:szCs w:val="24"/>
              </w:rPr>
            </w:pPr>
            <w:r w:rsidRPr="0094786D">
              <w:rPr>
                <w:sz w:val="24"/>
                <w:szCs w:val="24"/>
              </w:rPr>
              <w:t xml:space="preserve">Gestrina, </w:t>
            </w:r>
          </w:p>
        </w:tc>
      </w:tr>
      <w:tr w:rsidR="00702C15" w:rsidRPr="0094786D" w14:paraId="73EC5B83" w14:textId="77777777" w:rsidTr="00632FCC">
        <w:tc>
          <w:tcPr>
            <w:tcW w:w="4536" w:type="dxa"/>
          </w:tcPr>
          <w:p w14:paraId="3059BA33" w14:textId="77777777" w:rsidR="00702C15" w:rsidRPr="0094786D" w:rsidRDefault="00702C15" w:rsidP="00632FCC">
            <w:pPr>
              <w:rPr>
                <w:sz w:val="24"/>
                <w:szCs w:val="24"/>
              </w:rPr>
            </w:pPr>
            <w:r w:rsidRPr="0094786D">
              <w:rPr>
                <w:sz w:val="24"/>
                <w:szCs w:val="24"/>
              </w:rPr>
              <w:t>medroxyprogesteronacetat</w:t>
            </w:r>
          </w:p>
        </w:tc>
        <w:tc>
          <w:tcPr>
            <w:tcW w:w="4536" w:type="dxa"/>
          </w:tcPr>
          <w:p w14:paraId="7D48FBAF" w14:textId="77777777" w:rsidR="00702C15" w:rsidRPr="0094786D" w:rsidRDefault="00702C15" w:rsidP="00632FCC">
            <w:pPr>
              <w:rPr>
                <w:sz w:val="24"/>
                <w:szCs w:val="24"/>
              </w:rPr>
            </w:pPr>
            <w:r w:rsidRPr="0094786D">
              <w:rPr>
                <w:sz w:val="24"/>
                <w:szCs w:val="24"/>
              </w:rPr>
              <w:t>Depo-Provera</w:t>
            </w:r>
          </w:p>
        </w:tc>
      </w:tr>
    </w:tbl>
    <w:p w14:paraId="4D7FA301" w14:textId="77777777" w:rsidR="00702C15" w:rsidRDefault="00702C15" w:rsidP="00702C15">
      <w:pPr>
        <w:tabs>
          <w:tab w:val="clear" w:pos="284"/>
        </w:tabs>
        <w:spacing w:after="120" w:line="260" w:lineRule="atLeast"/>
        <w:rPr>
          <w:rFonts w:asciiTheme="minorHAnsi" w:hAnsiTheme="minorHAnsi"/>
          <w:sz w:val="24"/>
          <w:szCs w:val="24"/>
        </w:rPr>
      </w:pPr>
    </w:p>
    <w:p w14:paraId="349D454A" w14:textId="77777777" w:rsidR="00702C15" w:rsidRPr="00215CE2" w:rsidRDefault="00702C15" w:rsidP="00702C15">
      <w:pPr>
        <w:tabs>
          <w:tab w:val="clear" w:pos="284"/>
        </w:tabs>
        <w:spacing w:after="120" w:line="260" w:lineRule="atLeast"/>
        <w:rPr>
          <w:rFonts w:asciiTheme="minorHAnsi" w:hAnsiTheme="minorHAnsi"/>
          <w:sz w:val="24"/>
          <w:szCs w:val="24"/>
        </w:rPr>
      </w:pPr>
      <w:r w:rsidRPr="00C725B5">
        <w:rPr>
          <w:sz w:val="24"/>
          <w:szCs w:val="24"/>
        </w:rPr>
        <w:t xml:space="preserve">Endometrios är ett tillstånd som förekommer hos 10–15 procent av alla kvinnor i fertil ålder och kännetecknas av bäckensmärta, ofta svår, men kan påvisas även hos symtomfria kvinnor. </w:t>
      </w:r>
      <w:r w:rsidRPr="00C725B5">
        <w:rPr>
          <w:sz w:val="24"/>
          <w:szCs w:val="24"/>
        </w:rPr>
        <w:br/>
        <w:t>Orsaken anses vara en östrogenberoende inflammation av livmoderslemhinna som är ektopiskt belägen i bukhålan. Retrograd menstruation kan möjligen vara en mekanism bakom uppkomsten av tillståndet, men andra faktorer kan också ha betydelse. Typiskt är platta förändringar på peritoneum, ibland ledande till adherensbildningar, men endometrioscystor (så kallade chokladcystor) på äggstockarna är också vanligt.</w:t>
      </w:r>
    </w:p>
    <w:p w14:paraId="1077FF41" w14:textId="77777777" w:rsidR="00702C15" w:rsidRPr="00C725B5" w:rsidRDefault="00702C15" w:rsidP="00702C15">
      <w:pPr>
        <w:rPr>
          <w:sz w:val="24"/>
          <w:szCs w:val="24"/>
        </w:rPr>
      </w:pPr>
      <w:r w:rsidRPr="00C725B5">
        <w:rPr>
          <w:sz w:val="24"/>
          <w:szCs w:val="24"/>
        </w:rPr>
        <w:t xml:space="preserve">Endometrios brukar debutera som kraftiga menstruationssmärtor och många har även ovulationssmärtor. Rikliga blödningar, mellanblödningar och korta cykler är vanligt. Menstruationsrelaterade symtom i form av urinträngningar, defekationssmärta, illamående och subfebrilitet kan förekomma. Ofta accentueras smärtan efter hand och kan anta en mer kronisk karaktär, utan tydlig relation till menstruationscykeln. Smärtor vid defekation samt djup samlagssmärta bör föranleda misstanke om endometrios. </w:t>
      </w:r>
      <w:r w:rsidRPr="00C725B5">
        <w:rPr>
          <w:sz w:val="24"/>
          <w:szCs w:val="24"/>
        </w:rPr>
        <w:br/>
        <w:t>Upp till 50 procent av kvinnor med endometrios har fertilitetsproblem.</w:t>
      </w:r>
    </w:p>
    <w:p w14:paraId="66880C25" w14:textId="77777777" w:rsidR="00702C15" w:rsidRPr="00C725B5" w:rsidRDefault="00702C15" w:rsidP="00702C15">
      <w:pPr>
        <w:rPr>
          <w:sz w:val="24"/>
          <w:szCs w:val="24"/>
        </w:rPr>
      </w:pPr>
      <w:r w:rsidRPr="00C725B5">
        <w:rPr>
          <w:sz w:val="24"/>
          <w:szCs w:val="24"/>
        </w:rPr>
        <w:t>Studier visar att upp till tre fjärdedelar av unga flickor med svår menstruationssmärta har endometrios. I laparoskopistudier har ungefär en tredjedel av tonåringar med långvariga bäckensmärtor visat sig ha endometrios. Mediantiden från symtomdebut till diagnos är uppskattad till cirka åtta år, men sjukdomen har fått ökad uppmärksamhet på senare år så förhoppningsvis är mediantiden numera kortare. Viktigt att fånga unga patienter som lider av svår mensvärk och erbjuda adekvat behandling med bra uppföljning för att minimera risk för långvariga komplikationer</w:t>
      </w:r>
    </w:p>
    <w:p w14:paraId="0C46D5BD" w14:textId="77777777" w:rsidR="00702C15" w:rsidRPr="00C725B5" w:rsidRDefault="00702C15" w:rsidP="00702C15">
      <w:pPr>
        <w:rPr>
          <w:sz w:val="24"/>
          <w:szCs w:val="24"/>
        </w:rPr>
      </w:pPr>
      <w:r w:rsidRPr="00C725B5">
        <w:rPr>
          <w:sz w:val="24"/>
          <w:szCs w:val="24"/>
        </w:rPr>
        <w:t>Vid misstanke om endometrios kan medikamentell behandling prövas utan att diagnosen bekräftas med ultraljud, MR eller laparoskopi/histologi. Vid svåra behandlingsresistenta fall hänvisas till gynekolog.</w:t>
      </w:r>
    </w:p>
    <w:p w14:paraId="14827586" w14:textId="77777777" w:rsidR="00702C15" w:rsidRPr="00C725B5" w:rsidRDefault="00702C15" w:rsidP="00702C15">
      <w:pPr>
        <w:rPr>
          <w:sz w:val="24"/>
          <w:szCs w:val="24"/>
        </w:rPr>
      </w:pPr>
      <w:r w:rsidRPr="00C725B5">
        <w:rPr>
          <w:sz w:val="24"/>
          <w:szCs w:val="24"/>
        </w:rPr>
        <w:t xml:space="preserve">Ultraljud och MR kan påvisa adenomyos, endometriom och ibland större härdar men kan inte utesluta peritoneal endometrios. Laparoskopi kan bli nödvändig t i svårare fall/differentialdiagnostiska överväganden. Oavsett diagnostik är målet dock att få till en fungerande hormonell behandling och blödningsfrihet vid svår mensvärk, oavsett om diagnosen endometrios ställts eller ej. </w:t>
      </w:r>
    </w:p>
    <w:p w14:paraId="6BE3628E" w14:textId="77777777" w:rsidR="00702C15" w:rsidRPr="00C725B5" w:rsidRDefault="00702C15" w:rsidP="00702C15">
      <w:pPr>
        <w:rPr>
          <w:sz w:val="24"/>
          <w:szCs w:val="24"/>
        </w:rPr>
      </w:pPr>
      <w:r w:rsidRPr="00C725B5">
        <w:rPr>
          <w:sz w:val="24"/>
          <w:szCs w:val="24"/>
        </w:rPr>
        <w:t>Behandling</w:t>
      </w:r>
    </w:p>
    <w:p w14:paraId="0D48C95D" w14:textId="77777777" w:rsidR="00702C15" w:rsidRPr="00C725B5" w:rsidRDefault="00702C15" w:rsidP="00702C15">
      <w:pPr>
        <w:rPr>
          <w:sz w:val="24"/>
          <w:szCs w:val="24"/>
        </w:rPr>
      </w:pPr>
      <w:r w:rsidRPr="00C725B5">
        <w:rPr>
          <w:sz w:val="24"/>
          <w:szCs w:val="24"/>
        </w:rPr>
        <w:t xml:space="preserve">Hormonell behandling bör övervägas tidigt i förloppet. Rekommenderad hormonell behandling är i första hand samma som under avsnittet för mensvärk. Målet med behandlingen är att nedreglera stimuleringen av endometriosförändringar, kvittot på att det fungerar är blödningsfrihet och anovulation. Kombinerade p-piller (östrogen + gestagen) har bäst effekt på blödningskontroll. Dessa ges kontinuerligt utan placebotabletter. </w:t>
      </w:r>
      <w:r w:rsidRPr="00C725B5">
        <w:rPr>
          <w:sz w:val="24"/>
          <w:szCs w:val="24"/>
        </w:rPr>
        <w:br/>
        <w:t>Vid genombrottsblödning görs ett uppehåll på 3-5 dagar.</w:t>
      </w:r>
    </w:p>
    <w:p w14:paraId="3C61BE4A" w14:textId="77777777" w:rsidR="00702C15" w:rsidRPr="00C725B5" w:rsidRDefault="00702C15" w:rsidP="00702C15">
      <w:pPr>
        <w:rPr>
          <w:sz w:val="24"/>
          <w:szCs w:val="24"/>
        </w:rPr>
      </w:pPr>
      <w:r w:rsidRPr="00C725B5">
        <w:rPr>
          <w:sz w:val="24"/>
          <w:szCs w:val="24"/>
        </w:rPr>
        <w:lastRenderedPageBreak/>
        <w:t>Om kombinerade preparat är olämpliga eller patienten inte svarar väl på kombinerad metod kan man byta till gestagent preparat. Mirenaspiral har god effekt på smärtor och ger ofta blödningsfrihet. Mellandoserade eller högdoserade gestagena metoder är också bra behandling, observera dock att högdoserad gestagenmetod bör förskrivas med försiktighet till patient under 18 år på grund av risk att de inte uppnår sin peak bone mass.</w:t>
      </w:r>
    </w:p>
    <w:p w14:paraId="0CCDFDFE" w14:textId="77777777" w:rsidR="00702C15" w:rsidRPr="00C725B5" w:rsidRDefault="00702C15" w:rsidP="00702C15">
      <w:pPr>
        <w:rPr>
          <w:sz w:val="24"/>
          <w:szCs w:val="24"/>
        </w:rPr>
      </w:pPr>
      <w:r w:rsidRPr="00C725B5">
        <w:rPr>
          <w:sz w:val="24"/>
          <w:szCs w:val="24"/>
        </w:rPr>
        <w:t xml:space="preserve">Vid svårighet att nå fullgod effekt kan man kombinera till exempel med Mirenaspiral och </w:t>
      </w:r>
      <w:r w:rsidRPr="00C725B5">
        <w:rPr>
          <w:sz w:val="24"/>
          <w:szCs w:val="24"/>
        </w:rPr>
        <w:br/>
        <w:t>kombinerade p-piller.</w:t>
      </w:r>
      <w:r w:rsidRPr="00C725B5">
        <w:rPr>
          <w:sz w:val="24"/>
          <w:szCs w:val="24"/>
        </w:rPr>
        <w:br/>
        <w:t xml:space="preserve">Gestagena preparat med endometrios som indikation är: Dienogest, Endovelle, Visanne, som dock inte ingår i läkemedelsförmånen. I speciella fall ges GnRH -analog i forma av injektion eller nässpray för att sätta patienten i tillfälligt kemiskt klimakterium. Kirurgisk behandling kan bli aktuell i vissa fall. Dessa behandlingar handläggs av gynekolog.  </w:t>
      </w:r>
    </w:p>
    <w:p w14:paraId="5595BC55" w14:textId="77777777" w:rsidR="00702C15" w:rsidRPr="00C725B5" w:rsidRDefault="00702C15" w:rsidP="00702C15">
      <w:pPr>
        <w:rPr>
          <w:sz w:val="24"/>
          <w:szCs w:val="24"/>
        </w:rPr>
      </w:pPr>
      <w:r w:rsidRPr="00C725B5">
        <w:rPr>
          <w:sz w:val="24"/>
          <w:szCs w:val="24"/>
        </w:rPr>
        <w:t>Basen i smärtbehandlingen är NSAID preparat, naproxen kombinerat med paracetamol. Medicineringen bör starta så tidigt som möjligt i smärtförloppet och inledas med en hög initialdos för att få så god smärtlindring som möjligt. Icke farmakologisk behandling som TENS och värmekudde kan ge lindring. Vid långvarig smärta utan koppling till menscykeln kan patienten vara hjälpt av smärtmodulerande läkemedel så som amitryptillin och gabapentin. Fysioterapi har effekt på smärtor av mer kronisk karaktär.</w:t>
      </w:r>
    </w:p>
    <w:p w14:paraId="6C66F885" w14:textId="77777777" w:rsidR="00702C15" w:rsidRPr="00C725B5" w:rsidRDefault="00702C15" w:rsidP="00702C15">
      <w:pPr>
        <w:rPr>
          <w:sz w:val="24"/>
          <w:szCs w:val="24"/>
        </w:rPr>
      </w:pPr>
      <w:r w:rsidRPr="00C725B5">
        <w:rPr>
          <w:sz w:val="24"/>
          <w:szCs w:val="24"/>
        </w:rPr>
        <w:t>Var generös med övrig symtomlindring som tarmreglerande medel, till exempel Inolaxol, Visiblin. Obstipationstendens kan försämra endometriossmärtan. Det är vanligt att patienter med endometrios mår illa i samband med mens, Primperan eller Ondansetron kan hjälpa.</w:t>
      </w:r>
    </w:p>
    <w:p w14:paraId="4558F8E2" w14:textId="77777777" w:rsidR="00702C15" w:rsidRPr="008206FB" w:rsidRDefault="00702C15" w:rsidP="00702C15">
      <w:pPr>
        <w:pStyle w:val="Rubrik2"/>
      </w:pPr>
      <w:r w:rsidRPr="008206FB">
        <w:t>PMS/PMDS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702C15" w:rsidRPr="0094786D" w14:paraId="6FA6A92F" w14:textId="77777777" w:rsidTr="00632FCC">
        <w:tc>
          <w:tcPr>
            <w:tcW w:w="4536" w:type="dxa"/>
          </w:tcPr>
          <w:p w14:paraId="0150C59B" w14:textId="77777777" w:rsidR="00702C15" w:rsidRPr="0094786D" w:rsidRDefault="00702C15" w:rsidP="00632FCC">
            <w:pPr>
              <w:tabs>
                <w:tab w:val="left" w:pos="1624"/>
              </w:tabs>
              <w:rPr>
                <w:sz w:val="24"/>
                <w:szCs w:val="24"/>
              </w:rPr>
            </w:pPr>
            <w:bookmarkStart w:id="79" w:name="_Hlk103584167"/>
            <w:r>
              <w:rPr>
                <w:sz w:val="24"/>
                <w:szCs w:val="24"/>
              </w:rPr>
              <w:t>Escitalopram</w:t>
            </w:r>
          </w:p>
        </w:tc>
        <w:tc>
          <w:tcPr>
            <w:tcW w:w="4536" w:type="dxa"/>
          </w:tcPr>
          <w:p w14:paraId="12B97413" w14:textId="77777777" w:rsidR="00702C15" w:rsidRPr="0094786D" w:rsidRDefault="00702C15" w:rsidP="00632FCC">
            <w:pPr>
              <w:rPr>
                <w:sz w:val="24"/>
                <w:szCs w:val="24"/>
              </w:rPr>
            </w:pPr>
            <w:r>
              <w:rPr>
                <w:sz w:val="24"/>
                <w:szCs w:val="24"/>
              </w:rPr>
              <w:t>escitalopram</w:t>
            </w:r>
          </w:p>
        </w:tc>
      </w:tr>
    </w:tbl>
    <w:p w14:paraId="67B562D3" w14:textId="77777777" w:rsidR="00702C15" w:rsidRDefault="00702C15" w:rsidP="00702C15">
      <w:pPr>
        <w:rPr>
          <w:rFonts w:asciiTheme="minorHAnsi" w:hAnsiTheme="minorHAnsi"/>
          <w:sz w:val="24"/>
          <w:szCs w:val="24"/>
        </w:rPr>
      </w:pPr>
    </w:p>
    <w:p w14:paraId="349D2CB8" w14:textId="77777777" w:rsidR="00702C15" w:rsidRPr="00063B82" w:rsidRDefault="00702C15" w:rsidP="00702C15">
      <w:pPr>
        <w:rPr>
          <w:rFonts w:asciiTheme="minorHAnsi" w:hAnsiTheme="minorHAnsi"/>
          <w:sz w:val="24"/>
          <w:szCs w:val="24"/>
        </w:rPr>
      </w:pPr>
      <w:r w:rsidRPr="00063B82">
        <w:rPr>
          <w:rFonts w:asciiTheme="minorHAnsi" w:hAnsiTheme="minorHAnsi"/>
          <w:sz w:val="24"/>
          <w:szCs w:val="24"/>
        </w:rPr>
        <w:t xml:space="preserve">Behandling med ett SSRI preparat i adekvat dosering, dagligen under 7-14 dagar före mens, </w:t>
      </w:r>
      <w:r w:rsidRPr="00063B82">
        <w:rPr>
          <w:rFonts w:asciiTheme="minorHAnsi" w:hAnsiTheme="minorHAnsi"/>
          <w:sz w:val="24"/>
          <w:szCs w:val="24"/>
        </w:rPr>
        <w:br/>
        <w:t xml:space="preserve">beroende på hur många dagar patienten har besvär, kan ge god lindring. </w:t>
      </w:r>
      <w:bookmarkStart w:id="80" w:name="_Hlk57125737"/>
      <w:r w:rsidRPr="00063B82">
        <w:rPr>
          <w:rFonts w:asciiTheme="minorHAnsi" w:hAnsiTheme="minorHAnsi"/>
          <w:sz w:val="24"/>
          <w:szCs w:val="24"/>
        </w:rPr>
        <w:t>Premalex (escitalopram) har som godkänd indikation premenstruellt dysforiskt syndrom</w:t>
      </w:r>
      <w:r>
        <w:rPr>
          <w:rFonts w:asciiTheme="minorHAnsi" w:hAnsiTheme="minorHAnsi"/>
          <w:sz w:val="24"/>
          <w:szCs w:val="24"/>
        </w:rPr>
        <w:t>.</w:t>
      </w:r>
      <w:r w:rsidRPr="00063B82">
        <w:rPr>
          <w:rFonts w:asciiTheme="minorHAnsi" w:hAnsiTheme="minorHAnsi"/>
          <w:sz w:val="24"/>
          <w:szCs w:val="24"/>
        </w:rPr>
        <w:t xml:space="preserve"> </w:t>
      </w:r>
      <w:r w:rsidRPr="00942B2C">
        <w:rPr>
          <w:rFonts w:asciiTheme="minorHAnsi" w:hAnsiTheme="minorHAnsi"/>
          <w:sz w:val="24"/>
          <w:szCs w:val="24"/>
        </w:rPr>
        <w:t xml:space="preserve">Generiskt Escitalopram är billigare och anses likaväl kunna användas. </w:t>
      </w:r>
      <w:r>
        <w:rPr>
          <w:rFonts w:asciiTheme="minorHAnsi" w:hAnsiTheme="minorHAnsi"/>
          <w:sz w:val="24"/>
          <w:szCs w:val="24"/>
        </w:rPr>
        <w:t>D</w:t>
      </w:r>
      <w:r w:rsidRPr="00063B82">
        <w:rPr>
          <w:rFonts w:asciiTheme="minorHAnsi" w:hAnsiTheme="minorHAnsi"/>
          <w:sz w:val="24"/>
          <w:szCs w:val="24"/>
        </w:rPr>
        <w:t>osering 10–20 mg dagligen från ovulationstid fram till mens. Om escitalopram inte kan användas, kan sertralin provas i dosering 50–100 mg dagligen från ovulationstid fram till mens.</w:t>
      </w:r>
      <w:bookmarkEnd w:id="80"/>
      <w:r w:rsidRPr="00063B82">
        <w:rPr>
          <w:rFonts w:asciiTheme="minorHAnsi" w:hAnsiTheme="minorHAnsi"/>
          <w:sz w:val="24"/>
          <w:szCs w:val="24"/>
        </w:rPr>
        <w:t xml:space="preserve"> </w:t>
      </w:r>
    </w:p>
    <w:p w14:paraId="0CC9502F" w14:textId="77777777" w:rsidR="00702C15" w:rsidRPr="00063B82" w:rsidRDefault="00702C15" w:rsidP="00702C15">
      <w:pPr>
        <w:rPr>
          <w:rFonts w:asciiTheme="minorHAnsi" w:hAnsiTheme="minorHAnsi"/>
          <w:sz w:val="24"/>
          <w:szCs w:val="24"/>
        </w:rPr>
      </w:pPr>
    </w:p>
    <w:p w14:paraId="2215DD8A" w14:textId="77777777" w:rsidR="00702C15" w:rsidRDefault="00702C15" w:rsidP="00702C15">
      <w:pPr>
        <w:rPr>
          <w:rFonts w:asciiTheme="minorHAnsi" w:hAnsiTheme="minorHAnsi"/>
          <w:sz w:val="24"/>
          <w:szCs w:val="24"/>
        </w:rPr>
      </w:pPr>
      <w:r w:rsidRPr="00063B82">
        <w:rPr>
          <w:rFonts w:asciiTheme="minorHAnsi" w:hAnsiTheme="minorHAnsi"/>
          <w:sz w:val="24"/>
          <w:szCs w:val="24"/>
        </w:rPr>
        <w:t>Vid uttalade besvär med svullnadskänsla kan behandling med spironolakton eller eventuellt annat diuretikum ge lindring. Se även över patientens preventivmedelsval. Kombinerade p-piller innehållande drosperinon är förstahandsval, till exempel Yasmin, Yasminelle, Yaz, Diza. För de patienter som behöver ett alternativ utan östrogen, är Slinda att föredra. Andra östrogenprofilerade, p-piller kan fungera men vissa patienter med PMDS är också extremt känsliga för syntetiska hormoner och kan reagera kraftigt i humöret. Gestagenprofilerade p-piller ger oftare en försämring av symptomen. Byte av hormonell preventivmetod till kopparspiral kan i vissa fall vara att föredra. En låg dos av en GnRH-analog, till exempel Synarela spray, givet under åtminstone tiden från ovulation till menstruation, drar ner den endogena hormonproduktionen och kan ha god effekt mot PMS.</w:t>
      </w:r>
    </w:p>
    <w:p w14:paraId="3BE0AF08" w14:textId="77777777" w:rsidR="00702C15" w:rsidRPr="00C93530" w:rsidRDefault="00702C15" w:rsidP="00702C15">
      <w:pPr>
        <w:pStyle w:val="Rubrik2"/>
      </w:pPr>
      <w:r w:rsidRPr="00C93530">
        <w:lastRenderedPageBreak/>
        <w:t>Hormonbehandling i klimakteriet</w:t>
      </w:r>
    </w:p>
    <w:p w14:paraId="35A78CB7" w14:textId="77777777" w:rsidR="00702C15" w:rsidRPr="00063B82" w:rsidRDefault="00702C15" w:rsidP="00702C15">
      <w:pPr>
        <w:rPr>
          <w:rFonts w:asciiTheme="minorHAnsi" w:hAnsiTheme="minorHAnsi"/>
          <w:sz w:val="24"/>
          <w:szCs w:val="24"/>
        </w:rPr>
      </w:pPr>
      <w:r w:rsidRPr="00063B82">
        <w:rPr>
          <w:rFonts w:asciiTheme="minorHAnsi" w:hAnsiTheme="minorHAnsi"/>
          <w:sz w:val="24"/>
          <w:szCs w:val="24"/>
        </w:rPr>
        <w:t xml:space="preserve">Det finns stark evidens för att hormonbehandling i samband med klimakteriet är effektiv för behandling av vasomotorsymptom och andra östrogenbristrelaterade symptom. Det är patientens subjektiva symptom och upplevelse av hur symptomen påverkar livskvaliteten som avgör om behandling ska initieras. Det är också patientens önskemål om symptomlindring som ska vara vägledande för om behandling ska påbörjas. Behandlingen kan ofta avslutas inom cirka fem år, </w:t>
      </w:r>
      <w:r>
        <w:rPr>
          <w:rFonts w:asciiTheme="minorHAnsi" w:hAnsiTheme="minorHAnsi"/>
          <w:sz w:val="24"/>
          <w:szCs w:val="24"/>
        </w:rPr>
        <w:br/>
      </w:r>
      <w:r w:rsidRPr="00063B82">
        <w:rPr>
          <w:rFonts w:asciiTheme="minorHAnsi" w:hAnsiTheme="minorHAnsi"/>
          <w:sz w:val="24"/>
          <w:szCs w:val="24"/>
        </w:rPr>
        <w:t>men kan vid behov förlängas efter individuell bedömning. För behandling av symtom med hormon i samband med klimakteriet är risk-nytta förhållandet klart fördelaktigt om medicineringen initieras i nära anslutning till menopaus, det vill säga före 60 års ålder alternativt inom 10 år efter menopaus.</w:t>
      </w:r>
    </w:p>
    <w:p w14:paraId="77CE14E7" w14:textId="77777777" w:rsidR="00702C15" w:rsidRDefault="00702C15" w:rsidP="00702C15">
      <w:pPr>
        <w:pStyle w:val="Rubrik3"/>
      </w:pPr>
      <w:r w:rsidRPr="008206FB">
        <w:t xml:space="preserve">Indikationer </w:t>
      </w:r>
    </w:p>
    <w:p w14:paraId="3804EC9C" w14:textId="77777777" w:rsidR="00702C15" w:rsidRPr="00E611CC" w:rsidRDefault="00702C15" w:rsidP="00702C15">
      <w:pPr>
        <w:pStyle w:val="Liststycke"/>
        <w:numPr>
          <w:ilvl w:val="0"/>
          <w:numId w:val="13"/>
        </w:numPr>
        <w:rPr>
          <w:rFonts w:asciiTheme="minorHAnsi" w:hAnsiTheme="minorHAnsi"/>
          <w:sz w:val="24"/>
          <w:szCs w:val="24"/>
        </w:rPr>
      </w:pPr>
      <w:r w:rsidRPr="00E611CC">
        <w:rPr>
          <w:rFonts w:asciiTheme="minorHAnsi" w:hAnsiTheme="minorHAnsi"/>
          <w:sz w:val="24"/>
          <w:szCs w:val="24"/>
        </w:rPr>
        <w:t xml:space="preserve">Vasomotorsymptom som värmevallningar och svettningar (starkt underlag) </w:t>
      </w:r>
    </w:p>
    <w:p w14:paraId="2FF5FEE7" w14:textId="77777777" w:rsidR="00702C15" w:rsidRPr="00063B82" w:rsidRDefault="00702C15" w:rsidP="00702C15">
      <w:pPr>
        <w:pStyle w:val="Liststycke"/>
        <w:numPr>
          <w:ilvl w:val="0"/>
          <w:numId w:val="13"/>
        </w:numPr>
        <w:rPr>
          <w:rFonts w:asciiTheme="minorHAnsi" w:hAnsiTheme="minorHAnsi"/>
          <w:sz w:val="24"/>
          <w:szCs w:val="24"/>
        </w:rPr>
      </w:pPr>
      <w:r w:rsidRPr="00E611CC">
        <w:rPr>
          <w:rFonts w:asciiTheme="minorHAnsi" w:hAnsiTheme="minorHAnsi"/>
          <w:sz w:val="24"/>
          <w:szCs w:val="24"/>
        </w:rPr>
        <w:t>Tidig spontan eller kirurgisk menopaus (före 45 års ålder) samt kvinnor med prematur</w:t>
      </w:r>
      <w:r w:rsidRPr="00063B82">
        <w:rPr>
          <w:rFonts w:asciiTheme="minorHAnsi" w:hAnsiTheme="minorHAnsi"/>
          <w:sz w:val="24"/>
          <w:szCs w:val="24"/>
        </w:rPr>
        <w:t xml:space="preserve"> ovariell svikt (före 40 års ålder) upp till åtminstone normal menopausålder (cirka 52 år)</w:t>
      </w:r>
    </w:p>
    <w:p w14:paraId="0B40C2C8" w14:textId="77777777" w:rsidR="00702C15" w:rsidRPr="00063B82" w:rsidRDefault="00702C15" w:rsidP="00702C15">
      <w:pPr>
        <w:pStyle w:val="Liststycke"/>
        <w:numPr>
          <w:ilvl w:val="0"/>
          <w:numId w:val="12"/>
        </w:numPr>
        <w:contextualSpacing/>
        <w:rPr>
          <w:rFonts w:asciiTheme="minorHAnsi" w:hAnsiTheme="minorHAnsi" w:cs="Arial"/>
          <w:b/>
          <w:spacing w:val="8"/>
          <w:sz w:val="24"/>
          <w:szCs w:val="24"/>
        </w:rPr>
      </w:pPr>
      <w:r w:rsidRPr="00063B82">
        <w:rPr>
          <w:rFonts w:asciiTheme="minorHAnsi" w:hAnsiTheme="minorHAnsi"/>
          <w:sz w:val="24"/>
          <w:szCs w:val="24"/>
        </w:rPr>
        <w:t xml:space="preserve">Förebyggande av osteoporos hos patienter med hög frakturrisk som är yngre än 60 år, om andra osteoporosbehandlingar inte tolereras eller är kontraindicerade (starkt underlag) </w:t>
      </w:r>
    </w:p>
    <w:p w14:paraId="4E7D247C" w14:textId="77777777" w:rsidR="00702C15" w:rsidRDefault="00702C15" w:rsidP="00702C15">
      <w:pPr>
        <w:pStyle w:val="Liststycke"/>
        <w:numPr>
          <w:ilvl w:val="0"/>
          <w:numId w:val="12"/>
        </w:numPr>
        <w:tabs>
          <w:tab w:val="clear" w:pos="284"/>
        </w:tabs>
        <w:spacing w:after="120" w:line="260" w:lineRule="atLeast"/>
        <w:contextualSpacing/>
      </w:pPr>
      <w:r w:rsidRPr="0094786D">
        <w:rPr>
          <w:rFonts w:asciiTheme="minorHAnsi" w:hAnsiTheme="minorHAnsi"/>
          <w:sz w:val="24"/>
          <w:szCs w:val="24"/>
        </w:rPr>
        <w:t xml:space="preserve">Sömnstörning och vasomotorsymptom (måttligt underlag) </w:t>
      </w:r>
    </w:p>
    <w:p w14:paraId="31ED7ADF" w14:textId="77777777" w:rsidR="00702C15" w:rsidRPr="008206FB" w:rsidRDefault="00702C15" w:rsidP="00702C15">
      <w:pPr>
        <w:pStyle w:val="Rubrik3"/>
      </w:pPr>
      <w:r w:rsidRPr="00C93530">
        <w:t>Kontraindikationer</w:t>
      </w:r>
    </w:p>
    <w:p w14:paraId="7E8F7DF9" w14:textId="77777777" w:rsidR="00702C15" w:rsidRPr="00063B82" w:rsidRDefault="00702C15" w:rsidP="00702C15">
      <w:pPr>
        <w:pStyle w:val="Liststycke"/>
        <w:numPr>
          <w:ilvl w:val="0"/>
          <w:numId w:val="13"/>
        </w:numPr>
        <w:rPr>
          <w:rFonts w:asciiTheme="minorHAnsi" w:hAnsiTheme="minorHAnsi"/>
          <w:sz w:val="24"/>
          <w:szCs w:val="24"/>
        </w:rPr>
      </w:pPr>
      <w:r w:rsidRPr="00063B82">
        <w:rPr>
          <w:rFonts w:asciiTheme="minorHAnsi" w:hAnsiTheme="minorHAnsi"/>
          <w:sz w:val="24"/>
          <w:szCs w:val="24"/>
        </w:rPr>
        <w:t xml:space="preserve">Odiagnostiserad vaginal blödning/misstänkt endometriecancer </w:t>
      </w:r>
    </w:p>
    <w:p w14:paraId="61E0A5CD" w14:textId="77777777" w:rsidR="00702C15" w:rsidRPr="00063B82" w:rsidRDefault="00702C15" w:rsidP="00702C15">
      <w:pPr>
        <w:pStyle w:val="Liststycke"/>
        <w:numPr>
          <w:ilvl w:val="0"/>
          <w:numId w:val="13"/>
        </w:numPr>
        <w:rPr>
          <w:rFonts w:asciiTheme="minorHAnsi" w:hAnsiTheme="minorHAnsi"/>
          <w:sz w:val="24"/>
          <w:szCs w:val="24"/>
        </w:rPr>
      </w:pPr>
      <w:r w:rsidRPr="00063B82">
        <w:rPr>
          <w:rFonts w:asciiTheme="minorHAnsi" w:hAnsiTheme="minorHAnsi"/>
          <w:sz w:val="24"/>
          <w:szCs w:val="24"/>
        </w:rPr>
        <w:t xml:space="preserve">Anamnes på bröstcancer </w:t>
      </w:r>
    </w:p>
    <w:p w14:paraId="02459C7E" w14:textId="77777777" w:rsidR="00702C15" w:rsidRPr="00063B82" w:rsidRDefault="00702C15" w:rsidP="00702C15">
      <w:pPr>
        <w:pStyle w:val="Liststycke"/>
        <w:numPr>
          <w:ilvl w:val="0"/>
          <w:numId w:val="13"/>
        </w:numPr>
        <w:rPr>
          <w:rFonts w:asciiTheme="minorHAnsi" w:hAnsiTheme="minorHAnsi"/>
          <w:sz w:val="24"/>
          <w:szCs w:val="24"/>
        </w:rPr>
      </w:pPr>
      <w:r w:rsidRPr="00063B82">
        <w:rPr>
          <w:rFonts w:asciiTheme="minorHAnsi" w:hAnsiTheme="minorHAnsi"/>
          <w:sz w:val="24"/>
          <w:szCs w:val="24"/>
        </w:rPr>
        <w:t xml:space="preserve">Aktuell djup ventrombos eller lungemboli </w:t>
      </w:r>
    </w:p>
    <w:p w14:paraId="43913A48" w14:textId="77777777" w:rsidR="00702C15" w:rsidRPr="00063B82" w:rsidRDefault="00702C15" w:rsidP="00702C15">
      <w:pPr>
        <w:pStyle w:val="Liststycke"/>
        <w:numPr>
          <w:ilvl w:val="0"/>
          <w:numId w:val="13"/>
        </w:numPr>
        <w:rPr>
          <w:rFonts w:asciiTheme="minorHAnsi" w:hAnsiTheme="minorHAnsi"/>
          <w:sz w:val="24"/>
          <w:szCs w:val="24"/>
        </w:rPr>
      </w:pPr>
      <w:r w:rsidRPr="00063B82">
        <w:rPr>
          <w:rFonts w:asciiTheme="minorHAnsi" w:hAnsiTheme="minorHAnsi"/>
          <w:sz w:val="24"/>
          <w:szCs w:val="24"/>
        </w:rPr>
        <w:t xml:space="preserve">Aktuell eller tidigare arteriell hjärt-kärlsjukdom, som angina, stroke, hjärtinfarkt </w:t>
      </w:r>
    </w:p>
    <w:p w14:paraId="3575B1F4" w14:textId="77777777" w:rsidR="00702C15" w:rsidRPr="00063B82" w:rsidRDefault="00702C15" w:rsidP="00702C15">
      <w:pPr>
        <w:pStyle w:val="Liststycke"/>
        <w:numPr>
          <w:ilvl w:val="0"/>
          <w:numId w:val="13"/>
        </w:numPr>
        <w:rPr>
          <w:rFonts w:asciiTheme="minorHAnsi" w:hAnsiTheme="minorHAnsi"/>
          <w:sz w:val="24"/>
          <w:szCs w:val="24"/>
        </w:rPr>
      </w:pPr>
      <w:r w:rsidRPr="00063B82">
        <w:rPr>
          <w:rFonts w:asciiTheme="minorHAnsi" w:hAnsiTheme="minorHAnsi"/>
          <w:sz w:val="24"/>
          <w:szCs w:val="24"/>
        </w:rPr>
        <w:t xml:space="preserve">Allvarlig pågående gall- eller leversjukdom </w:t>
      </w:r>
    </w:p>
    <w:p w14:paraId="7F38A74B" w14:textId="77777777" w:rsidR="00702C15" w:rsidRDefault="00702C15" w:rsidP="00702C15">
      <w:pPr>
        <w:pStyle w:val="Rubrik3"/>
      </w:pPr>
      <w:r>
        <w:t xml:space="preserve">Försiktighet bör iakttas hos kvinnor med: </w:t>
      </w:r>
    </w:p>
    <w:p w14:paraId="3B76D74A" w14:textId="77777777" w:rsidR="00702C15" w:rsidRPr="00063B82" w:rsidRDefault="00702C15" w:rsidP="00702C15">
      <w:pPr>
        <w:pStyle w:val="Liststycke"/>
        <w:numPr>
          <w:ilvl w:val="0"/>
          <w:numId w:val="13"/>
        </w:numPr>
        <w:rPr>
          <w:rFonts w:asciiTheme="minorHAnsi" w:hAnsiTheme="minorHAnsi"/>
          <w:sz w:val="24"/>
          <w:szCs w:val="24"/>
        </w:rPr>
      </w:pPr>
      <w:r w:rsidRPr="00063B82">
        <w:rPr>
          <w:rFonts w:asciiTheme="minorHAnsi" w:hAnsiTheme="minorHAnsi"/>
          <w:sz w:val="24"/>
          <w:szCs w:val="24"/>
        </w:rPr>
        <w:t xml:space="preserve">Diabetes med trolig kärlpåverkan </w:t>
      </w:r>
    </w:p>
    <w:p w14:paraId="592E1337" w14:textId="77777777" w:rsidR="00702C15" w:rsidRPr="00063B82" w:rsidRDefault="00702C15" w:rsidP="00702C15">
      <w:pPr>
        <w:pStyle w:val="Liststycke"/>
        <w:numPr>
          <w:ilvl w:val="0"/>
          <w:numId w:val="13"/>
        </w:numPr>
        <w:rPr>
          <w:rFonts w:asciiTheme="minorHAnsi" w:hAnsiTheme="minorHAnsi"/>
          <w:sz w:val="24"/>
          <w:szCs w:val="24"/>
        </w:rPr>
      </w:pPr>
      <w:r w:rsidRPr="00063B82">
        <w:rPr>
          <w:rFonts w:asciiTheme="minorHAnsi" w:hAnsiTheme="minorHAnsi"/>
          <w:sz w:val="24"/>
          <w:szCs w:val="24"/>
        </w:rPr>
        <w:t xml:space="preserve">Tidigare djup ventrombos eller lungemboli eller kända riskfaktorer för dessa, se vidare bakgrundstexten och gäller fr.a. oral östrogenbehandling </w:t>
      </w:r>
    </w:p>
    <w:p w14:paraId="57A3FCF2" w14:textId="77777777" w:rsidR="00702C15" w:rsidRPr="00063B82" w:rsidRDefault="00702C15" w:rsidP="00702C15">
      <w:pPr>
        <w:pStyle w:val="Liststycke"/>
        <w:numPr>
          <w:ilvl w:val="0"/>
          <w:numId w:val="13"/>
        </w:numPr>
        <w:rPr>
          <w:rFonts w:asciiTheme="minorHAnsi" w:hAnsiTheme="minorHAnsi"/>
          <w:sz w:val="24"/>
          <w:szCs w:val="24"/>
        </w:rPr>
      </w:pPr>
      <w:r w:rsidRPr="00063B82">
        <w:rPr>
          <w:rFonts w:asciiTheme="minorHAnsi" w:hAnsiTheme="minorHAnsi"/>
          <w:sz w:val="24"/>
          <w:szCs w:val="24"/>
        </w:rPr>
        <w:t xml:space="preserve">Gallblåsesjukdom (gäller oral östrogenbehandling) </w:t>
      </w:r>
    </w:p>
    <w:p w14:paraId="492BB332" w14:textId="77777777" w:rsidR="00702C15" w:rsidRPr="00063B82" w:rsidRDefault="00702C15" w:rsidP="00702C15">
      <w:pPr>
        <w:pStyle w:val="Liststycke"/>
        <w:numPr>
          <w:ilvl w:val="0"/>
          <w:numId w:val="13"/>
        </w:numPr>
        <w:rPr>
          <w:rFonts w:asciiTheme="minorHAnsi" w:hAnsiTheme="minorHAnsi"/>
          <w:sz w:val="24"/>
          <w:szCs w:val="24"/>
        </w:rPr>
      </w:pPr>
      <w:r w:rsidRPr="00063B82">
        <w:rPr>
          <w:rFonts w:asciiTheme="minorHAnsi" w:hAnsiTheme="minorHAnsi"/>
          <w:sz w:val="24"/>
          <w:szCs w:val="24"/>
        </w:rPr>
        <w:t xml:space="preserve">Tidigare endometriecancer, se vidare bakgrundstexten </w:t>
      </w:r>
    </w:p>
    <w:p w14:paraId="2C86527E" w14:textId="77777777" w:rsidR="00702C15" w:rsidRDefault="00702C15" w:rsidP="00702C15">
      <w:pPr>
        <w:pStyle w:val="Liststycke"/>
        <w:numPr>
          <w:ilvl w:val="0"/>
          <w:numId w:val="13"/>
        </w:numPr>
        <w:rPr>
          <w:rFonts w:asciiTheme="minorHAnsi" w:hAnsiTheme="minorHAnsi"/>
          <w:sz w:val="24"/>
          <w:szCs w:val="24"/>
        </w:rPr>
      </w:pPr>
      <w:r w:rsidRPr="00063B82">
        <w:rPr>
          <w:rFonts w:asciiTheme="minorHAnsi" w:hAnsiTheme="minorHAnsi"/>
          <w:sz w:val="24"/>
          <w:szCs w:val="24"/>
        </w:rPr>
        <w:t>Vissa övriga tillstånd. Östrogenbehandling kan förvärra astma, epilepsi, migrän, akut intermittent porfyri, systemisk lupus erythematosus, leverhemangiom och demens och bör därför användas med försiktighet vid dessa tillstånd</w:t>
      </w:r>
    </w:p>
    <w:p w14:paraId="381770A2" w14:textId="77777777" w:rsidR="00702C15" w:rsidRPr="00737AE3" w:rsidRDefault="00702C15" w:rsidP="00702C15">
      <w:pPr>
        <w:rPr>
          <w:rFonts w:asciiTheme="minorHAnsi" w:hAnsiTheme="minorHAnsi"/>
          <w:color w:val="FF0000"/>
          <w:sz w:val="24"/>
          <w:szCs w:val="24"/>
        </w:rPr>
      </w:pPr>
      <w:r>
        <w:rPr>
          <w:rFonts w:asciiTheme="minorHAnsi" w:hAnsiTheme="minorHAnsi"/>
          <w:sz w:val="24"/>
          <w:szCs w:val="24"/>
        </w:rPr>
        <w:lastRenderedPageBreak/>
        <w:br/>
      </w:r>
      <w:r w:rsidRPr="00774C20">
        <w:rPr>
          <w:rFonts w:asciiTheme="minorHAnsi" w:hAnsiTheme="minorHAnsi"/>
          <w:b/>
          <w:bCs/>
          <w:noProof/>
          <w:sz w:val="24"/>
          <w:szCs w:val="24"/>
        </w:rPr>
        <w:drawing>
          <wp:inline distT="0" distB="0" distL="0" distR="0" wp14:anchorId="63EA8223" wp14:editId="368F6AFB">
            <wp:extent cx="5041900" cy="4249420"/>
            <wp:effectExtent l="0" t="0" r="6350" b="0"/>
            <wp:docPr id="64281371" name="Bildobjekt 1" descr="En bild som visar text, skärmbild, Teckensnitt,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1371" name="Bildobjekt 1" descr="En bild som visar text, skärmbild, Teckensnitt, diagram&#10;&#10;AI-genererat innehåll kan vara felaktig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41900" cy="4249420"/>
                    </a:xfrm>
                    <a:prstGeom prst="rect">
                      <a:avLst/>
                    </a:prstGeom>
                    <a:noFill/>
                  </pic:spPr>
                </pic:pic>
              </a:graphicData>
            </a:graphic>
          </wp:inline>
        </w:drawing>
      </w:r>
      <w:r>
        <w:rPr>
          <w:rFonts w:asciiTheme="minorHAnsi" w:hAnsiTheme="minorHAnsi"/>
          <w:sz w:val="24"/>
          <w:szCs w:val="24"/>
        </w:rPr>
        <w:br/>
      </w:r>
      <w:r w:rsidRPr="00737AE3">
        <w:rPr>
          <w:rFonts w:asciiTheme="minorHAnsi" w:hAnsiTheme="minorHAnsi"/>
          <w:sz w:val="24"/>
          <w:szCs w:val="24"/>
        </w:rPr>
        <w:t>Figur 1 i behandlingsrekommendation MHT. Läkemedelsverket 2022</w:t>
      </w:r>
    </w:p>
    <w:p w14:paraId="7648CDEA" w14:textId="77777777" w:rsidR="00702C15" w:rsidRDefault="00702C15" w:rsidP="00702C15">
      <w:pPr>
        <w:pStyle w:val="Rubrik3"/>
      </w:pPr>
    </w:p>
    <w:p w14:paraId="62108CC2" w14:textId="77777777" w:rsidR="00702C15" w:rsidRPr="00737AE3" w:rsidRDefault="00702C15" w:rsidP="00702C15">
      <w:pPr>
        <w:pStyle w:val="Rubrik3"/>
      </w:pPr>
      <w:r w:rsidRPr="00C93530">
        <w:t xml:space="preserve">Sekvenspreparat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246"/>
      </w:tblGrid>
      <w:tr w:rsidR="00702C15" w:rsidRPr="00311639" w14:paraId="7D652F70" w14:textId="77777777" w:rsidTr="00632FCC">
        <w:trPr>
          <w:trHeight w:val="373"/>
        </w:trPr>
        <w:tc>
          <w:tcPr>
            <w:tcW w:w="4531" w:type="dxa"/>
          </w:tcPr>
          <w:p w14:paraId="2FF4C6F8" w14:textId="77777777" w:rsidR="00702C15" w:rsidRPr="00311639" w:rsidRDefault="00702C15" w:rsidP="00632FCC">
            <w:pPr>
              <w:rPr>
                <w:b/>
                <w:sz w:val="24"/>
                <w:szCs w:val="24"/>
              </w:rPr>
            </w:pPr>
            <w:r w:rsidRPr="00311639">
              <w:rPr>
                <w:b/>
                <w:bCs/>
                <w:sz w:val="24"/>
                <w:szCs w:val="24"/>
              </w:rPr>
              <w:t xml:space="preserve">noretisteron + </w:t>
            </w:r>
            <w:r w:rsidRPr="00311639">
              <w:rPr>
                <w:b/>
                <w:sz w:val="24"/>
                <w:szCs w:val="24"/>
              </w:rPr>
              <w:t>estradiol</w:t>
            </w:r>
          </w:p>
        </w:tc>
        <w:tc>
          <w:tcPr>
            <w:tcW w:w="4246" w:type="dxa"/>
          </w:tcPr>
          <w:p w14:paraId="5C81DF6D" w14:textId="77777777" w:rsidR="00702C15" w:rsidRPr="00311639" w:rsidRDefault="00702C15" w:rsidP="00632FCC">
            <w:pPr>
              <w:rPr>
                <w:b/>
                <w:sz w:val="24"/>
                <w:szCs w:val="24"/>
              </w:rPr>
            </w:pPr>
            <w:r w:rsidRPr="00311639">
              <w:rPr>
                <w:sz w:val="24"/>
                <w:szCs w:val="24"/>
              </w:rPr>
              <w:t>Novofem</w:t>
            </w:r>
          </w:p>
        </w:tc>
      </w:tr>
    </w:tbl>
    <w:p w14:paraId="2DD9C989" w14:textId="77777777" w:rsidR="00702C15" w:rsidRPr="00C93530" w:rsidRDefault="00702C15" w:rsidP="00702C15">
      <w:pPr>
        <w:pStyle w:val="Rubrik3"/>
      </w:pPr>
      <w:bookmarkStart w:id="81" w:name="_Hlk103584192"/>
      <w:bookmarkEnd w:id="79"/>
      <w:r w:rsidRPr="00C93530">
        <w:t xml:space="preserve">Fast kombination östrogen/gestagen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246"/>
      </w:tblGrid>
      <w:tr w:rsidR="00702C15" w:rsidRPr="00311639" w14:paraId="10A8B929" w14:textId="77777777" w:rsidTr="00632FCC">
        <w:tc>
          <w:tcPr>
            <w:tcW w:w="4531" w:type="dxa"/>
          </w:tcPr>
          <w:bookmarkEnd w:id="81"/>
          <w:p w14:paraId="17154B56" w14:textId="77777777" w:rsidR="00702C15" w:rsidRPr="00311639" w:rsidRDefault="00702C15" w:rsidP="00632FCC">
            <w:pPr>
              <w:rPr>
                <w:b/>
                <w:sz w:val="24"/>
                <w:szCs w:val="24"/>
                <w:lang w:val="fr-FR"/>
              </w:rPr>
            </w:pPr>
            <w:r w:rsidRPr="00311639">
              <w:rPr>
                <w:b/>
                <w:sz w:val="24"/>
                <w:szCs w:val="24"/>
                <w:lang w:val="fr-FR"/>
              </w:rPr>
              <w:t>noretisteron + estradiol</w:t>
            </w:r>
          </w:p>
        </w:tc>
        <w:tc>
          <w:tcPr>
            <w:tcW w:w="4246" w:type="dxa"/>
          </w:tcPr>
          <w:p w14:paraId="26F7EF6C" w14:textId="77777777" w:rsidR="00702C15" w:rsidRPr="00311639" w:rsidRDefault="00702C15" w:rsidP="00632FCC">
            <w:pPr>
              <w:rPr>
                <w:b/>
                <w:sz w:val="24"/>
                <w:szCs w:val="24"/>
                <w:lang w:val="fr-FR"/>
              </w:rPr>
            </w:pPr>
            <w:r w:rsidRPr="00311639">
              <w:rPr>
                <w:sz w:val="24"/>
                <w:szCs w:val="24"/>
                <w:lang w:val="fr-FR"/>
              </w:rPr>
              <w:t>Activelle</w:t>
            </w:r>
          </w:p>
        </w:tc>
      </w:tr>
      <w:tr w:rsidR="00702C15" w:rsidRPr="00311639" w14:paraId="5C27617B" w14:textId="77777777" w:rsidTr="00632FCC">
        <w:tc>
          <w:tcPr>
            <w:tcW w:w="4531" w:type="dxa"/>
          </w:tcPr>
          <w:p w14:paraId="33D412D7" w14:textId="77777777" w:rsidR="00702C15" w:rsidRPr="00311639" w:rsidRDefault="00702C15" w:rsidP="00632FCC">
            <w:pPr>
              <w:rPr>
                <w:b/>
                <w:sz w:val="24"/>
                <w:szCs w:val="24"/>
                <w:lang w:val="fr-FR"/>
              </w:rPr>
            </w:pPr>
            <w:r w:rsidRPr="00311639">
              <w:rPr>
                <w:b/>
                <w:sz w:val="24"/>
                <w:szCs w:val="24"/>
                <w:lang w:val="fr-FR"/>
              </w:rPr>
              <w:t>medroxiprogesteron + estradiol</w:t>
            </w:r>
          </w:p>
        </w:tc>
        <w:tc>
          <w:tcPr>
            <w:tcW w:w="4246" w:type="dxa"/>
          </w:tcPr>
          <w:p w14:paraId="69E39DBE" w14:textId="77777777" w:rsidR="00702C15" w:rsidRPr="00311639" w:rsidRDefault="00702C15" w:rsidP="00632FCC">
            <w:pPr>
              <w:rPr>
                <w:sz w:val="24"/>
                <w:szCs w:val="24"/>
                <w:lang w:val="fr-FR"/>
              </w:rPr>
            </w:pPr>
            <w:r w:rsidRPr="00311639">
              <w:rPr>
                <w:sz w:val="24"/>
                <w:szCs w:val="24"/>
                <w:lang w:val="fr-FR"/>
              </w:rPr>
              <w:t>Indivina</w:t>
            </w:r>
          </w:p>
        </w:tc>
      </w:tr>
      <w:tr w:rsidR="00702C15" w:rsidRPr="00311639" w14:paraId="6D392E1F" w14:textId="77777777" w:rsidTr="00632FCC">
        <w:tc>
          <w:tcPr>
            <w:tcW w:w="4531" w:type="dxa"/>
          </w:tcPr>
          <w:p w14:paraId="6DD39541" w14:textId="77777777" w:rsidR="00702C15" w:rsidRPr="00311639" w:rsidRDefault="00702C15" w:rsidP="00632FCC">
            <w:pPr>
              <w:rPr>
                <w:b/>
                <w:bCs/>
                <w:sz w:val="24"/>
                <w:szCs w:val="24"/>
              </w:rPr>
            </w:pPr>
            <w:r w:rsidRPr="00311639">
              <w:rPr>
                <w:b/>
                <w:bCs/>
                <w:sz w:val="24"/>
                <w:szCs w:val="24"/>
              </w:rPr>
              <w:t xml:space="preserve">noretisteron + </w:t>
            </w:r>
            <w:r w:rsidRPr="00311639">
              <w:rPr>
                <w:b/>
                <w:sz w:val="24"/>
                <w:szCs w:val="24"/>
              </w:rPr>
              <w:t xml:space="preserve">estradiol </w:t>
            </w:r>
          </w:p>
        </w:tc>
        <w:tc>
          <w:tcPr>
            <w:tcW w:w="4246" w:type="dxa"/>
          </w:tcPr>
          <w:p w14:paraId="6911DC31" w14:textId="77777777" w:rsidR="00702C15" w:rsidRPr="00311639" w:rsidRDefault="00702C15" w:rsidP="00632FCC">
            <w:pPr>
              <w:rPr>
                <w:bCs/>
                <w:sz w:val="24"/>
                <w:szCs w:val="24"/>
                <w:lang w:val="fr-FR"/>
              </w:rPr>
            </w:pPr>
            <w:r w:rsidRPr="00311639">
              <w:rPr>
                <w:bCs/>
                <w:sz w:val="24"/>
                <w:szCs w:val="24"/>
                <w:lang w:val="fr-FR"/>
              </w:rPr>
              <w:t>Estalis plåster</w:t>
            </w:r>
          </w:p>
        </w:tc>
      </w:tr>
    </w:tbl>
    <w:p w14:paraId="45AB51CC" w14:textId="77777777" w:rsidR="00702C15" w:rsidRPr="00C93530" w:rsidRDefault="00702C15" w:rsidP="00702C15">
      <w:pPr>
        <w:pStyle w:val="Rubrik3"/>
      </w:pPr>
      <w:r w:rsidRPr="00C93530">
        <w:t>Östrogen</w:t>
      </w:r>
    </w:p>
    <w:p w14:paraId="586DE6BC" w14:textId="77777777" w:rsidR="00702C15" w:rsidRPr="00E575CA" w:rsidRDefault="00702C15" w:rsidP="00702C15">
      <w:pPr>
        <w:rPr>
          <w:b/>
        </w:rPr>
      </w:pPr>
      <w:r w:rsidRPr="00E575CA">
        <w:rPr>
          <w:sz w:val="24"/>
          <w:szCs w:val="24"/>
        </w:rPr>
        <w:t xml:space="preserve">Om livmodern </w:t>
      </w:r>
      <w:r w:rsidRPr="00E575CA">
        <w:rPr>
          <w:sz w:val="24"/>
          <w:szCs w:val="24"/>
          <w:u w:val="single"/>
        </w:rPr>
        <w:t>inte</w:t>
      </w:r>
      <w:r w:rsidRPr="00E575CA">
        <w:rPr>
          <w:sz w:val="24"/>
          <w:szCs w:val="24"/>
        </w:rPr>
        <w:t xml:space="preserve"> finns kvar, ges enbart östrogen utan gestagentillägg.</w:t>
      </w:r>
      <w:r w:rsidRPr="00E575CA">
        <w:rPr>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702C15" w:rsidRPr="00311639" w14:paraId="74F2F5A7" w14:textId="77777777" w:rsidTr="00632FCC">
        <w:tc>
          <w:tcPr>
            <w:tcW w:w="4536" w:type="dxa"/>
          </w:tcPr>
          <w:p w14:paraId="0B399C28" w14:textId="77777777" w:rsidR="00702C15" w:rsidRPr="00311639" w:rsidRDefault="00702C15" w:rsidP="00632FCC">
            <w:pPr>
              <w:rPr>
                <w:b/>
                <w:sz w:val="24"/>
                <w:szCs w:val="24"/>
              </w:rPr>
            </w:pPr>
            <w:r w:rsidRPr="00311639">
              <w:rPr>
                <w:b/>
                <w:sz w:val="24"/>
                <w:szCs w:val="24"/>
              </w:rPr>
              <w:t>estradiol</w:t>
            </w:r>
          </w:p>
        </w:tc>
        <w:tc>
          <w:tcPr>
            <w:tcW w:w="4536" w:type="dxa"/>
          </w:tcPr>
          <w:p w14:paraId="3C28668D" w14:textId="77777777" w:rsidR="00702C15" w:rsidRPr="00311639" w:rsidRDefault="00702C15" w:rsidP="00632FCC">
            <w:pPr>
              <w:rPr>
                <w:b/>
                <w:sz w:val="24"/>
                <w:szCs w:val="24"/>
              </w:rPr>
            </w:pPr>
            <w:r w:rsidRPr="00311639">
              <w:rPr>
                <w:sz w:val="24"/>
                <w:szCs w:val="24"/>
              </w:rPr>
              <w:t>1 Femanest</w:t>
            </w:r>
            <w:r w:rsidRPr="00311639">
              <w:rPr>
                <w:sz w:val="24"/>
                <w:szCs w:val="24"/>
              </w:rPr>
              <w:br/>
              <w:t>2 Estradot plåster</w:t>
            </w:r>
          </w:p>
        </w:tc>
      </w:tr>
    </w:tbl>
    <w:p w14:paraId="27C6FDFB" w14:textId="77777777" w:rsidR="00702C15" w:rsidRDefault="00702C15" w:rsidP="00702C15">
      <w:pPr>
        <w:rPr>
          <w:sz w:val="24"/>
          <w:szCs w:val="24"/>
        </w:rPr>
      </w:pPr>
      <w:r>
        <w:rPr>
          <w:sz w:val="24"/>
          <w:szCs w:val="24"/>
        </w:rPr>
        <w:br/>
      </w:r>
      <w:r w:rsidRPr="00E575CA">
        <w:rPr>
          <w:sz w:val="24"/>
          <w:szCs w:val="24"/>
        </w:rPr>
        <w:t xml:space="preserve">Ett alternativ till östrogentabletter och -plåster kan vara Divigel transdermal gel med systemisk effekt. För administreringssätt, var god se FASS. </w:t>
      </w:r>
    </w:p>
    <w:p w14:paraId="180A58D5" w14:textId="77777777" w:rsidR="00702C15" w:rsidRPr="00C93530" w:rsidRDefault="00702C15" w:rsidP="00702C15">
      <w:pPr>
        <w:pStyle w:val="Rubrik3"/>
      </w:pPr>
      <w:r w:rsidRPr="00F06DAC">
        <w:lastRenderedPageBreak/>
        <w:t>Gestagentillägg</w:t>
      </w:r>
    </w:p>
    <w:tbl>
      <w:tblPr>
        <w:tblStyle w:val="RegionBlekinge-medlinjer"/>
        <w:tblW w:w="0" w:type="auto"/>
        <w:tblLook w:val="04A0" w:firstRow="1" w:lastRow="0" w:firstColumn="1" w:lastColumn="0" w:noHBand="0" w:noVBand="1"/>
      </w:tblPr>
      <w:tblGrid>
        <w:gridCol w:w="4531"/>
        <w:gridCol w:w="4536"/>
      </w:tblGrid>
      <w:tr w:rsidR="00702C15" w:rsidRPr="00311639" w14:paraId="19B9B841" w14:textId="77777777" w:rsidTr="0063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FFEA444" w14:textId="77777777" w:rsidR="00702C15" w:rsidRPr="00311639" w:rsidRDefault="00702C15" w:rsidP="00632FCC">
            <w:pPr>
              <w:rPr>
                <w:sz w:val="24"/>
                <w:szCs w:val="24"/>
              </w:rPr>
            </w:pPr>
            <w:r w:rsidRPr="00311639">
              <w:rPr>
                <w:sz w:val="24"/>
                <w:szCs w:val="24"/>
                <w:lang w:val="fr-FR"/>
              </w:rPr>
              <w:t>medroxiprogesteron</w:t>
            </w:r>
          </w:p>
        </w:tc>
        <w:tc>
          <w:tcPr>
            <w:tcW w:w="4536" w:type="dxa"/>
          </w:tcPr>
          <w:p w14:paraId="46F0AA15" w14:textId="77777777" w:rsidR="00702C15" w:rsidRPr="00311639" w:rsidRDefault="00702C15" w:rsidP="00632FCC">
            <w:pPr>
              <w:cnfStyle w:val="100000000000" w:firstRow="1" w:lastRow="0" w:firstColumn="0" w:lastColumn="0" w:oddVBand="0" w:evenVBand="0" w:oddHBand="0" w:evenHBand="0" w:firstRowFirstColumn="0" w:firstRowLastColumn="0" w:lastRowFirstColumn="0" w:lastRowLastColumn="0"/>
              <w:rPr>
                <w:b w:val="0"/>
                <w:bCs/>
                <w:sz w:val="24"/>
                <w:szCs w:val="24"/>
              </w:rPr>
            </w:pPr>
            <w:r w:rsidRPr="00311639">
              <w:rPr>
                <w:b w:val="0"/>
                <w:bCs/>
                <w:sz w:val="24"/>
                <w:szCs w:val="24"/>
                <w:lang w:val="fr-FR"/>
              </w:rPr>
              <w:t>Provera</w:t>
            </w:r>
          </w:p>
        </w:tc>
      </w:tr>
      <w:tr w:rsidR="00702C15" w:rsidRPr="00311639" w14:paraId="76313A00" w14:textId="77777777" w:rsidTr="00632FCC">
        <w:tc>
          <w:tcPr>
            <w:cnfStyle w:val="001000000000" w:firstRow="0" w:lastRow="0" w:firstColumn="1" w:lastColumn="0" w:oddVBand="0" w:evenVBand="0" w:oddHBand="0" w:evenHBand="0" w:firstRowFirstColumn="0" w:firstRowLastColumn="0" w:lastRowFirstColumn="0" w:lastRowLastColumn="0"/>
            <w:tcW w:w="4531" w:type="dxa"/>
          </w:tcPr>
          <w:p w14:paraId="04DE5A2D" w14:textId="77777777" w:rsidR="00702C15" w:rsidRPr="00311639" w:rsidRDefault="00702C15" w:rsidP="00632FCC">
            <w:pPr>
              <w:rPr>
                <w:sz w:val="24"/>
                <w:szCs w:val="24"/>
              </w:rPr>
            </w:pPr>
            <w:r w:rsidRPr="00311639">
              <w:rPr>
                <w:sz w:val="24"/>
                <w:szCs w:val="24"/>
                <w:lang w:val="fr-FR"/>
              </w:rPr>
              <w:t>levonorgestrel</w:t>
            </w:r>
          </w:p>
        </w:tc>
        <w:tc>
          <w:tcPr>
            <w:tcW w:w="4536" w:type="dxa"/>
          </w:tcPr>
          <w:p w14:paraId="61362B8A" w14:textId="77777777" w:rsidR="00702C15" w:rsidRPr="00311639" w:rsidRDefault="00702C15" w:rsidP="00632FCC">
            <w:pPr>
              <w:cnfStyle w:val="000000000000" w:firstRow="0" w:lastRow="0" w:firstColumn="0" w:lastColumn="0" w:oddVBand="0" w:evenVBand="0" w:oddHBand="0" w:evenHBand="0" w:firstRowFirstColumn="0" w:firstRowLastColumn="0" w:lastRowFirstColumn="0" w:lastRowLastColumn="0"/>
              <w:rPr>
                <w:sz w:val="24"/>
                <w:szCs w:val="24"/>
              </w:rPr>
            </w:pPr>
            <w:r w:rsidRPr="00311639">
              <w:rPr>
                <w:sz w:val="24"/>
                <w:szCs w:val="24"/>
                <w:lang w:val="fr-FR"/>
              </w:rPr>
              <w:t>Mirena</w:t>
            </w:r>
            <w:r>
              <w:rPr>
                <w:sz w:val="24"/>
                <w:szCs w:val="24"/>
                <w:lang w:val="fr-FR"/>
              </w:rPr>
              <w:t xml:space="preserve"> spiral</w:t>
            </w:r>
          </w:p>
        </w:tc>
      </w:tr>
    </w:tbl>
    <w:p w14:paraId="598B0F47" w14:textId="77777777" w:rsidR="00702C15" w:rsidRPr="00C93530" w:rsidRDefault="00702C15" w:rsidP="00702C15"/>
    <w:p w14:paraId="46D60B9B" w14:textId="77777777" w:rsidR="00702C15" w:rsidRDefault="00702C15" w:rsidP="00702C15">
      <w:pPr>
        <w:rPr>
          <w:b/>
          <w:lang w:val="fr-FR"/>
        </w:rPr>
      </w:pPr>
    </w:p>
    <w:p w14:paraId="1C8819F8" w14:textId="77777777" w:rsidR="00702C15" w:rsidRPr="00C93530" w:rsidRDefault="00702C15" w:rsidP="00702C15">
      <w:pPr>
        <w:rPr>
          <w:rFonts w:asciiTheme="minorHAnsi" w:hAnsiTheme="minorHAnsi"/>
          <w:b/>
          <w:sz w:val="24"/>
          <w:szCs w:val="24"/>
        </w:rPr>
      </w:pPr>
      <w:r w:rsidRPr="007F3D3C">
        <w:rPr>
          <w:rStyle w:val="Rubrik2Char"/>
        </w:rPr>
        <w:t xml:space="preserve">Behandlingsrekommendationer </w:t>
      </w:r>
      <w:r w:rsidRPr="007F3D3C">
        <w:rPr>
          <w:rStyle w:val="Rubrik2Char"/>
        </w:rPr>
        <w:br/>
      </w:r>
      <w:r>
        <w:br/>
      </w:r>
      <w:r w:rsidRPr="007F3D3C">
        <w:rPr>
          <w:rStyle w:val="Rubrik3Char"/>
        </w:rPr>
        <w:t xml:space="preserve">Östrogen </w:t>
      </w:r>
      <w:r w:rsidRPr="007F3D3C">
        <w:rPr>
          <w:rStyle w:val="Rubrik3Char"/>
        </w:rPr>
        <w:br/>
      </w:r>
    </w:p>
    <w:p w14:paraId="2C58FEB6" w14:textId="77777777" w:rsidR="00702C15" w:rsidRPr="00E575CA" w:rsidRDefault="00702C15" w:rsidP="00702C15">
      <w:pPr>
        <w:pStyle w:val="Liststycke"/>
        <w:numPr>
          <w:ilvl w:val="0"/>
          <w:numId w:val="14"/>
        </w:numPr>
        <w:contextualSpacing/>
        <w:rPr>
          <w:rFonts w:asciiTheme="minorHAnsi" w:hAnsiTheme="minorHAnsi"/>
          <w:b/>
          <w:sz w:val="24"/>
          <w:szCs w:val="24"/>
        </w:rPr>
      </w:pPr>
      <w:r w:rsidRPr="00E575CA">
        <w:rPr>
          <w:rFonts w:asciiTheme="minorHAnsi" w:hAnsiTheme="minorHAnsi"/>
          <w:sz w:val="24"/>
          <w:szCs w:val="24"/>
        </w:rPr>
        <w:t xml:space="preserve">Lägsta effektiva östrogendos ska användas </w:t>
      </w:r>
    </w:p>
    <w:p w14:paraId="6D3047C2" w14:textId="77777777" w:rsidR="00702C15" w:rsidRPr="00AB603F" w:rsidRDefault="00702C15" w:rsidP="00702C15">
      <w:pPr>
        <w:pStyle w:val="Liststycke"/>
        <w:numPr>
          <w:ilvl w:val="0"/>
          <w:numId w:val="14"/>
        </w:numPr>
        <w:tabs>
          <w:tab w:val="clear" w:pos="284"/>
        </w:tabs>
        <w:spacing w:after="120" w:line="260" w:lineRule="atLeast"/>
        <w:contextualSpacing/>
        <w:rPr>
          <w:rFonts w:asciiTheme="minorHAnsi" w:hAnsiTheme="minorHAnsi"/>
          <w:sz w:val="24"/>
          <w:szCs w:val="24"/>
        </w:rPr>
      </w:pPr>
      <w:r w:rsidRPr="00AB603F">
        <w:rPr>
          <w:rFonts w:asciiTheme="minorHAnsi" w:hAnsiTheme="minorHAnsi"/>
          <w:sz w:val="24"/>
          <w:szCs w:val="24"/>
        </w:rPr>
        <w:t xml:space="preserve">Till lågdos räknas: 0,5–1 mg peroralt östradiol alternativt 25–37,5 g transdermalt östradiol </w:t>
      </w:r>
    </w:p>
    <w:p w14:paraId="703DCDCB" w14:textId="77777777" w:rsidR="00702C15" w:rsidRPr="00C93530" w:rsidRDefault="00702C15" w:rsidP="00702C15">
      <w:pPr>
        <w:pStyle w:val="Rubrik3"/>
      </w:pPr>
      <w:r w:rsidRPr="00C93530">
        <w:t xml:space="preserve">Gestagen </w:t>
      </w:r>
      <w:r>
        <w:br/>
      </w:r>
    </w:p>
    <w:p w14:paraId="0E0CC961" w14:textId="77777777" w:rsidR="00702C15" w:rsidRPr="00E575CA" w:rsidRDefault="00702C15" w:rsidP="00702C15">
      <w:pPr>
        <w:pStyle w:val="Liststycke"/>
        <w:numPr>
          <w:ilvl w:val="0"/>
          <w:numId w:val="15"/>
        </w:numPr>
        <w:contextualSpacing/>
        <w:rPr>
          <w:rFonts w:asciiTheme="minorHAnsi" w:hAnsiTheme="minorHAnsi"/>
          <w:b/>
          <w:sz w:val="24"/>
          <w:szCs w:val="24"/>
        </w:rPr>
      </w:pPr>
      <w:r w:rsidRPr="00E575CA">
        <w:rPr>
          <w:rFonts w:asciiTheme="minorHAnsi" w:hAnsiTheme="minorHAnsi"/>
          <w:sz w:val="24"/>
          <w:szCs w:val="24"/>
        </w:rPr>
        <w:t xml:space="preserve">Hos kvinnor som </w:t>
      </w:r>
      <w:r w:rsidRPr="00E575CA">
        <w:rPr>
          <w:rFonts w:asciiTheme="minorHAnsi" w:hAnsiTheme="minorHAnsi"/>
          <w:sz w:val="24"/>
          <w:szCs w:val="24"/>
          <w:u w:val="single"/>
        </w:rPr>
        <w:t>inte</w:t>
      </w:r>
      <w:r w:rsidRPr="00E575CA">
        <w:rPr>
          <w:rFonts w:asciiTheme="minorHAnsi" w:hAnsiTheme="minorHAnsi"/>
          <w:sz w:val="24"/>
          <w:szCs w:val="24"/>
        </w:rPr>
        <w:t xml:space="preserve"> genomgått hysterektomi ska systemisk östrogenbehandling </w:t>
      </w:r>
      <w:r w:rsidRPr="00E575CA">
        <w:rPr>
          <w:rFonts w:asciiTheme="minorHAnsi" w:hAnsiTheme="minorHAnsi"/>
          <w:sz w:val="24"/>
          <w:szCs w:val="24"/>
          <w:u w:val="single"/>
        </w:rPr>
        <w:t>alltid</w:t>
      </w:r>
      <w:r w:rsidRPr="00E575CA">
        <w:rPr>
          <w:rFonts w:asciiTheme="minorHAnsi" w:hAnsiTheme="minorHAnsi"/>
          <w:sz w:val="24"/>
          <w:szCs w:val="24"/>
        </w:rPr>
        <w:t xml:space="preserve"> kombineras med gestagen för endometrieskydd. </w:t>
      </w:r>
    </w:p>
    <w:p w14:paraId="1B963F9E" w14:textId="77777777" w:rsidR="00702C15" w:rsidRPr="00E575CA" w:rsidRDefault="00702C15" w:rsidP="00702C15">
      <w:pPr>
        <w:pStyle w:val="Liststycke"/>
        <w:numPr>
          <w:ilvl w:val="0"/>
          <w:numId w:val="15"/>
        </w:numPr>
        <w:contextualSpacing/>
        <w:rPr>
          <w:rFonts w:asciiTheme="minorHAnsi" w:hAnsiTheme="minorHAnsi"/>
          <w:b/>
          <w:sz w:val="24"/>
          <w:szCs w:val="24"/>
        </w:rPr>
      </w:pPr>
      <w:r w:rsidRPr="00E575CA">
        <w:rPr>
          <w:rFonts w:asciiTheme="minorHAnsi" w:hAnsiTheme="minorHAnsi"/>
          <w:sz w:val="24"/>
          <w:szCs w:val="24"/>
        </w:rPr>
        <w:t xml:space="preserve">Den systemiska effekten av gestagener kan minskas genom utglesningsbehandling (14 dagar var tredje månad) eller hormonspiral. </w:t>
      </w:r>
    </w:p>
    <w:p w14:paraId="6E135EC5" w14:textId="77777777" w:rsidR="00702C15" w:rsidRPr="00E575CA" w:rsidRDefault="00702C15" w:rsidP="00702C15">
      <w:pPr>
        <w:pStyle w:val="Liststycke"/>
        <w:numPr>
          <w:ilvl w:val="0"/>
          <w:numId w:val="15"/>
        </w:numPr>
        <w:contextualSpacing/>
        <w:rPr>
          <w:rFonts w:asciiTheme="minorHAnsi" w:hAnsiTheme="minorHAnsi"/>
          <w:b/>
          <w:sz w:val="24"/>
          <w:szCs w:val="24"/>
        </w:rPr>
      </w:pPr>
      <w:r w:rsidRPr="00E575CA">
        <w:rPr>
          <w:rFonts w:asciiTheme="minorHAnsi" w:hAnsiTheme="minorHAnsi"/>
          <w:sz w:val="24"/>
          <w:szCs w:val="24"/>
        </w:rPr>
        <w:t xml:space="preserve">Val av regim (sekventiell, kontinuerlig kombinerad, utglesningsbehandling, hormonspiral) beror av patientens menopausala status, önskemål och andra individuella ställningstaganden. </w:t>
      </w:r>
    </w:p>
    <w:p w14:paraId="7827AB9E" w14:textId="77777777" w:rsidR="00702C15" w:rsidRPr="00140604" w:rsidRDefault="00702C15" w:rsidP="00702C15">
      <w:pPr>
        <w:pStyle w:val="Liststycke"/>
        <w:numPr>
          <w:ilvl w:val="0"/>
          <w:numId w:val="15"/>
        </w:numPr>
        <w:rPr>
          <w:sz w:val="24"/>
          <w:szCs w:val="24"/>
        </w:rPr>
      </w:pPr>
      <w:r w:rsidRPr="00140604">
        <w:rPr>
          <w:rFonts w:asciiTheme="minorHAnsi" w:hAnsiTheme="minorHAnsi"/>
          <w:sz w:val="24"/>
          <w:szCs w:val="24"/>
        </w:rPr>
        <w:t xml:space="preserve">Biverkningsprofilen bestämmer vilken gestagentyp och vilken regim som bör användas. </w:t>
      </w:r>
    </w:p>
    <w:p w14:paraId="24EFB693" w14:textId="77777777" w:rsidR="00702C15" w:rsidRPr="00140604" w:rsidRDefault="00702C15" w:rsidP="00702C15">
      <w:pPr>
        <w:ind w:left="360"/>
        <w:rPr>
          <w:sz w:val="24"/>
          <w:szCs w:val="24"/>
        </w:rPr>
      </w:pPr>
    </w:p>
    <w:p w14:paraId="1B3BE7B7" w14:textId="77777777" w:rsidR="00702C15" w:rsidRPr="00140604" w:rsidRDefault="00702C15" w:rsidP="00702C15">
      <w:pPr>
        <w:pStyle w:val="Liststycke"/>
        <w:numPr>
          <w:ilvl w:val="0"/>
          <w:numId w:val="15"/>
        </w:numPr>
        <w:rPr>
          <w:sz w:val="24"/>
          <w:szCs w:val="24"/>
        </w:rPr>
      </w:pPr>
      <w:r w:rsidRPr="00140604">
        <w:rPr>
          <w:sz w:val="24"/>
          <w:szCs w:val="24"/>
        </w:rPr>
        <w:t xml:space="preserve">Sekventiell behandling finns i kombinationspreparat i tablettform (Novofem). Om transdermal behandling med östrogen i form av plåster/ gel/ spray används kan gestagen ges sekventiellt per oralt 12 dagar varje månad, t.ex. 10mg Medroxiprogesteronacetat (Provera), alternativ utglesad behandling med 10 mg Provera i 14 dagar 4 gånger om året. </w:t>
      </w:r>
    </w:p>
    <w:p w14:paraId="643527CD" w14:textId="77777777" w:rsidR="00702C15" w:rsidRPr="00140604" w:rsidRDefault="00702C15" w:rsidP="00702C15">
      <w:pPr>
        <w:ind w:left="360"/>
        <w:rPr>
          <w:sz w:val="24"/>
          <w:szCs w:val="24"/>
          <w:highlight w:val="yellow"/>
        </w:rPr>
      </w:pPr>
    </w:p>
    <w:p w14:paraId="7A414824" w14:textId="79B16B56" w:rsidR="00702C15" w:rsidRPr="00E44C17" w:rsidRDefault="00702C15" w:rsidP="00E44C17">
      <w:pPr>
        <w:pStyle w:val="Liststycke"/>
        <w:numPr>
          <w:ilvl w:val="0"/>
          <w:numId w:val="15"/>
        </w:numPr>
        <w:contextualSpacing/>
        <w:rPr>
          <w:rFonts w:asciiTheme="minorHAnsi" w:hAnsiTheme="minorHAnsi"/>
          <w:sz w:val="24"/>
          <w:szCs w:val="24"/>
        </w:rPr>
      </w:pPr>
      <w:r w:rsidRPr="00140604">
        <w:rPr>
          <w:sz w:val="24"/>
          <w:szCs w:val="24"/>
        </w:rPr>
        <w:t>Kontinuerlig behandling med kombinationspreparat finns i form av tabletter eller plåster. Det kan också uppnås av att kombinera transdermalt östrogen med per oralt gestagen t.ex. Medroxiprogesteronacetat (Provera) 2,5 eller 5 mg dagligen beroende på östrogendos. Mirenaspiral kan användas som endometrieskydd oavsett om patienten fortfarande menstruerar eller inte, men spiralen får inte vara äldre än 5 år.</w:t>
      </w:r>
    </w:p>
    <w:p w14:paraId="35797874" w14:textId="77777777" w:rsidR="00702C15" w:rsidRPr="00C93530" w:rsidRDefault="00702C15" w:rsidP="00702C15">
      <w:pPr>
        <w:pStyle w:val="Rubrik3"/>
      </w:pPr>
      <w:r w:rsidRPr="00C93530">
        <w:t xml:space="preserve">Initiering av behandling </w:t>
      </w:r>
      <w:r>
        <w:br/>
      </w:r>
    </w:p>
    <w:p w14:paraId="100EB8DC" w14:textId="77777777" w:rsidR="00702C15" w:rsidRPr="00E575CA" w:rsidRDefault="00702C15" w:rsidP="00702C15">
      <w:pPr>
        <w:pStyle w:val="Liststycke"/>
        <w:numPr>
          <w:ilvl w:val="0"/>
          <w:numId w:val="15"/>
        </w:numPr>
        <w:contextualSpacing/>
        <w:rPr>
          <w:rFonts w:asciiTheme="minorHAnsi" w:hAnsiTheme="minorHAnsi"/>
          <w:sz w:val="24"/>
          <w:szCs w:val="24"/>
        </w:rPr>
      </w:pPr>
      <w:r w:rsidRPr="00E575CA">
        <w:rPr>
          <w:rFonts w:asciiTheme="minorHAnsi" w:hAnsiTheme="minorHAnsi"/>
          <w:sz w:val="24"/>
          <w:szCs w:val="24"/>
        </w:rPr>
        <w:t xml:space="preserve">Patienten skall ges noggrann information om för- och nackdelar med hormonbehandling för att kunna ta ställning till om hon skall inleda behandling eller ej. </w:t>
      </w:r>
    </w:p>
    <w:p w14:paraId="1FD684AC" w14:textId="77777777" w:rsidR="00702C15" w:rsidRPr="00E575CA" w:rsidRDefault="00702C15" w:rsidP="00702C15">
      <w:pPr>
        <w:pStyle w:val="Liststycke"/>
        <w:numPr>
          <w:ilvl w:val="0"/>
          <w:numId w:val="15"/>
        </w:numPr>
        <w:contextualSpacing/>
        <w:rPr>
          <w:rFonts w:asciiTheme="minorHAnsi" w:hAnsiTheme="minorHAnsi"/>
          <w:sz w:val="24"/>
          <w:szCs w:val="24"/>
        </w:rPr>
      </w:pPr>
      <w:r w:rsidRPr="00E575CA">
        <w:rPr>
          <w:rFonts w:asciiTheme="minorHAnsi" w:hAnsiTheme="minorHAnsi"/>
          <w:sz w:val="24"/>
          <w:szCs w:val="24"/>
        </w:rPr>
        <w:t xml:space="preserve">Startdosen bör individualiseras utifrån kvinnans ålder och symptomintensitet. </w:t>
      </w:r>
      <w:r w:rsidRPr="00E575CA">
        <w:rPr>
          <w:rFonts w:asciiTheme="minorHAnsi" w:hAnsiTheme="minorHAnsi"/>
          <w:sz w:val="24"/>
          <w:szCs w:val="24"/>
        </w:rPr>
        <w:br/>
        <w:t xml:space="preserve">Om otillräcklig behandlingseffekt – öka dosen. </w:t>
      </w:r>
    </w:p>
    <w:p w14:paraId="03AC8F88" w14:textId="77777777" w:rsidR="00702C15" w:rsidRPr="00E575CA" w:rsidRDefault="00702C15" w:rsidP="00702C15">
      <w:pPr>
        <w:pStyle w:val="Liststycke"/>
        <w:numPr>
          <w:ilvl w:val="0"/>
          <w:numId w:val="15"/>
        </w:numPr>
        <w:contextualSpacing/>
        <w:rPr>
          <w:rFonts w:asciiTheme="minorHAnsi" w:hAnsiTheme="minorHAnsi"/>
          <w:sz w:val="24"/>
          <w:szCs w:val="24"/>
        </w:rPr>
      </w:pPr>
      <w:bookmarkStart w:id="82" w:name="_Hlk115934171"/>
      <w:r w:rsidRPr="00E575CA">
        <w:rPr>
          <w:rFonts w:asciiTheme="minorHAnsi" w:hAnsiTheme="minorHAnsi"/>
          <w:sz w:val="24"/>
          <w:szCs w:val="24"/>
        </w:rPr>
        <w:t xml:space="preserve">Om tidigare svåra PMS-besvär – planera för utglesning av gestagenperioderna så tidigt </w:t>
      </w:r>
      <w:r w:rsidRPr="00E575CA">
        <w:rPr>
          <w:rFonts w:asciiTheme="minorHAnsi" w:hAnsiTheme="minorHAnsi"/>
          <w:sz w:val="24"/>
          <w:szCs w:val="24"/>
        </w:rPr>
        <w:br/>
        <w:t xml:space="preserve">som möjligt till maximalt tre månader. </w:t>
      </w:r>
    </w:p>
    <w:bookmarkEnd w:id="82"/>
    <w:p w14:paraId="0E0B0E1B" w14:textId="77777777" w:rsidR="00702C15" w:rsidRPr="00E575CA" w:rsidRDefault="00702C15" w:rsidP="00702C15">
      <w:pPr>
        <w:pStyle w:val="Liststycke"/>
        <w:numPr>
          <w:ilvl w:val="0"/>
          <w:numId w:val="15"/>
        </w:numPr>
        <w:contextualSpacing/>
        <w:rPr>
          <w:rFonts w:asciiTheme="minorHAnsi" w:hAnsiTheme="minorHAnsi"/>
          <w:sz w:val="24"/>
          <w:szCs w:val="24"/>
        </w:rPr>
      </w:pPr>
      <w:r w:rsidRPr="00E575CA">
        <w:rPr>
          <w:rFonts w:asciiTheme="minorHAnsi" w:hAnsiTheme="minorHAnsi"/>
          <w:sz w:val="24"/>
          <w:szCs w:val="24"/>
        </w:rPr>
        <w:lastRenderedPageBreak/>
        <w:t xml:space="preserve">Före insättning ska blodtryck kontrolleras och gynekologisk undersökning utföras </w:t>
      </w:r>
      <w:r>
        <w:rPr>
          <w:rFonts w:asciiTheme="minorHAnsi" w:hAnsiTheme="minorHAnsi"/>
          <w:sz w:val="24"/>
          <w:szCs w:val="24"/>
        </w:rPr>
        <w:br/>
      </w:r>
      <w:r w:rsidRPr="00E575CA">
        <w:rPr>
          <w:rFonts w:asciiTheme="minorHAnsi" w:hAnsiTheme="minorHAnsi"/>
          <w:sz w:val="24"/>
          <w:szCs w:val="24"/>
        </w:rPr>
        <w:t xml:space="preserve">vid symptom. </w:t>
      </w:r>
    </w:p>
    <w:p w14:paraId="5928D00A" w14:textId="77777777" w:rsidR="00702C15" w:rsidRPr="00E575CA" w:rsidRDefault="00702C15" w:rsidP="00702C15">
      <w:pPr>
        <w:pStyle w:val="Liststycke"/>
        <w:numPr>
          <w:ilvl w:val="0"/>
          <w:numId w:val="15"/>
        </w:numPr>
        <w:contextualSpacing/>
        <w:rPr>
          <w:rFonts w:asciiTheme="minorHAnsi" w:hAnsiTheme="minorHAnsi"/>
          <w:sz w:val="24"/>
          <w:szCs w:val="24"/>
        </w:rPr>
      </w:pPr>
      <w:r w:rsidRPr="00E575CA">
        <w:rPr>
          <w:rFonts w:asciiTheme="minorHAnsi" w:hAnsiTheme="minorHAnsi"/>
          <w:sz w:val="24"/>
          <w:szCs w:val="24"/>
        </w:rPr>
        <w:t xml:space="preserve">Ta ställning till om interkurrenta sjukdomar kan öka riskerna för komplikationer </w:t>
      </w:r>
      <w:r>
        <w:rPr>
          <w:rFonts w:asciiTheme="minorHAnsi" w:hAnsiTheme="minorHAnsi"/>
          <w:sz w:val="24"/>
          <w:szCs w:val="24"/>
        </w:rPr>
        <w:br/>
      </w:r>
      <w:r w:rsidRPr="00E575CA">
        <w:rPr>
          <w:rFonts w:asciiTheme="minorHAnsi" w:hAnsiTheme="minorHAnsi"/>
          <w:sz w:val="24"/>
          <w:szCs w:val="24"/>
        </w:rPr>
        <w:t xml:space="preserve">vid hormonbehandling. </w:t>
      </w:r>
    </w:p>
    <w:p w14:paraId="0DC1EC3F" w14:textId="77777777" w:rsidR="00702C15" w:rsidRDefault="00702C15" w:rsidP="00702C15">
      <w:pPr>
        <w:pStyle w:val="Liststycke"/>
        <w:numPr>
          <w:ilvl w:val="0"/>
          <w:numId w:val="15"/>
        </w:numPr>
        <w:tabs>
          <w:tab w:val="clear" w:pos="284"/>
        </w:tabs>
        <w:spacing w:after="120" w:line="260" w:lineRule="atLeast"/>
        <w:contextualSpacing/>
        <w:rPr>
          <w:rFonts w:asciiTheme="minorHAnsi" w:hAnsiTheme="minorHAnsi"/>
          <w:sz w:val="24"/>
          <w:szCs w:val="24"/>
        </w:rPr>
      </w:pPr>
      <w:r w:rsidRPr="00311639">
        <w:rPr>
          <w:rFonts w:asciiTheme="minorHAnsi" w:hAnsiTheme="minorHAnsi"/>
          <w:sz w:val="24"/>
          <w:szCs w:val="24"/>
        </w:rPr>
        <w:t>Sedvanliga mammografikontroller ska följas.</w:t>
      </w:r>
    </w:p>
    <w:p w14:paraId="6390F3D8" w14:textId="77777777" w:rsidR="00702C15" w:rsidRDefault="00702C15" w:rsidP="00702C15">
      <w:pPr>
        <w:pStyle w:val="Liststycke"/>
        <w:tabs>
          <w:tab w:val="clear" w:pos="284"/>
        </w:tabs>
        <w:spacing w:after="120" w:line="260" w:lineRule="atLeast"/>
        <w:contextualSpacing/>
        <w:rPr>
          <w:rFonts w:asciiTheme="minorHAnsi" w:hAnsiTheme="minorHAnsi"/>
          <w:sz w:val="24"/>
          <w:szCs w:val="24"/>
        </w:rPr>
      </w:pPr>
    </w:p>
    <w:p w14:paraId="4AE77FD5" w14:textId="77777777" w:rsidR="00702C15" w:rsidRPr="00955D2D" w:rsidRDefault="00702C15" w:rsidP="00702C15">
      <w:pPr>
        <w:tabs>
          <w:tab w:val="clear" w:pos="284"/>
        </w:tabs>
        <w:spacing w:after="120" w:line="260" w:lineRule="atLeast"/>
        <w:rPr>
          <w:rFonts w:asciiTheme="majorHAnsi" w:hAnsiTheme="majorHAnsi"/>
          <w:b/>
          <w:bCs/>
          <w:sz w:val="24"/>
          <w:szCs w:val="24"/>
        </w:rPr>
      </w:pPr>
      <w:r w:rsidRPr="00955D2D">
        <w:rPr>
          <w:rFonts w:asciiTheme="majorHAnsi" w:hAnsiTheme="majorHAnsi"/>
          <w:b/>
          <w:bCs/>
          <w:sz w:val="24"/>
          <w:szCs w:val="24"/>
        </w:rPr>
        <w:t xml:space="preserve">Uppföljning och avslutande av behandling </w:t>
      </w:r>
      <w:r w:rsidRPr="00955D2D">
        <w:rPr>
          <w:rFonts w:asciiTheme="majorHAnsi" w:hAnsiTheme="majorHAnsi"/>
          <w:b/>
          <w:bCs/>
          <w:sz w:val="24"/>
          <w:szCs w:val="24"/>
        </w:rPr>
        <w:br/>
      </w:r>
    </w:p>
    <w:p w14:paraId="2E1FEA78" w14:textId="77777777" w:rsidR="00702C15" w:rsidRPr="00E575CA" w:rsidRDefault="00702C15" w:rsidP="00702C15">
      <w:pPr>
        <w:pStyle w:val="Liststycke"/>
        <w:numPr>
          <w:ilvl w:val="0"/>
          <w:numId w:val="16"/>
        </w:numPr>
        <w:contextualSpacing/>
        <w:rPr>
          <w:rFonts w:asciiTheme="minorHAnsi" w:hAnsiTheme="minorHAnsi" w:cs="Arial"/>
          <w:b/>
          <w:spacing w:val="8"/>
          <w:sz w:val="24"/>
          <w:szCs w:val="24"/>
        </w:rPr>
      </w:pPr>
      <w:r w:rsidRPr="00E575CA">
        <w:rPr>
          <w:rFonts w:asciiTheme="minorHAnsi" w:hAnsiTheme="minorHAnsi"/>
          <w:sz w:val="24"/>
          <w:szCs w:val="24"/>
        </w:rPr>
        <w:t xml:space="preserve">Kontroller bör tillgodoses för utvärdering av behandlingseffekt och för att ge utrymme åt diskussion om utsättningsförsök. </w:t>
      </w:r>
    </w:p>
    <w:p w14:paraId="1972BA23" w14:textId="77777777" w:rsidR="00702C15" w:rsidRPr="00E575CA" w:rsidRDefault="00702C15" w:rsidP="00702C15">
      <w:pPr>
        <w:pStyle w:val="Liststycke"/>
        <w:numPr>
          <w:ilvl w:val="0"/>
          <w:numId w:val="16"/>
        </w:numPr>
        <w:contextualSpacing/>
        <w:rPr>
          <w:rFonts w:asciiTheme="minorHAnsi" w:hAnsiTheme="minorHAnsi" w:cs="Arial"/>
          <w:b/>
          <w:spacing w:val="8"/>
          <w:sz w:val="24"/>
          <w:szCs w:val="24"/>
        </w:rPr>
      </w:pPr>
      <w:r w:rsidRPr="00E575CA">
        <w:rPr>
          <w:rFonts w:asciiTheme="minorHAnsi" w:hAnsiTheme="minorHAnsi"/>
          <w:sz w:val="24"/>
          <w:szCs w:val="24"/>
        </w:rPr>
        <w:t xml:space="preserve">Vasomotorsymptomen varar i medeltal i drygt 5 år. För en frisk patient utan kontraindikationer överväger nyttan de eventuella riskerna inom denna tidsram. </w:t>
      </w:r>
    </w:p>
    <w:p w14:paraId="615BA190" w14:textId="77777777" w:rsidR="00702C15" w:rsidRPr="00E575CA" w:rsidRDefault="00702C15" w:rsidP="00702C15">
      <w:pPr>
        <w:pStyle w:val="Liststycke"/>
        <w:numPr>
          <w:ilvl w:val="0"/>
          <w:numId w:val="16"/>
        </w:numPr>
        <w:contextualSpacing/>
        <w:rPr>
          <w:rFonts w:asciiTheme="minorHAnsi" w:hAnsiTheme="minorHAnsi" w:cs="Arial"/>
          <w:b/>
          <w:spacing w:val="8"/>
          <w:sz w:val="24"/>
          <w:szCs w:val="24"/>
        </w:rPr>
      </w:pPr>
      <w:r w:rsidRPr="00E575CA">
        <w:rPr>
          <w:rFonts w:asciiTheme="minorHAnsi" w:hAnsiTheme="minorHAnsi"/>
          <w:sz w:val="24"/>
          <w:szCs w:val="24"/>
        </w:rPr>
        <w:t xml:space="preserve">Slentrianmässig förlängning av behandling bör undvikas och enda sättet att bedöma fortsatt behov är att patienten gör behandlingsuppehåll. </w:t>
      </w:r>
    </w:p>
    <w:p w14:paraId="1351EAC8" w14:textId="77777777" w:rsidR="00702C15" w:rsidRPr="00E575CA" w:rsidRDefault="00702C15" w:rsidP="00702C15">
      <w:pPr>
        <w:pStyle w:val="Liststycke"/>
        <w:numPr>
          <w:ilvl w:val="0"/>
          <w:numId w:val="16"/>
        </w:numPr>
        <w:contextualSpacing/>
        <w:rPr>
          <w:rFonts w:asciiTheme="minorHAnsi" w:hAnsiTheme="minorHAnsi"/>
          <w:sz w:val="24"/>
          <w:szCs w:val="24"/>
        </w:rPr>
      </w:pPr>
      <w:r w:rsidRPr="00E575CA">
        <w:rPr>
          <w:rFonts w:asciiTheme="minorHAnsi" w:hAnsiTheme="minorHAnsi"/>
          <w:sz w:val="24"/>
          <w:szCs w:val="24"/>
        </w:rPr>
        <w:t xml:space="preserve">Vid utsättning av behandling finns det inget stöd för att nedtrappning jämfört med abrupt avslutande skulle vara mer fördelaktigt. </w:t>
      </w:r>
    </w:p>
    <w:p w14:paraId="48A8A97C" w14:textId="77777777" w:rsidR="00702C15" w:rsidRPr="00C93530" w:rsidRDefault="00702C15" w:rsidP="00702C15">
      <w:pPr>
        <w:pStyle w:val="Rubrik3"/>
      </w:pPr>
      <w:r w:rsidRPr="00C93530">
        <w:t>Biverkningar</w:t>
      </w:r>
      <w:r>
        <w:br/>
      </w:r>
    </w:p>
    <w:p w14:paraId="097AE80C" w14:textId="77777777" w:rsidR="00702C15" w:rsidRPr="00E575CA" w:rsidRDefault="00702C15" w:rsidP="00702C15">
      <w:pPr>
        <w:pStyle w:val="Liststycke"/>
        <w:numPr>
          <w:ilvl w:val="0"/>
          <w:numId w:val="16"/>
        </w:numPr>
        <w:contextualSpacing/>
        <w:rPr>
          <w:rFonts w:asciiTheme="minorHAnsi" w:hAnsiTheme="minorHAnsi"/>
          <w:sz w:val="24"/>
          <w:szCs w:val="24"/>
        </w:rPr>
      </w:pPr>
      <w:r w:rsidRPr="00E575CA">
        <w:rPr>
          <w:rFonts w:asciiTheme="minorHAnsi" w:hAnsiTheme="minorHAnsi"/>
          <w:sz w:val="24"/>
          <w:szCs w:val="24"/>
        </w:rPr>
        <w:t xml:space="preserve">Vanliga biverkningar av hormonbehandling är bröstspänning, huvudvärk, illamående, </w:t>
      </w:r>
      <w:r w:rsidRPr="00E575CA">
        <w:rPr>
          <w:rFonts w:asciiTheme="minorHAnsi" w:hAnsiTheme="minorHAnsi"/>
          <w:sz w:val="24"/>
          <w:szCs w:val="24"/>
        </w:rPr>
        <w:br/>
        <w:t xml:space="preserve">svullnadskänsla och humörpåverkan. Dessa biverkningar kan vara relaterade till antingen östrogen- eller gestagenkomponenten, eller både och. Biverkningarna är ofta övergående och försvinner då inom tre månader. </w:t>
      </w:r>
    </w:p>
    <w:p w14:paraId="4B24BA59" w14:textId="77777777" w:rsidR="00702C15" w:rsidRPr="00E575CA" w:rsidRDefault="00702C15" w:rsidP="00702C15">
      <w:pPr>
        <w:pStyle w:val="Liststycke"/>
        <w:numPr>
          <w:ilvl w:val="0"/>
          <w:numId w:val="16"/>
        </w:numPr>
        <w:contextualSpacing/>
        <w:rPr>
          <w:rFonts w:asciiTheme="minorHAnsi" w:hAnsiTheme="minorHAnsi"/>
          <w:sz w:val="24"/>
          <w:szCs w:val="24"/>
        </w:rPr>
      </w:pPr>
      <w:r w:rsidRPr="00E575CA">
        <w:rPr>
          <w:rFonts w:asciiTheme="minorHAnsi" w:hAnsiTheme="minorHAnsi"/>
          <w:sz w:val="24"/>
          <w:szCs w:val="24"/>
        </w:rPr>
        <w:t xml:space="preserve">Humörbiverkningar av gestagenkomponenten kan kräva ändrad regim. </w:t>
      </w:r>
    </w:p>
    <w:p w14:paraId="5B0DC5B1" w14:textId="77777777" w:rsidR="00702C15" w:rsidRDefault="00702C15" w:rsidP="00702C15">
      <w:pPr>
        <w:pStyle w:val="Liststycke"/>
        <w:numPr>
          <w:ilvl w:val="0"/>
          <w:numId w:val="16"/>
        </w:numPr>
        <w:contextualSpacing/>
        <w:rPr>
          <w:rFonts w:asciiTheme="minorHAnsi" w:hAnsiTheme="minorHAnsi"/>
          <w:sz w:val="24"/>
          <w:szCs w:val="24"/>
        </w:rPr>
      </w:pPr>
      <w:r w:rsidRPr="00E575CA">
        <w:rPr>
          <w:rFonts w:asciiTheme="minorHAnsi" w:hAnsiTheme="minorHAnsi"/>
          <w:sz w:val="24"/>
          <w:szCs w:val="24"/>
        </w:rPr>
        <w:t xml:space="preserve">Viktökning är inte en biverkan av hormonbehandling. </w:t>
      </w:r>
    </w:p>
    <w:p w14:paraId="3A65FD94" w14:textId="77777777" w:rsidR="00702C15" w:rsidRPr="00E43B13" w:rsidRDefault="00702C15" w:rsidP="00702C15">
      <w:pPr>
        <w:pStyle w:val="Rubrik2"/>
      </w:pPr>
      <w:r w:rsidRPr="00E43B13">
        <w:t xml:space="preserve">Risker </w:t>
      </w:r>
    </w:p>
    <w:p w14:paraId="75BDEE47" w14:textId="77777777" w:rsidR="00702C15" w:rsidRPr="00C93530" w:rsidRDefault="00702C15" w:rsidP="00702C15">
      <w:pPr>
        <w:pStyle w:val="Rubrik3"/>
      </w:pPr>
      <w:r w:rsidRPr="00C93530">
        <w:t xml:space="preserve">Hjärt-kärlsjukdom </w:t>
      </w:r>
      <w:r>
        <w:br/>
      </w:r>
    </w:p>
    <w:p w14:paraId="126B1FFE" w14:textId="77777777" w:rsidR="00702C15" w:rsidRDefault="00702C15" w:rsidP="00702C15">
      <w:pPr>
        <w:pStyle w:val="Liststycke"/>
        <w:numPr>
          <w:ilvl w:val="0"/>
          <w:numId w:val="16"/>
        </w:numPr>
        <w:contextualSpacing/>
        <w:rPr>
          <w:rFonts w:asciiTheme="minorHAnsi" w:hAnsiTheme="minorHAnsi"/>
          <w:sz w:val="24"/>
          <w:szCs w:val="24"/>
        </w:rPr>
      </w:pPr>
      <w:r w:rsidRPr="00E575CA">
        <w:rPr>
          <w:rFonts w:asciiTheme="minorHAnsi" w:hAnsiTheme="minorHAnsi"/>
          <w:sz w:val="24"/>
          <w:szCs w:val="24"/>
        </w:rPr>
        <w:t xml:space="preserve">Peroral hormonbehandling ökar risken för venös trombos. Transdermal hormonbehandling förefaller ej vara associerat med ökad risk för venös trombos. Sedvanliga riskfaktorer bör dock beaktas vid förskrivning av såväl peroral som transdermal hormonbehandling. </w:t>
      </w:r>
    </w:p>
    <w:p w14:paraId="32B7130A" w14:textId="77777777" w:rsidR="00702C15" w:rsidRPr="005D308D" w:rsidRDefault="00702C15" w:rsidP="00702C15">
      <w:pPr>
        <w:tabs>
          <w:tab w:val="clear" w:pos="284"/>
        </w:tabs>
        <w:spacing w:after="120" w:line="260" w:lineRule="atLeast"/>
        <w:rPr>
          <w:rFonts w:asciiTheme="minorHAnsi" w:hAnsiTheme="minorHAnsi"/>
          <w:sz w:val="24"/>
          <w:szCs w:val="24"/>
        </w:rPr>
      </w:pPr>
    </w:p>
    <w:p w14:paraId="34623037" w14:textId="77777777" w:rsidR="00702C15" w:rsidRPr="00E575CA" w:rsidRDefault="00702C15" w:rsidP="00702C15">
      <w:pPr>
        <w:pStyle w:val="Liststycke"/>
        <w:numPr>
          <w:ilvl w:val="0"/>
          <w:numId w:val="16"/>
        </w:numPr>
        <w:contextualSpacing/>
        <w:rPr>
          <w:rFonts w:asciiTheme="minorHAnsi" w:hAnsiTheme="minorHAnsi"/>
          <w:sz w:val="24"/>
          <w:szCs w:val="24"/>
        </w:rPr>
      </w:pPr>
      <w:r w:rsidRPr="00E575CA">
        <w:rPr>
          <w:rFonts w:asciiTheme="minorHAnsi" w:hAnsiTheme="minorHAnsi"/>
          <w:sz w:val="24"/>
          <w:szCs w:val="24"/>
        </w:rPr>
        <w:t xml:space="preserve">Hormonbehandling insatt i samband med menopaus minskar risken för kardiovaskulär sjukdom hos friska patienter. Däremot förefaller hormonbehandling till patienter över 60 års ålder eller hos patienter som varit postmenopausala mer än 10 år vara förenad med en initialt ökad risk för kardiovaskulär sjukdom. </w:t>
      </w:r>
    </w:p>
    <w:p w14:paraId="35E06FB2" w14:textId="77777777" w:rsidR="00702C15" w:rsidRPr="00C93530" w:rsidRDefault="00702C15" w:rsidP="00702C15">
      <w:pPr>
        <w:pStyle w:val="Rubrik3"/>
      </w:pPr>
      <w:r w:rsidRPr="00C93530">
        <w:lastRenderedPageBreak/>
        <w:t xml:space="preserve">Bröstcancer </w:t>
      </w:r>
      <w:r>
        <w:br/>
      </w:r>
    </w:p>
    <w:p w14:paraId="7E29BE9A" w14:textId="77777777" w:rsidR="00702C15" w:rsidRPr="00E575CA" w:rsidRDefault="00702C15" w:rsidP="00702C15">
      <w:pPr>
        <w:pStyle w:val="Liststycke"/>
        <w:numPr>
          <w:ilvl w:val="0"/>
          <w:numId w:val="16"/>
        </w:numPr>
        <w:contextualSpacing/>
        <w:rPr>
          <w:rFonts w:asciiTheme="minorHAnsi" w:hAnsiTheme="minorHAnsi"/>
          <w:sz w:val="24"/>
          <w:szCs w:val="24"/>
        </w:rPr>
      </w:pPr>
      <w:r w:rsidRPr="00E575CA">
        <w:rPr>
          <w:rFonts w:asciiTheme="minorHAnsi" w:hAnsiTheme="minorHAnsi"/>
          <w:sz w:val="24"/>
          <w:szCs w:val="24"/>
        </w:rPr>
        <w:t xml:space="preserve">Cirka 5 år eller längre tids hormonbehandling är associerad med en liten men signifikant </w:t>
      </w:r>
      <w:r w:rsidRPr="00E575CA">
        <w:rPr>
          <w:rFonts w:asciiTheme="minorHAnsi" w:hAnsiTheme="minorHAnsi"/>
          <w:sz w:val="24"/>
          <w:szCs w:val="24"/>
        </w:rPr>
        <w:br/>
        <w:t xml:space="preserve">ökad risk för bröstcancer. </w:t>
      </w:r>
    </w:p>
    <w:p w14:paraId="228209F7" w14:textId="77777777" w:rsidR="00702C15" w:rsidRPr="00E575CA" w:rsidRDefault="00702C15" w:rsidP="00702C15">
      <w:pPr>
        <w:pStyle w:val="Liststycke"/>
        <w:numPr>
          <w:ilvl w:val="0"/>
          <w:numId w:val="16"/>
        </w:numPr>
        <w:contextualSpacing/>
        <w:rPr>
          <w:rFonts w:asciiTheme="minorHAnsi" w:hAnsiTheme="minorHAnsi"/>
          <w:sz w:val="24"/>
          <w:szCs w:val="24"/>
        </w:rPr>
      </w:pPr>
      <w:r w:rsidRPr="00E575CA">
        <w:rPr>
          <w:rFonts w:asciiTheme="minorHAnsi" w:hAnsiTheme="minorHAnsi"/>
          <w:sz w:val="24"/>
          <w:szCs w:val="24"/>
        </w:rPr>
        <w:t xml:space="preserve">Kombinerad östrogen-gestagenbehandling trycks ge en större risk för bröstcancer </w:t>
      </w:r>
      <w:r w:rsidRPr="00E575CA">
        <w:rPr>
          <w:rFonts w:asciiTheme="minorHAnsi" w:hAnsiTheme="minorHAnsi"/>
          <w:sz w:val="24"/>
          <w:szCs w:val="24"/>
        </w:rPr>
        <w:br/>
        <w:t xml:space="preserve">jämfört med enbart östrogen. </w:t>
      </w:r>
    </w:p>
    <w:p w14:paraId="71C5117C" w14:textId="77777777" w:rsidR="00702C15" w:rsidRPr="00E575CA" w:rsidRDefault="00702C15" w:rsidP="00702C15">
      <w:pPr>
        <w:pStyle w:val="Liststycke"/>
        <w:numPr>
          <w:ilvl w:val="0"/>
          <w:numId w:val="16"/>
        </w:numPr>
        <w:contextualSpacing/>
        <w:rPr>
          <w:rFonts w:asciiTheme="minorHAnsi" w:hAnsiTheme="minorHAnsi"/>
          <w:sz w:val="24"/>
          <w:szCs w:val="24"/>
        </w:rPr>
      </w:pPr>
      <w:r w:rsidRPr="00E575CA">
        <w:rPr>
          <w:rFonts w:asciiTheme="minorHAnsi" w:hAnsiTheme="minorHAnsi"/>
          <w:sz w:val="24"/>
          <w:szCs w:val="24"/>
        </w:rPr>
        <w:t xml:space="preserve">Huruvida risken för bröstcancer är giltig för alla gestagener som grupp eller om det finns </w:t>
      </w:r>
      <w:r w:rsidRPr="00E575CA">
        <w:rPr>
          <w:rFonts w:asciiTheme="minorHAnsi" w:hAnsiTheme="minorHAnsi"/>
          <w:sz w:val="24"/>
          <w:szCs w:val="24"/>
        </w:rPr>
        <w:br/>
        <w:t xml:space="preserve">alternativa gestagener (dydrogesteron eller naturligt progesteron) utan stimulerande effekt </w:t>
      </w:r>
      <w:r w:rsidRPr="00E575CA">
        <w:rPr>
          <w:rFonts w:asciiTheme="minorHAnsi" w:hAnsiTheme="minorHAnsi"/>
          <w:sz w:val="24"/>
          <w:szCs w:val="24"/>
        </w:rPr>
        <w:br/>
        <w:t xml:space="preserve">på bröstet kvarstår att utreda. </w:t>
      </w:r>
    </w:p>
    <w:p w14:paraId="303CAA33" w14:textId="77777777" w:rsidR="00702C15" w:rsidRPr="00C93530" w:rsidRDefault="00702C15" w:rsidP="00702C15">
      <w:pPr>
        <w:pStyle w:val="Rubrik2"/>
      </w:pPr>
      <w:r w:rsidRPr="00C93530">
        <w:t>Urogenital atrofi</w:t>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1"/>
        <w:gridCol w:w="4536"/>
      </w:tblGrid>
      <w:tr w:rsidR="00702C15" w:rsidRPr="00311639" w14:paraId="13BB498C" w14:textId="77777777" w:rsidTr="00632FCC">
        <w:tc>
          <w:tcPr>
            <w:tcW w:w="4241" w:type="dxa"/>
          </w:tcPr>
          <w:p w14:paraId="225A2C96" w14:textId="77777777" w:rsidR="00702C15" w:rsidRPr="00311639" w:rsidRDefault="00702C15" w:rsidP="00632FCC">
            <w:pPr>
              <w:rPr>
                <w:sz w:val="24"/>
                <w:szCs w:val="24"/>
              </w:rPr>
            </w:pPr>
            <w:r w:rsidRPr="00311639">
              <w:rPr>
                <w:b/>
                <w:sz w:val="24"/>
                <w:szCs w:val="24"/>
              </w:rPr>
              <w:t>estriol</w:t>
            </w:r>
          </w:p>
        </w:tc>
        <w:tc>
          <w:tcPr>
            <w:tcW w:w="4536" w:type="dxa"/>
          </w:tcPr>
          <w:p w14:paraId="786D49F6" w14:textId="77777777" w:rsidR="00702C15" w:rsidRPr="00311639" w:rsidRDefault="00702C15" w:rsidP="00632FCC">
            <w:pPr>
              <w:rPr>
                <w:sz w:val="24"/>
                <w:szCs w:val="24"/>
              </w:rPr>
            </w:pPr>
            <w:r w:rsidRPr="00311639">
              <w:rPr>
                <w:sz w:val="24"/>
                <w:szCs w:val="24"/>
              </w:rPr>
              <w:t>Ovesterin vaginalkräm, vagitorier</w:t>
            </w:r>
          </w:p>
        </w:tc>
      </w:tr>
    </w:tbl>
    <w:p w14:paraId="130137FC" w14:textId="77777777" w:rsidR="00702C15" w:rsidRPr="00E575CA" w:rsidRDefault="00702C15" w:rsidP="00702C15">
      <w:pPr>
        <w:pStyle w:val="Rubrik3"/>
        <w:rPr>
          <w:szCs w:val="24"/>
        </w:rPr>
      </w:pPr>
      <w:r w:rsidRPr="00E433D1">
        <w:t xml:space="preserve">Indikation för lokal östrogenbehandling </w:t>
      </w:r>
      <w:r w:rsidRPr="00E433D1">
        <w:br/>
      </w:r>
    </w:p>
    <w:p w14:paraId="30CD73E6" w14:textId="77777777" w:rsidR="00702C15" w:rsidRPr="00E575CA" w:rsidRDefault="00702C15" w:rsidP="00702C15">
      <w:pPr>
        <w:pStyle w:val="Liststycke"/>
        <w:numPr>
          <w:ilvl w:val="0"/>
          <w:numId w:val="17"/>
        </w:numPr>
        <w:contextualSpacing/>
        <w:rPr>
          <w:rFonts w:asciiTheme="minorHAnsi" w:hAnsiTheme="minorHAnsi"/>
          <w:sz w:val="24"/>
          <w:szCs w:val="24"/>
        </w:rPr>
      </w:pPr>
      <w:r w:rsidRPr="00E575CA">
        <w:rPr>
          <w:rFonts w:asciiTheme="minorHAnsi" w:hAnsiTheme="minorHAnsi"/>
          <w:sz w:val="24"/>
          <w:szCs w:val="24"/>
        </w:rPr>
        <w:t>Torrhetskänsla, sveda och klåda till följd av vaginal atrofi (starkt underlag).</w:t>
      </w:r>
    </w:p>
    <w:p w14:paraId="54E3FE9E" w14:textId="77777777" w:rsidR="00702C15" w:rsidRPr="00E575CA" w:rsidRDefault="00702C15" w:rsidP="00702C15">
      <w:pPr>
        <w:pStyle w:val="Liststycke"/>
        <w:numPr>
          <w:ilvl w:val="0"/>
          <w:numId w:val="17"/>
        </w:numPr>
        <w:contextualSpacing/>
        <w:rPr>
          <w:rFonts w:asciiTheme="minorHAnsi" w:hAnsiTheme="minorHAnsi"/>
          <w:sz w:val="24"/>
          <w:szCs w:val="24"/>
        </w:rPr>
      </w:pPr>
      <w:r w:rsidRPr="00E575CA">
        <w:rPr>
          <w:rFonts w:asciiTheme="minorHAnsi" w:hAnsiTheme="minorHAnsi"/>
          <w:sz w:val="24"/>
          <w:szCs w:val="24"/>
        </w:rPr>
        <w:t>Dyspareuni till följd av vaginal atrofi (starkt underlag).</w:t>
      </w:r>
    </w:p>
    <w:p w14:paraId="49ABD8DA" w14:textId="77777777" w:rsidR="00702C15" w:rsidRPr="00E575CA" w:rsidRDefault="00702C15" w:rsidP="00702C15">
      <w:pPr>
        <w:pStyle w:val="Liststycke"/>
        <w:numPr>
          <w:ilvl w:val="0"/>
          <w:numId w:val="17"/>
        </w:numPr>
        <w:contextualSpacing/>
        <w:rPr>
          <w:rFonts w:asciiTheme="minorHAnsi" w:hAnsiTheme="minorHAnsi"/>
          <w:sz w:val="24"/>
          <w:szCs w:val="24"/>
        </w:rPr>
      </w:pPr>
      <w:r w:rsidRPr="00E575CA">
        <w:rPr>
          <w:rFonts w:asciiTheme="minorHAnsi" w:hAnsiTheme="minorHAnsi"/>
          <w:sz w:val="24"/>
          <w:szCs w:val="24"/>
        </w:rPr>
        <w:t>Överaktiv blåsa och samtidig förekomst av urogenital atrofi (måttligt underlag).</w:t>
      </w:r>
    </w:p>
    <w:p w14:paraId="60AAFAC9" w14:textId="77777777" w:rsidR="00702C15" w:rsidRPr="00E575CA" w:rsidRDefault="00702C15" w:rsidP="00702C15">
      <w:pPr>
        <w:pStyle w:val="Liststycke"/>
        <w:numPr>
          <w:ilvl w:val="0"/>
          <w:numId w:val="17"/>
        </w:numPr>
        <w:contextualSpacing/>
        <w:rPr>
          <w:rFonts w:asciiTheme="minorHAnsi" w:hAnsiTheme="minorHAnsi"/>
          <w:sz w:val="24"/>
          <w:szCs w:val="24"/>
        </w:rPr>
      </w:pPr>
      <w:r w:rsidRPr="00E575CA">
        <w:rPr>
          <w:rFonts w:asciiTheme="minorHAnsi" w:hAnsiTheme="minorHAnsi"/>
          <w:sz w:val="24"/>
          <w:szCs w:val="24"/>
        </w:rPr>
        <w:t>Recidiverande urinvägsinfektioner (begränsat underlag).</w:t>
      </w:r>
    </w:p>
    <w:p w14:paraId="1A63D7D3" w14:textId="77777777" w:rsidR="00702C15" w:rsidRPr="00E575CA" w:rsidRDefault="00702C15" w:rsidP="00702C15">
      <w:pPr>
        <w:rPr>
          <w:rFonts w:asciiTheme="minorHAnsi" w:hAnsiTheme="minorHAnsi"/>
          <w:sz w:val="24"/>
          <w:szCs w:val="24"/>
        </w:rPr>
      </w:pPr>
    </w:p>
    <w:p w14:paraId="035B7539" w14:textId="77777777" w:rsidR="00702C15" w:rsidRPr="00E433D1" w:rsidRDefault="00702C15" w:rsidP="00702C15">
      <w:pPr>
        <w:pStyle w:val="Rubrik3"/>
      </w:pPr>
      <w:r w:rsidRPr="00E433D1">
        <w:t xml:space="preserve">Kontraindikation för lokal östrogenbehandling </w:t>
      </w:r>
    </w:p>
    <w:p w14:paraId="66ACCEB1" w14:textId="77777777" w:rsidR="00702C15" w:rsidRPr="00311639" w:rsidRDefault="00702C15" w:rsidP="00702C15">
      <w:pPr>
        <w:rPr>
          <w:rFonts w:asciiTheme="minorHAnsi" w:hAnsiTheme="minorHAnsi"/>
          <w:sz w:val="24"/>
          <w:szCs w:val="24"/>
        </w:rPr>
      </w:pPr>
      <w:r w:rsidRPr="00311639">
        <w:rPr>
          <w:rFonts w:asciiTheme="minorHAnsi" w:hAnsiTheme="minorHAnsi"/>
          <w:sz w:val="24"/>
          <w:szCs w:val="24"/>
        </w:rPr>
        <w:t xml:space="preserve">Vid adjuvant behandling med aromatashämmare efter genomgången bröstcancer är lokal behandling med östradiolpreparat kontraindicerat. För östriolpreparat gäller särskilt övervägande i samråd med bröstonkolog. </w:t>
      </w:r>
    </w:p>
    <w:p w14:paraId="0E8244FB" w14:textId="77777777" w:rsidR="00702C15" w:rsidRPr="00311639" w:rsidRDefault="00702C15" w:rsidP="00702C15">
      <w:pPr>
        <w:rPr>
          <w:rFonts w:asciiTheme="minorHAnsi" w:hAnsiTheme="minorHAnsi"/>
          <w:sz w:val="24"/>
          <w:szCs w:val="24"/>
        </w:rPr>
      </w:pPr>
    </w:p>
    <w:p w14:paraId="369CFB25" w14:textId="77777777" w:rsidR="00702C15" w:rsidRPr="00311639" w:rsidRDefault="00702C15" w:rsidP="00702C15">
      <w:pPr>
        <w:rPr>
          <w:rFonts w:asciiTheme="minorHAnsi" w:hAnsiTheme="minorHAnsi"/>
          <w:sz w:val="24"/>
          <w:szCs w:val="24"/>
        </w:rPr>
      </w:pPr>
      <w:r w:rsidRPr="00311639">
        <w:rPr>
          <w:rFonts w:asciiTheme="minorHAnsi" w:hAnsiTheme="minorHAnsi"/>
          <w:sz w:val="24"/>
          <w:szCs w:val="24"/>
        </w:rPr>
        <w:t xml:space="preserve">Till kvinnor med enbart lokalatrofiska besvär och ingen indikation för behandling av klimakteriella vasomotor symptom kan behandling ges med lågpotenta östrogener. Med anledning av liten ökad risk för endometriecancer vid peroral behandling rekommenderas i första hand vaginalkräm eller vagitorier (Ovesterin vaginalkräm eller vagitorier). </w:t>
      </w:r>
    </w:p>
    <w:p w14:paraId="3F5B897E" w14:textId="77777777" w:rsidR="00702C15" w:rsidRPr="00766EF6" w:rsidRDefault="00702C15" w:rsidP="00702C15">
      <w:pPr>
        <w:rPr>
          <w:rFonts w:asciiTheme="minorHAnsi" w:hAnsiTheme="minorHAnsi"/>
        </w:rPr>
      </w:pPr>
    </w:p>
    <w:p w14:paraId="35B67274" w14:textId="77777777" w:rsidR="00702C15" w:rsidRDefault="00702C15" w:rsidP="00702C15">
      <w:pPr>
        <w:rPr>
          <w:rFonts w:asciiTheme="minorHAnsi" w:hAnsiTheme="minorHAnsi"/>
          <w:sz w:val="24"/>
          <w:szCs w:val="24"/>
        </w:rPr>
      </w:pPr>
      <w:r w:rsidRPr="00311639">
        <w:rPr>
          <w:rFonts w:asciiTheme="minorHAnsi" w:hAnsiTheme="minorHAnsi"/>
          <w:sz w:val="24"/>
          <w:szCs w:val="24"/>
        </w:rPr>
        <w:t xml:space="preserve">Av kostnadsskäl rekommenderas vid nyförskrivning i första hand östriolpreparat (Ovesterin vaginalkräm, Estriol vagitorier). Estradiol (Vagifem, Vagidonna, Vagirux vaginaltablett samt Oestring) är andrahandsmedel, när oestriol inte fungerar. </w:t>
      </w:r>
    </w:p>
    <w:p w14:paraId="33519127" w14:textId="77777777" w:rsidR="00702C15" w:rsidRDefault="00702C15" w:rsidP="00702C15">
      <w:pPr>
        <w:tabs>
          <w:tab w:val="clear" w:pos="284"/>
        </w:tabs>
        <w:spacing w:after="120" w:line="260" w:lineRule="atLeast"/>
        <w:rPr>
          <w:rFonts w:asciiTheme="minorHAnsi" w:hAnsiTheme="minorHAnsi"/>
          <w:sz w:val="24"/>
          <w:szCs w:val="24"/>
        </w:rPr>
      </w:pPr>
    </w:p>
    <w:p w14:paraId="5B3A43CF" w14:textId="77777777" w:rsidR="00702C15" w:rsidRPr="00311639" w:rsidRDefault="00702C15" w:rsidP="00702C15">
      <w:pPr>
        <w:rPr>
          <w:rFonts w:asciiTheme="minorHAnsi" w:hAnsiTheme="minorHAnsi"/>
          <w:sz w:val="24"/>
          <w:szCs w:val="24"/>
        </w:rPr>
      </w:pPr>
      <w:r w:rsidRPr="00311639">
        <w:rPr>
          <w:rFonts w:asciiTheme="minorHAnsi" w:hAnsiTheme="minorHAnsi"/>
          <w:sz w:val="24"/>
          <w:szCs w:val="24"/>
        </w:rPr>
        <w:t>Ovesterin vaginalkräm, Ovesterin vagitorier, Estriol vagitorier samt den mindre förpackningen av Vagifem och Vagidonna är receptfria.</w:t>
      </w:r>
      <w:r>
        <w:rPr>
          <w:rFonts w:asciiTheme="minorHAnsi" w:hAnsiTheme="minorHAnsi"/>
          <w:sz w:val="24"/>
          <w:szCs w:val="24"/>
        </w:rPr>
        <w:t xml:space="preserve"> </w:t>
      </w:r>
      <w:r w:rsidRPr="00311639">
        <w:rPr>
          <w:rFonts w:asciiTheme="minorHAnsi" w:hAnsiTheme="minorHAnsi"/>
          <w:sz w:val="24"/>
          <w:szCs w:val="24"/>
        </w:rPr>
        <w:t xml:space="preserve">Till bröstcanceropererade finns flera receptfria alternativ tillgängliga: Replens, Vagisan fuktkräm, HyaloFemme med flera. Observera att sortimentet kan skilja sig mellan olika apotek. </w:t>
      </w:r>
    </w:p>
    <w:p w14:paraId="65483057" w14:textId="77777777" w:rsidR="00702C15" w:rsidRPr="00E433D1" w:rsidRDefault="00702C15" w:rsidP="00702C15">
      <w:pPr>
        <w:pStyle w:val="Rubrik2"/>
      </w:pPr>
      <w:r w:rsidRPr="00E433D1">
        <w:lastRenderedPageBreak/>
        <w:t>Vulvovaginit</w:t>
      </w:r>
    </w:p>
    <w:p w14:paraId="1D737923" w14:textId="77777777" w:rsidR="00702C15" w:rsidRPr="00E433D1" w:rsidRDefault="00702C15" w:rsidP="00702C15">
      <w:pPr>
        <w:pStyle w:val="Rubrik3"/>
      </w:pPr>
      <w:r w:rsidRPr="00E433D1">
        <w:t xml:space="preserve">Candidainfektion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6"/>
        <w:gridCol w:w="3951"/>
      </w:tblGrid>
      <w:tr w:rsidR="00702C15" w:rsidRPr="00311639" w14:paraId="1C8682D2" w14:textId="77777777" w:rsidTr="00632FCC">
        <w:tc>
          <w:tcPr>
            <w:tcW w:w="4826" w:type="dxa"/>
          </w:tcPr>
          <w:p w14:paraId="71FAED08" w14:textId="77777777" w:rsidR="00702C15" w:rsidRPr="00311639" w:rsidRDefault="00702C15" w:rsidP="00632FCC">
            <w:pPr>
              <w:rPr>
                <w:b/>
                <w:bCs/>
                <w:sz w:val="24"/>
                <w:szCs w:val="24"/>
              </w:rPr>
            </w:pPr>
            <w:r w:rsidRPr="00311639">
              <w:rPr>
                <w:b/>
                <w:bCs/>
                <w:sz w:val="24"/>
                <w:szCs w:val="24"/>
              </w:rPr>
              <w:t>1</w:t>
            </w:r>
            <w:r w:rsidRPr="00311639">
              <w:rPr>
                <w:sz w:val="24"/>
                <w:szCs w:val="24"/>
              </w:rPr>
              <w:t xml:space="preserve"> </w:t>
            </w:r>
            <w:r w:rsidRPr="00311639">
              <w:rPr>
                <w:b/>
                <w:sz w:val="24"/>
                <w:szCs w:val="24"/>
              </w:rPr>
              <w:t>klotrimazol</w:t>
            </w:r>
            <w:r w:rsidRPr="00311639">
              <w:rPr>
                <w:sz w:val="24"/>
                <w:szCs w:val="24"/>
              </w:rPr>
              <w:t xml:space="preserve"> vaginalkräm, vaginaltabletter</w:t>
            </w:r>
          </w:p>
        </w:tc>
        <w:tc>
          <w:tcPr>
            <w:tcW w:w="3951" w:type="dxa"/>
          </w:tcPr>
          <w:p w14:paraId="42644A63" w14:textId="77777777" w:rsidR="00702C15" w:rsidRPr="00311639" w:rsidRDefault="00702C15" w:rsidP="00632FCC">
            <w:pPr>
              <w:rPr>
                <w:b/>
                <w:bCs/>
                <w:sz w:val="24"/>
                <w:szCs w:val="24"/>
              </w:rPr>
            </w:pPr>
            <w:r w:rsidRPr="00311639">
              <w:rPr>
                <w:sz w:val="24"/>
                <w:szCs w:val="24"/>
              </w:rPr>
              <w:t>Canesten</w:t>
            </w:r>
          </w:p>
        </w:tc>
      </w:tr>
      <w:tr w:rsidR="00702C15" w:rsidRPr="00311639" w14:paraId="47E25C25" w14:textId="77777777" w:rsidTr="00632FCC">
        <w:tc>
          <w:tcPr>
            <w:tcW w:w="4826" w:type="dxa"/>
          </w:tcPr>
          <w:p w14:paraId="6F55775F" w14:textId="77777777" w:rsidR="00702C15" w:rsidRPr="00311639" w:rsidRDefault="00702C15" w:rsidP="00632FCC">
            <w:pPr>
              <w:rPr>
                <w:b/>
                <w:bCs/>
                <w:sz w:val="24"/>
                <w:szCs w:val="24"/>
              </w:rPr>
            </w:pPr>
            <w:r w:rsidRPr="00311639">
              <w:rPr>
                <w:b/>
                <w:bCs/>
                <w:sz w:val="24"/>
                <w:szCs w:val="24"/>
              </w:rPr>
              <w:t>2</w:t>
            </w:r>
            <w:r w:rsidRPr="00311639">
              <w:rPr>
                <w:sz w:val="24"/>
                <w:szCs w:val="24"/>
              </w:rPr>
              <w:t xml:space="preserve"> </w:t>
            </w:r>
            <w:r w:rsidRPr="00311639">
              <w:rPr>
                <w:b/>
                <w:sz w:val="24"/>
                <w:szCs w:val="24"/>
              </w:rPr>
              <w:t>fluconazol</w:t>
            </w:r>
          </w:p>
        </w:tc>
        <w:tc>
          <w:tcPr>
            <w:tcW w:w="3951" w:type="dxa"/>
          </w:tcPr>
          <w:p w14:paraId="3CD1637C" w14:textId="77777777" w:rsidR="00702C15" w:rsidRPr="00311639" w:rsidRDefault="00702C15" w:rsidP="00632FCC">
            <w:pPr>
              <w:rPr>
                <w:b/>
                <w:bCs/>
                <w:sz w:val="24"/>
                <w:szCs w:val="24"/>
              </w:rPr>
            </w:pPr>
            <w:r w:rsidRPr="00311639">
              <w:rPr>
                <w:sz w:val="24"/>
                <w:szCs w:val="24"/>
              </w:rPr>
              <w:t>Fluconazol</w:t>
            </w:r>
          </w:p>
        </w:tc>
      </w:tr>
    </w:tbl>
    <w:p w14:paraId="51F5D7F3" w14:textId="77777777" w:rsidR="00702C15" w:rsidRDefault="00702C15" w:rsidP="00702C15">
      <w:pPr>
        <w:rPr>
          <w:b/>
          <w:bCs/>
        </w:rPr>
      </w:pPr>
    </w:p>
    <w:p w14:paraId="5F6A5D51" w14:textId="77777777" w:rsidR="00702C15" w:rsidRPr="00311639" w:rsidRDefault="00702C15" w:rsidP="00702C15">
      <w:pPr>
        <w:rPr>
          <w:sz w:val="24"/>
          <w:szCs w:val="24"/>
        </w:rPr>
      </w:pPr>
      <w:r w:rsidRPr="00311639">
        <w:rPr>
          <w:sz w:val="24"/>
          <w:szCs w:val="24"/>
        </w:rPr>
        <w:t xml:space="preserve">Egenbehandling förekommer i stor utsträckning vid denna diagnos då flera imidazolpreparat är receptfria. Det föreligger ingen skillnad i effekt mellan de olika aktiva substanserna. </w:t>
      </w:r>
    </w:p>
    <w:p w14:paraId="0E8AD6AD" w14:textId="77777777" w:rsidR="00702C15" w:rsidRPr="00311639" w:rsidRDefault="00702C15" w:rsidP="00702C15">
      <w:pPr>
        <w:rPr>
          <w:sz w:val="24"/>
          <w:szCs w:val="24"/>
        </w:rPr>
      </w:pPr>
    </w:p>
    <w:p w14:paraId="7F5A740D" w14:textId="77777777" w:rsidR="00702C15" w:rsidRPr="00311639" w:rsidRDefault="00702C15" w:rsidP="00702C15">
      <w:pPr>
        <w:rPr>
          <w:sz w:val="24"/>
          <w:szCs w:val="24"/>
        </w:rPr>
      </w:pPr>
      <w:r w:rsidRPr="00311639">
        <w:rPr>
          <w:sz w:val="24"/>
          <w:szCs w:val="24"/>
        </w:rPr>
        <w:t xml:space="preserve">Vid täta recidiv eller svårare infektioner rekommenderas peroral behandling med fluconazol. </w:t>
      </w:r>
    </w:p>
    <w:p w14:paraId="4C230252" w14:textId="77777777" w:rsidR="00702C15" w:rsidRPr="00E433D1" w:rsidRDefault="00702C15" w:rsidP="00702C15">
      <w:pPr>
        <w:pStyle w:val="Rubrik2"/>
      </w:pPr>
      <w:r w:rsidRPr="00E433D1">
        <w:t xml:space="preserve">Bakteriell vaginos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7"/>
        <w:gridCol w:w="4394"/>
      </w:tblGrid>
      <w:tr w:rsidR="00702C15" w:rsidRPr="00311639" w14:paraId="3322AE9F" w14:textId="77777777" w:rsidTr="00632FCC">
        <w:tc>
          <w:tcPr>
            <w:tcW w:w="4957" w:type="dxa"/>
          </w:tcPr>
          <w:p w14:paraId="761CD755" w14:textId="77777777" w:rsidR="00702C15" w:rsidRPr="00311639" w:rsidRDefault="00702C15" w:rsidP="00632FCC">
            <w:pPr>
              <w:rPr>
                <w:rFonts w:cs="Arial"/>
                <w:b/>
                <w:spacing w:val="8"/>
                <w:sz w:val="24"/>
                <w:szCs w:val="24"/>
              </w:rPr>
            </w:pPr>
            <w:r w:rsidRPr="00311639">
              <w:rPr>
                <w:b/>
                <w:sz w:val="24"/>
                <w:szCs w:val="24"/>
              </w:rPr>
              <w:t xml:space="preserve">1 dekvalinium </w:t>
            </w:r>
            <w:r w:rsidRPr="00311639">
              <w:rPr>
                <w:bCs/>
                <w:sz w:val="24"/>
                <w:szCs w:val="24"/>
              </w:rPr>
              <w:t>vaginaltablett</w:t>
            </w:r>
          </w:p>
        </w:tc>
        <w:tc>
          <w:tcPr>
            <w:tcW w:w="4394" w:type="dxa"/>
          </w:tcPr>
          <w:p w14:paraId="4B7DC606" w14:textId="77777777" w:rsidR="00702C15" w:rsidRPr="00311639" w:rsidRDefault="00702C15" w:rsidP="00632FCC">
            <w:pPr>
              <w:rPr>
                <w:rFonts w:cs="Arial"/>
                <w:b/>
                <w:spacing w:val="8"/>
                <w:sz w:val="24"/>
                <w:szCs w:val="24"/>
              </w:rPr>
            </w:pPr>
            <w:r w:rsidRPr="00311639">
              <w:rPr>
                <w:sz w:val="24"/>
                <w:szCs w:val="24"/>
              </w:rPr>
              <w:t>Donaxyl</w:t>
            </w:r>
          </w:p>
        </w:tc>
      </w:tr>
      <w:tr w:rsidR="00702C15" w:rsidRPr="00311639" w14:paraId="32500B52" w14:textId="77777777" w:rsidTr="00632FCC">
        <w:tc>
          <w:tcPr>
            <w:tcW w:w="4957" w:type="dxa"/>
          </w:tcPr>
          <w:p w14:paraId="5491C674" w14:textId="77777777" w:rsidR="00702C15" w:rsidRPr="00311639" w:rsidRDefault="00702C15" w:rsidP="00632FCC">
            <w:pPr>
              <w:rPr>
                <w:b/>
                <w:sz w:val="24"/>
                <w:szCs w:val="24"/>
              </w:rPr>
            </w:pPr>
            <w:r w:rsidRPr="00311639">
              <w:rPr>
                <w:b/>
                <w:sz w:val="24"/>
                <w:szCs w:val="24"/>
              </w:rPr>
              <w:t xml:space="preserve">2 metronidazol </w:t>
            </w:r>
            <w:r w:rsidRPr="00311639">
              <w:rPr>
                <w:sz w:val="24"/>
                <w:szCs w:val="24"/>
              </w:rPr>
              <w:t>gel</w:t>
            </w:r>
          </w:p>
        </w:tc>
        <w:tc>
          <w:tcPr>
            <w:tcW w:w="4394" w:type="dxa"/>
          </w:tcPr>
          <w:p w14:paraId="77772EEC" w14:textId="77777777" w:rsidR="00702C15" w:rsidRPr="00311639" w:rsidRDefault="00702C15" w:rsidP="00632FCC">
            <w:pPr>
              <w:rPr>
                <w:sz w:val="24"/>
                <w:szCs w:val="24"/>
              </w:rPr>
            </w:pPr>
            <w:r w:rsidRPr="00311639">
              <w:rPr>
                <w:sz w:val="24"/>
                <w:szCs w:val="24"/>
              </w:rPr>
              <w:t>Zidoval</w:t>
            </w:r>
          </w:p>
        </w:tc>
      </w:tr>
      <w:tr w:rsidR="00702C15" w:rsidRPr="00311639" w14:paraId="14D917F9" w14:textId="77777777" w:rsidTr="00632FCC">
        <w:tc>
          <w:tcPr>
            <w:tcW w:w="4957" w:type="dxa"/>
          </w:tcPr>
          <w:p w14:paraId="43CF1EBB" w14:textId="77777777" w:rsidR="00702C15" w:rsidRPr="00311639" w:rsidRDefault="00702C15" w:rsidP="00632FCC">
            <w:pPr>
              <w:rPr>
                <w:b/>
                <w:sz w:val="24"/>
                <w:szCs w:val="24"/>
              </w:rPr>
            </w:pPr>
            <w:r w:rsidRPr="00311639">
              <w:rPr>
                <w:b/>
                <w:sz w:val="24"/>
                <w:szCs w:val="24"/>
              </w:rPr>
              <w:t>2 metronidazol</w:t>
            </w:r>
            <w:r w:rsidRPr="00311639">
              <w:rPr>
                <w:sz w:val="24"/>
                <w:szCs w:val="24"/>
              </w:rPr>
              <w:t xml:space="preserve"> tablett</w:t>
            </w:r>
          </w:p>
        </w:tc>
        <w:tc>
          <w:tcPr>
            <w:tcW w:w="4394" w:type="dxa"/>
          </w:tcPr>
          <w:p w14:paraId="7BDAD2E2" w14:textId="77777777" w:rsidR="00702C15" w:rsidRPr="00311639" w:rsidRDefault="00702C15" w:rsidP="00632FCC">
            <w:pPr>
              <w:rPr>
                <w:sz w:val="24"/>
                <w:szCs w:val="24"/>
              </w:rPr>
            </w:pPr>
            <w:r w:rsidRPr="00311639">
              <w:rPr>
                <w:sz w:val="24"/>
                <w:szCs w:val="24"/>
              </w:rPr>
              <w:t>Metronidazol</w:t>
            </w:r>
          </w:p>
        </w:tc>
      </w:tr>
    </w:tbl>
    <w:p w14:paraId="67796646" w14:textId="77777777" w:rsidR="00702C15" w:rsidRPr="0071138D" w:rsidRDefault="00702C15" w:rsidP="00702C15">
      <w:pPr>
        <w:rPr>
          <w:rFonts w:cs="Arial"/>
          <w:b/>
          <w:spacing w:val="8"/>
        </w:rPr>
      </w:pPr>
    </w:p>
    <w:p w14:paraId="37557BD3" w14:textId="77777777" w:rsidR="00702C15" w:rsidRDefault="00702C15" w:rsidP="00702C15">
      <w:pPr>
        <w:tabs>
          <w:tab w:val="clear" w:pos="284"/>
        </w:tabs>
        <w:autoSpaceDE w:val="0"/>
        <w:autoSpaceDN w:val="0"/>
        <w:adjustRightInd w:val="0"/>
        <w:spacing w:line="240" w:lineRule="auto"/>
        <w:rPr>
          <w:sz w:val="24"/>
          <w:szCs w:val="24"/>
        </w:rPr>
      </w:pPr>
      <w:r w:rsidRPr="00311639">
        <w:rPr>
          <w:sz w:val="24"/>
          <w:szCs w:val="24"/>
        </w:rPr>
        <w:t xml:space="preserve">Dekvalinium är i princip alltid tillräckligt för ungdom och innehåller ej antibiotika. </w:t>
      </w:r>
      <w:r w:rsidRPr="00311639">
        <w:rPr>
          <w:sz w:val="24"/>
          <w:szCs w:val="24"/>
        </w:rPr>
        <w:br/>
        <w:t xml:space="preserve">Kan användas under graviditet. Vid ospecifik kolpit är lokal behandling med </w:t>
      </w:r>
      <w:r w:rsidRPr="00311639">
        <w:rPr>
          <w:sz w:val="24"/>
          <w:szCs w:val="24"/>
        </w:rPr>
        <w:br/>
        <w:t xml:space="preserve">klindamycin ett alternativ. </w:t>
      </w:r>
    </w:p>
    <w:p w14:paraId="2A303945" w14:textId="77777777" w:rsidR="00A20158" w:rsidRDefault="00A20158" w:rsidP="00702C15">
      <w:pPr>
        <w:tabs>
          <w:tab w:val="clear" w:pos="284"/>
        </w:tabs>
        <w:spacing w:after="120" w:line="260" w:lineRule="atLeast"/>
        <w:rPr>
          <w:sz w:val="24"/>
          <w:szCs w:val="24"/>
        </w:rPr>
      </w:pPr>
    </w:p>
    <w:p w14:paraId="20AE74FF" w14:textId="77777777" w:rsidR="00A20158" w:rsidRDefault="00A20158" w:rsidP="00702C15">
      <w:pPr>
        <w:tabs>
          <w:tab w:val="clear" w:pos="284"/>
        </w:tabs>
        <w:spacing w:after="120" w:line="260" w:lineRule="atLeast"/>
        <w:rPr>
          <w:sz w:val="24"/>
          <w:szCs w:val="24"/>
        </w:rPr>
      </w:pPr>
    </w:p>
    <w:p w14:paraId="0D3C70F3" w14:textId="77777777" w:rsidR="00A20158" w:rsidRDefault="00A20158" w:rsidP="00702C15">
      <w:pPr>
        <w:tabs>
          <w:tab w:val="clear" w:pos="284"/>
        </w:tabs>
        <w:spacing w:after="120" w:line="260" w:lineRule="atLeast"/>
        <w:rPr>
          <w:sz w:val="24"/>
          <w:szCs w:val="24"/>
        </w:rPr>
      </w:pPr>
    </w:p>
    <w:p w14:paraId="0BEBB166" w14:textId="77777777" w:rsidR="00A20158" w:rsidRDefault="00A20158" w:rsidP="00A20158">
      <w:pPr>
        <w:pStyle w:val="Rubrik1"/>
      </w:pPr>
      <w:bookmarkStart w:id="83" w:name="_Toc164686705"/>
    </w:p>
    <w:p w14:paraId="1D8D65E0" w14:textId="77777777" w:rsidR="00A20158" w:rsidRDefault="00A20158" w:rsidP="00A20158">
      <w:pPr>
        <w:pStyle w:val="Rubrik1"/>
      </w:pPr>
    </w:p>
    <w:p w14:paraId="00F9DDCD" w14:textId="77777777" w:rsidR="00A20158" w:rsidRDefault="00A20158" w:rsidP="00A20158">
      <w:pPr>
        <w:pStyle w:val="Rubrik1"/>
      </w:pPr>
    </w:p>
    <w:p w14:paraId="6EDE6A8D" w14:textId="77777777" w:rsidR="00A20158" w:rsidRDefault="00A20158" w:rsidP="00A20158">
      <w:pPr>
        <w:pStyle w:val="Rubrik1"/>
      </w:pPr>
    </w:p>
    <w:bookmarkEnd w:id="83"/>
    <w:p w14:paraId="6FC770E4" w14:textId="77777777" w:rsidR="00656219" w:rsidRDefault="00656219" w:rsidP="00A20158">
      <w:pPr>
        <w:rPr>
          <w:rFonts w:asciiTheme="minorHAnsi" w:hAnsiTheme="minorHAnsi" w:cstheme="minorHAnsi"/>
          <w:sz w:val="24"/>
          <w:szCs w:val="24"/>
        </w:rPr>
      </w:pPr>
    </w:p>
    <w:p w14:paraId="0C91CDE5" w14:textId="77777777" w:rsidR="00656219" w:rsidRDefault="00656219" w:rsidP="00A20158">
      <w:pPr>
        <w:rPr>
          <w:rFonts w:asciiTheme="minorHAnsi" w:hAnsiTheme="minorHAnsi" w:cstheme="minorHAnsi"/>
          <w:sz w:val="24"/>
          <w:szCs w:val="24"/>
        </w:rPr>
      </w:pPr>
    </w:p>
    <w:p w14:paraId="69755402" w14:textId="77777777" w:rsidR="00656219" w:rsidRDefault="00656219" w:rsidP="00A20158">
      <w:pPr>
        <w:rPr>
          <w:rFonts w:asciiTheme="minorHAnsi" w:hAnsiTheme="minorHAnsi" w:cstheme="minorHAnsi"/>
          <w:sz w:val="24"/>
          <w:szCs w:val="24"/>
        </w:rPr>
      </w:pPr>
    </w:p>
    <w:p w14:paraId="00113068" w14:textId="77777777" w:rsidR="00656219" w:rsidRDefault="00656219" w:rsidP="00A20158">
      <w:pPr>
        <w:rPr>
          <w:rFonts w:asciiTheme="minorHAnsi" w:hAnsiTheme="minorHAnsi" w:cstheme="minorHAnsi"/>
          <w:sz w:val="24"/>
          <w:szCs w:val="24"/>
        </w:rPr>
      </w:pPr>
    </w:p>
    <w:p w14:paraId="3272E98F" w14:textId="77777777" w:rsidR="00656219" w:rsidRDefault="00656219" w:rsidP="00A20158">
      <w:pPr>
        <w:rPr>
          <w:rFonts w:asciiTheme="minorHAnsi" w:hAnsiTheme="minorHAnsi" w:cstheme="minorHAnsi"/>
          <w:sz w:val="24"/>
          <w:szCs w:val="24"/>
        </w:rPr>
      </w:pPr>
    </w:p>
    <w:p w14:paraId="5680B1E4" w14:textId="77777777" w:rsidR="00656219" w:rsidRDefault="00656219" w:rsidP="00A20158">
      <w:pPr>
        <w:rPr>
          <w:rFonts w:asciiTheme="minorHAnsi" w:hAnsiTheme="minorHAnsi" w:cstheme="minorHAnsi"/>
          <w:sz w:val="24"/>
          <w:szCs w:val="24"/>
        </w:rPr>
      </w:pPr>
    </w:p>
    <w:p w14:paraId="72AD5D3D" w14:textId="77777777" w:rsidR="00656219" w:rsidRDefault="00656219" w:rsidP="00A20158">
      <w:pPr>
        <w:rPr>
          <w:rFonts w:asciiTheme="minorHAnsi" w:hAnsiTheme="minorHAnsi" w:cstheme="minorHAnsi"/>
          <w:sz w:val="24"/>
          <w:szCs w:val="24"/>
        </w:rPr>
      </w:pPr>
    </w:p>
    <w:p w14:paraId="6092D507" w14:textId="77777777" w:rsidR="00656219" w:rsidRDefault="00656219" w:rsidP="00656219">
      <w:pPr>
        <w:pStyle w:val="Rubrik1"/>
      </w:pPr>
      <w:r>
        <w:lastRenderedPageBreak/>
        <w:t>Hematologi</w:t>
      </w:r>
    </w:p>
    <w:p w14:paraId="7C036367" w14:textId="77777777" w:rsidR="00656219" w:rsidRPr="00501BC6" w:rsidRDefault="00656219" w:rsidP="00656219">
      <w:pPr>
        <w:rPr>
          <w:rFonts w:asciiTheme="minorHAnsi" w:hAnsiTheme="minorHAnsi" w:cstheme="minorHAnsi"/>
          <w:b/>
          <w:bCs/>
          <w:iCs/>
          <w:sz w:val="24"/>
          <w:szCs w:val="24"/>
        </w:rPr>
      </w:pPr>
      <w:r>
        <w:rPr>
          <w:rFonts w:asciiTheme="minorHAnsi" w:hAnsiTheme="minorHAnsi" w:cstheme="minorHAnsi"/>
          <w:b/>
          <w:bCs/>
          <w:iCs/>
          <w:sz w:val="24"/>
          <w:szCs w:val="24"/>
        </w:rPr>
        <w:t>S</w:t>
      </w:r>
      <w:r w:rsidRPr="00501BC6">
        <w:rPr>
          <w:rFonts w:asciiTheme="minorHAnsi" w:hAnsiTheme="minorHAnsi" w:cstheme="minorHAnsi"/>
          <w:b/>
          <w:bCs/>
          <w:iCs/>
          <w:sz w:val="24"/>
          <w:szCs w:val="24"/>
        </w:rPr>
        <w:t xml:space="preserve">enast uppdaterad </w:t>
      </w:r>
      <w:r>
        <w:rPr>
          <w:rFonts w:asciiTheme="minorHAnsi" w:hAnsiTheme="minorHAnsi" w:cstheme="minorHAnsi"/>
          <w:b/>
          <w:bCs/>
          <w:iCs/>
          <w:sz w:val="24"/>
          <w:szCs w:val="24"/>
        </w:rPr>
        <w:t>2026-03-24</w:t>
      </w:r>
    </w:p>
    <w:p w14:paraId="29095BE8" w14:textId="77777777" w:rsidR="00656219" w:rsidRPr="00501BC6" w:rsidRDefault="00656219" w:rsidP="00656219">
      <w:pPr>
        <w:rPr>
          <w:rFonts w:asciiTheme="minorHAnsi" w:hAnsiTheme="minorHAnsi" w:cstheme="minorHAnsi"/>
          <w:i/>
          <w:sz w:val="24"/>
          <w:szCs w:val="24"/>
        </w:rPr>
      </w:pPr>
    </w:p>
    <w:p w14:paraId="6717A5ED" w14:textId="77777777" w:rsidR="00656219" w:rsidRPr="00506878" w:rsidRDefault="00656219" w:rsidP="00656219">
      <w:pPr>
        <w:rPr>
          <w:rFonts w:asciiTheme="majorHAnsi" w:hAnsiTheme="majorHAnsi" w:cstheme="minorHAnsi"/>
          <w:b/>
          <w:bCs/>
          <w:sz w:val="28"/>
          <w:szCs w:val="28"/>
        </w:rPr>
      </w:pPr>
      <w:r w:rsidRPr="00506878">
        <w:rPr>
          <w:rFonts w:asciiTheme="majorHAnsi" w:hAnsiTheme="majorHAnsi" w:cstheme="minorHAnsi"/>
          <w:b/>
          <w:bCs/>
          <w:sz w:val="28"/>
          <w:szCs w:val="28"/>
        </w:rPr>
        <w:t>Terapigruppsmedlemmar</w:t>
      </w:r>
      <w:r>
        <w:rPr>
          <w:rFonts w:asciiTheme="majorHAnsi" w:hAnsiTheme="majorHAnsi" w:cstheme="minorHAnsi"/>
          <w:b/>
          <w:bCs/>
          <w:sz w:val="28"/>
          <w:szCs w:val="28"/>
        </w:rPr>
        <w:t xml:space="preserve">  </w:t>
      </w:r>
    </w:p>
    <w:p w14:paraId="710090F3" w14:textId="2CF4A7B6" w:rsidR="00656219" w:rsidRDefault="00656219" w:rsidP="00A20158">
      <w:pPr>
        <w:rPr>
          <w:rFonts w:asciiTheme="minorHAnsi" w:hAnsiTheme="minorHAnsi" w:cstheme="minorHAnsi"/>
          <w:sz w:val="24"/>
          <w:szCs w:val="24"/>
        </w:rPr>
      </w:pPr>
      <w:r>
        <w:rPr>
          <w:rFonts w:asciiTheme="minorHAnsi" w:hAnsiTheme="minorHAnsi" w:cstheme="minorHAnsi"/>
          <w:sz w:val="24"/>
          <w:szCs w:val="24"/>
        </w:rPr>
        <w:t>Barbara Jasna</w:t>
      </w:r>
      <w:r w:rsidRPr="00501BC6">
        <w:rPr>
          <w:rFonts w:asciiTheme="minorHAnsi" w:hAnsiTheme="minorHAnsi" w:cstheme="minorHAnsi"/>
          <w:sz w:val="24"/>
          <w:szCs w:val="24"/>
        </w:rPr>
        <w:t>, överläkare Medicinkliniken</w:t>
      </w:r>
    </w:p>
    <w:p w14:paraId="2B0383A3" w14:textId="6424C0AD" w:rsidR="00A20158" w:rsidRPr="00501BC6" w:rsidRDefault="00A20158" w:rsidP="00A20158">
      <w:pPr>
        <w:rPr>
          <w:rFonts w:asciiTheme="minorHAnsi" w:hAnsiTheme="minorHAnsi" w:cstheme="minorHAnsi"/>
          <w:sz w:val="24"/>
          <w:szCs w:val="24"/>
        </w:rPr>
      </w:pPr>
      <w:r>
        <w:rPr>
          <w:rFonts w:asciiTheme="minorHAnsi" w:hAnsiTheme="minorHAnsi" w:cstheme="minorHAnsi"/>
          <w:sz w:val="24"/>
          <w:szCs w:val="24"/>
        </w:rPr>
        <w:t>Kitti Barta Csekene</w:t>
      </w:r>
      <w:r w:rsidRPr="00501BC6">
        <w:rPr>
          <w:rFonts w:asciiTheme="minorHAnsi" w:hAnsiTheme="minorHAnsi" w:cstheme="minorHAnsi"/>
          <w:sz w:val="24"/>
          <w:szCs w:val="24"/>
        </w:rPr>
        <w:t xml:space="preserve">, </w:t>
      </w:r>
      <w:r>
        <w:rPr>
          <w:rFonts w:asciiTheme="minorHAnsi" w:hAnsiTheme="minorHAnsi" w:cstheme="minorHAnsi"/>
          <w:sz w:val="24"/>
          <w:szCs w:val="24"/>
        </w:rPr>
        <w:t>överläkare Medicinkliniken</w:t>
      </w:r>
    </w:p>
    <w:p w14:paraId="40DDBC56" w14:textId="77777777" w:rsidR="00A20158" w:rsidRPr="00501BC6" w:rsidRDefault="00A20158" w:rsidP="00A20158">
      <w:pPr>
        <w:rPr>
          <w:rFonts w:asciiTheme="minorHAnsi" w:hAnsiTheme="minorHAnsi" w:cstheme="minorHAnsi"/>
          <w:sz w:val="24"/>
          <w:szCs w:val="24"/>
        </w:rPr>
      </w:pPr>
      <w:r>
        <w:rPr>
          <w:rFonts w:asciiTheme="minorHAnsi" w:hAnsiTheme="minorHAnsi" w:cstheme="minorHAnsi"/>
          <w:sz w:val="24"/>
          <w:szCs w:val="24"/>
        </w:rPr>
        <w:t>Bela Cseke, överläkare Medicinkliniken</w:t>
      </w:r>
      <w:r>
        <w:rPr>
          <w:rFonts w:asciiTheme="minorHAnsi" w:hAnsiTheme="minorHAnsi" w:cstheme="minorHAnsi"/>
          <w:sz w:val="24"/>
          <w:szCs w:val="24"/>
        </w:rPr>
        <w:br/>
        <w:t>Titti Mattsson, specialistläkare, Valjehälsan</w:t>
      </w:r>
    </w:p>
    <w:p w14:paraId="158F0AF5" w14:textId="77777777" w:rsidR="00A20158" w:rsidRDefault="00A20158" w:rsidP="00A20158">
      <w:pPr>
        <w:rPr>
          <w:rFonts w:asciiTheme="minorHAnsi" w:hAnsiTheme="minorHAnsi" w:cstheme="minorHAnsi"/>
          <w:sz w:val="24"/>
          <w:szCs w:val="24"/>
        </w:rPr>
      </w:pPr>
      <w:r>
        <w:rPr>
          <w:rFonts w:asciiTheme="minorHAnsi" w:hAnsiTheme="minorHAnsi" w:cstheme="minorHAnsi"/>
          <w:sz w:val="24"/>
          <w:szCs w:val="24"/>
        </w:rPr>
        <w:t>Martina Björkhem</w:t>
      </w:r>
      <w:r w:rsidRPr="00501BC6">
        <w:rPr>
          <w:rFonts w:asciiTheme="minorHAnsi" w:hAnsiTheme="minorHAnsi" w:cstheme="minorHAnsi"/>
          <w:sz w:val="24"/>
          <w:szCs w:val="24"/>
        </w:rPr>
        <w:t>, diabetessköterska V</w:t>
      </w:r>
      <w:r>
        <w:rPr>
          <w:rFonts w:asciiTheme="minorHAnsi" w:hAnsiTheme="minorHAnsi" w:cstheme="minorHAnsi"/>
          <w:sz w:val="24"/>
          <w:szCs w:val="24"/>
        </w:rPr>
        <w:t>aljehälsan</w:t>
      </w:r>
      <w:r>
        <w:rPr>
          <w:rFonts w:asciiTheme="minorHAnsi" w:hAnsiTheme="minorHAnsi" w:cstheme="minorHAnsi"/>
          <w:sz w:val="24"/>
          <w:szCs w:val="24"/>
        </w:rPr>
        <w:br/>
        <w:t>Julia Andersson, diabetessköterska, Medicinkliniken</w:t>
      </w:r>
    </w:p>
    <w:p w14:paraId="2BA41912" w14:textId="77777777" w:rsidR="00A20158" w:rsidRDefault="00A20158" w:rsidP="00A20158">
      <w:r w:rsidRPr="00D24C41">
        <w:rPr>
          <w:rFonts w:asciiTheme="minorHAnsi" w:hAnsiTheme="minorHAnsi" w:cstheme="minorHAnsi"/>
          <w:sz w:val="24"/>
          <w:szCs w:val="24"/>
        </w:rPr>
        <w:t xml:space="preserve">Hanna Justad, </w:t>
      </w:r>
      <w:r>
        <w:rPr>
          <w:rFonts w:asciiTheme="minorHAnsi" w:hAnsiTheme="minorHAnsi" w:cstheme="minorHAnsi"/>
          <w:sz w:val="24"/>
          <w:szCs w:val="24"/>
        </w:rPr>
        <w:t>apotekare, Läkemedelsenheten</w:t>
      </w:r>
      <w:r>
        <w:rPr>
          <w:rFonts w:asciiTheme="minorHAnsi" w:hAnsiTheme="minorHAnsi" w:cstheme="minorHAnsi"/>
          <w:sz w:val="24"/>
          <w:szCs w:val="24"/>
        </w:rPr>
        <w:br/>
      </w:r>
    </w:p>
    <w:p w14:paraId="516286A1" w14:textId="77777777" w:rsidR="00A20158" w:rsidRPr="0071138D" w:rsidRDefault="00A20158" w:rsidP="00A20158">
      <w:pPr>
        <w:widowControl w:val="0"/>
        <w:rPr>
          <w:rFonts w:cstheme="minorHAnsi"/>
          <w:u w:val="single"/>
        </w:rPr>
      </w:pPr>
    </w:p>
    <w:tbl>
      <w:tblPr>
        <w:tblStyle w:val="Tabellrutnt"/>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961"/>
      </w:tblGrid>
      <w:tr w:rsidR="00A20158" w:rsidRPr="00311639" w14:paraId="70B5521B" w14:textId="77777777" w:rsidTr="00632FCC">
        <w:tc>
          <w:tcPr>
            <w:tcW w:w="9209" w:type="dxa"/>
            <w:gridSpan w:val="2"/>
          </w:tcPr>
          <w:p w14:paraId="4BD3A614" w14:textId="77777777" w:rsidR="00A20158" w:rsidRPr="00311639" w:rsidRDefault="00A20158" w:rsidP="00632FCC">
            <w:pPr>
              <w:rPr>
                <w:rFonts w:cs="Arial"/>
                <w:b/>
                <w:sz w:val="24"/>
                <w:szCs w:val="24"/>
              </w:rPr>
            </w:pPr>
            <w:r w:rsidRPr="00311639">
              <w:rPr>
                <w:rFonts w:cs="Arial"/>
                <w:b/>
                <w:sz w:val="24"/>
                <w:szCs w:val="24"/>
              </w:rPr>
              <w:t>Medel vid anemier</w:t>
            </w:r>
          </w:p>
          <w:p w14:paraId="11973412" w14:textId="77777777" w:rsidR="00A20158" w:rsidRPr="00311639" w:rsidRDefault="00A20158" w:rsidP="00632FCC">
            <w:pPr>
              <w:rPr>
                <w:rFonts w:cs="Arial"/>
                <w:b/>
                <w:bCs/>
                <w:iCs/>
                <w:sz w:val="24"/>
                <w:szCs w:val="28"/>
              </w:rPr>
            </w:pPr>
          </w:p>
        </w:tc>
      </w:tr>
      <w:tr w:rsidR="00A20158" w:rsidRPr="00311639" w14:paraId="410E6365" w14:textId="77777777" w:rsidTr="00632FCC">
        <w:tc>
          <w:tcPr>
            <w:tcW w:w="4248" w:type="dxa"/>
          </w:tcPr>
          <w:p w14:paraId="771BBF28" w14:textId="77777777" w:rsidR="00A20158" w:rsidRPr="00311639" w:rsidRDefault="00A20158" w:rsidP="00632FCC">
            <w:pPr>
              <w:rPr>
                <w:rFonts w:cs="Arial"/>
                <w:b/>
                <w:sz w:val="24"/>
                <w:szCs w:val="24"/>
              </w:rPr>
            </w:pPr>
            <w:r w:rsidRPr="00311639">
              <w:rPr>
                <w:rFonts w:cs="Arial"/>
                <w:b/>
                <w:bCs/>
                <w:iCs/>
                <w:sz w:val="24"/>
                <w:szCs w:val="28"/>
              </w:rPr>
              <w:t xml:space="preserve">ferrosulfat   </w:t>
            </w:r>
          </w:p>
        </w:tc>
        <w:tc>
          <w:tcPr>
            <w:tcW w:w="4961" w:type="dxa"/>
          </w:tcPr>
          <w:p w14:paraId="7E814A5A" w14:textId="77777777" w:rsidR="00A20158" w:rsidRPr="00311639" w:rsidRDefault="00A20158" w:rsidP="00632FCC">
            <w:pPr>
              <w:rPr>
                <w:rFonts w:cs="Arial"/>
                <w:b/>
                <w:bCs/>
                <w:iCs/>
                <w:sz w:val="24"/>
                <w:szCs w:val="28"/>
              </w:rPr>
            </w:pPr>
            <w:r w:rsidRPr="00311639">
              <w:rPr>
                <w:rFonts w:cs="Arial"/>
                <w:bCs/>
                <w:sz w:val="24"/>
                <w:szCs w:val="28"/>
              </w:rPr>
              <w:t xml:space="preserve">Duroferon * </w:t>
            </w:r>
          </w:p>
        </w:tc>
      </w:tr>
      <w:tr w:rsidR="00A20158" w:rsidRPr="00311639" w14:paraId="0953FC27" w14:textId="77777777" w:rsidTr="00632FCC">
        <w:tc>
          <w:tcPr>
            <w:tcW w:w="4248" w:type="dxa"/>
          </w:tcPr>
          <w:p w14:paraId="6007E78A" w14:textId="77777777" w:rsidR="00A20158" w:rsidRPr="00311639" w:rsidRDefault="00A20158" w:rsidP="00632FCC">
            <w:pPr>
              <w:rPr>
                <w:rFonts w:cs="Arial"/>
                <w:b/>
                <w:sz w:val="24"/>
                <w:szCs w:val="24"/>
              </w:rPr>
            </w:pPr>
            <w:r w:rsidRPr="00311639">
              <w:rPr>
                <w:rFonts w:cs="Arial"/>
                <w:b/>
                <w:bCs/>
                <w:iCs/>
                <w:sz w:val="24"/>
                <w:szCs w:val="28"/>
                <w:lang w:val="en-US"/>
              </w:rPr>
              <w:t xml:space="preserve">ferroglycinsulfat            </w:t>
            </w:r>
          </w:p>
        </w:tc>
        <w:tc>
          <w:tcPr>
            <w:tcW w:w="4961" w:type="dxa"/>
          </w:tcPr>
          <w:p w14:paraId="2A4A8EC6" w14:textId="77777777" w:rsidR="00A20158" w:rsidRPr="00311639" w:rsidRDefault="00A20158" w:rsidP="00632FCC">
            <w:pPr>
              <w:rPr>
                <w:rFonts w:cs="Arial"/>
                <w:b/>
                <w:bCs/>
                <w:iCs/>
                <w:sz w:val="24"/>
                <w:szCs w:val="28"/>
              </w:rPr>
            </w:pPr>
            <w:r w:rsidRPr="00311639">
              <w:rPr>
                <w:rFonts w:cs="Arial"/>
                <w:bCs/>
                <w:sz w:val="24"/>
                <w:szCs w:val="28"/>
                <w:lang w:val="en-US"/>
              </w:rPr>
              <w:t>Niferex</w:t>
            </w:r>
            <w:r w:rsidRPr="00311639">
              <w:rPr>
                <w:rFonts w:cs="Arial"/>
                <w:b/>
                <w:sz w:val="24"/>
                <w:szCs w:val="28"/>
                <w:lang w:val="en-US"/>
              </w:rPr>
              <w:t xml:space="preserve"> </w:t>
            </w:r>
            <w:r w:rsidRPr="00311639">
              <w:rPr>
                <w:rFonts w:cs="Arial"/>
                <w:bCs/>
                <w:sz w:val="24"/>
                <w:szCs w:val="28"/>
                <w:lang w:val="en-US"/>
              </w:rPr>
              <w:t xml:space="preserve">* </w:t>
            </w:r>
          </w:p>
        </w:tc>
      </w:tr>
      <w:tr w:rsidR="00A20158" w:rsidRPr="00AD09F1" w14:paraId="6A1678F4" w14:textId="77777777" w:rsidTr="00632FCC">
        <w:tc>
          <w:tcPr>
            <w:tcW w:w="4248" w:type="dxa"/>
          </w:tcPr>
          <w:p w14:paraId="75FD1CD0" w14:textId="77777777" w:rsidR="00A20158" w:rsidRPr="00311639" w:rsidRDefault="00A20158" w:rsidP="00632FCC">
            <w:pPr>
              <w:rPr>
                <w:rFonts w:cs="Arial"/>
                <w:b/>
                <w:sz w:val="24"/>
                <w:szCs w:val="24"/>
              </w:rPr>
            </w:pPr>
            <w:r w:rsidRPr="00311639">
              <w:rPr>
                <w:rFonts w:cs="Arial"/>
                <w:b/>
                <w:bCs/>
                <w:iCs/>
                <w:sz w:val="24"/>
                <w:szCs w:val="28"/>
                <w:lang w:val="en-US"/>
              </w:rPr>
              <w:t xml:space="preserve">järnkarboximaltos         </w:t>
            </w:r>
          </w:p>
        </w:tc>
        <w:tc>
          <w:tcPr>
            <w:tcW w:w="4961" w:type="dxa"/>
          </w:tcPr>
          <w:p w14:paraId="0A473DB2" w14:textId="77777777" w:rsidR="00A20158" w:rsidRPr="00311639" w:rsidRDefault="00A20158" w:rsidP="00632FCC">
            <w:pPr>
              <w:rPr>
                <w:rFonts w:cs="Arial"/>
                <w:b/>
                <w:bCs/>
                <w:iCs/>
                <w:sz w:val="24"/>
                <w:szCs w:val="28"/>
                <w:lang w:val="en-US"/>
              </w:rPr>
            </w:pPr>
            <w:r w:rsidRPr="00311639">
              <w:rPr>
                <w:rFonts w:cs="Arial"/>
                <w:bCs/>
                <w:sz w:val="24"/>
                <w:szCs w:val="28"/>
                <w:lang w:val="en-US"/>
              </w:rPr>
              <w:t xml:space="preserve">Ferinject inj/inf ** </w:t>
            </w:r>
          </w:p>
        </w:tc>
      </w:tr>
      <w:tr w:rsidR="00A20158" w:rsidRPr="00311639" w14:paraId="740A5D94" w14:textId="77777777" w:rsidTr="00632FCC">
        <w:tc>
          <w:tcPr>
            <w:tcW w:w="4248" w:type="dxa"/>
          </w:tcPr>
          <w:p w14:paraId="7B2B17AE" w14:textId="77777777" w:rsidR="00A20158" w:rsidRPr="00311639" w:rsidRDefault="00A20158" w:rsidP="00632FCC">
            <w:pPr>
              <w:rPr>
                <w:rFonts w:cs="Arial"/>
                <w:b/>
                <w:sz w:val="24"/>
                <w:szCs w:val="24"/>
              </w:rPr>
            </w:pPr>
            <w:r w:rsidRPr="00311639">
              <w:rPr>
                <w:rFonts w:cs="Arial"/>
                <w:b/>
                <w:bCs/>
                <w:iCs/>
                <w:sz w:val="24"/>
                <w:szCs w:val="28"/>
              </w:rPr>
              <w:t>cyanokobalamin</w:t>
            </w:r>
            <w:r w:rsidRPr="00311639">
              <w:rPr>
                <w:rFonts w:cs="Arial"/>
                <w:sz w:val="24"/>
                <w:szCs w:val="28"/>
              </w:rPr>
              <w:t xml:space="preserve">               </w:t>
            </w:r>
          </w:p>
        </w:tc>
        <w:tc>
          <w:tcPr>
            <w:tcW w:w="4961" w:type="dxa"/>
          </w:tcPr>
          <w:p w14:paraId="3F3875C2" w14:textId="77777777" w:rsidR="00A20158" w:rsidRPr="00311639" w:rsidRDefault="00A20158" w:rsidP="00632FCC">
            <w:pPr>
              <w:rPr>
                <w:rFonts w:cs="Arial"/>
                <w:b/>
                <w:bCs/>
                <w:iCs/>
                <w:sz w:val="24"/>
                <w:szCs w:val="28"/>
              </w:rPr>
            </w:pPr>
            <w:r w:rsidRPr="00311639">
              <w:rPr>
                <w:rFonts w:cs="Arial"/>
                <w:sz w:val="24"/>
                <w:szCs w:val="28"/>
              </w:rPr>
              <w:t xml:space="preserve">Betolvex, </w:t>
            </w:r>
            <w:r w:rsidRPr="00311639">
              <w:rPr>
                <w:rFonts w:cs="Arial"/>
                <w:sz w:val="24"/>
                <w:szCs w:val="28"/>
              </w:rPr>
              <w:br/>
              <w:t xml:space="preserve">Betolvidon, </w:t>
            </w:r>
          </w:p>
        </w:tc>
      </w:tr>
      <w:tr w:rsidR="00A20158" w:rsidRPr="00311639" w14:paraId="70F1DB99" w14:textId="77777777" w:rsidTr="00632FCC">
        <w:tc>
          <w:tcPr>
            <w:tcW w:w="4248" w:type="dxa"/>
          </w:tcPr>
          <w:p w14:paraId="4CB4E941" w14:textId="77777777" w:rsidR="00A20158" w:rsidRPr="00311639" w:rsidRDefault="00A20158" w:rsidP="00632FCC">
            <w:pPr>
              <w:rPr>
                <w:rFonts w:cs="Arial"/>
                <w:b/>
                <w:bCs/>
                <w:iCs/>
                <w:sz w:val="24"/>
                <w:szCs w:val="28"/>
              </w:rPr>
            </w:pPr>
            <w:r w:rsidRPr="00311639">
              <w:rPr>
                <w:rFonts w:cs="Arial"/>
                <w:b/>
                <w:sz w:val="24"/>
                <w:szCs w:val="28"/>
              </w:rPr>
              <w:t xml:space="preserve">hydroxokobalamin           </w:t>
            </w:r>
          </w:p>
        </w:tc>
        <w:tc>
          <w:tcPr>
            <w:tcW w:w="4961" w:type="dxa"/>
          </w:tcPr>
          <w:p w14:paraId="5365516E" w14:textId="77777777" w:rsidR="00A20158" w:rsidRPr="00311639" w:rsidRDefault="00A20158" w:rsidP="00632FCC">
            <w:pPr>
              <w:rPr>
                <w:rFonts w:cs="Arial"/>
                <w:sz w:val="24"/>
                <w:szCs w:val="28"/>
              </w:rPr>
            </w:pPr>
            <w:r w:rsidRPr="00311639">
              <w:rPr>
                <w:rFonts w:cs="Arial"/>
                <w:bCs/>
                <w:sz w:val="24"/>
                <w:szCs w:val="28"/>
              </w:rPr>
              <w:t>Hydroxocobalamin ** inj. 1 mg/ml</w:t>
            </w:r>
          </w:p>
        </w:tc>
      </w:tr>
      <w:tr w:rsidR="00A20158" w:rsidRPr="00311639" w14:paraId="59BBC497" w14:textId="77777777" w:rsidTr="00632FCC">
        <w:tc>
          <w:tcPr>
            <w:tcW w:w="4248" w:type="dxa"/>
          </w:tcPr>
          <w:p w14:paraId="09827957" w14:textId="77777777" w:rsidR="00A20158" w:rsidRPr="00311639" w:rsidRDefault="00A20158" w:rsidP="00632FCC">
            <w:pPr>
              <w:rPr>
                <w:rFonts w:cs="Arial"/>
                <w:b/>
                <w:sz w:val="24"/>
                <w:szCs w:val="28"/>
              </w:rPr>
            </w:pPr>
            <w:r w:rsidRPr="00311639">
              <w:rPr>
                <w:rFonts w:cs="Arial"/>
                <w:b/>
                <w:bCs/>
                <w:iCs/>
                <w:sz w:val="24"/>
                <w:szCs w:val="28"/>
              </w:rPr>
              <w:t>folsyra</w:t>
            </w:r>
            <w:r w:rsidRPr="00311639">
              <w:rPr>
                <w:rFonts w:cs="Arial"/>
                <w:sz w:val="24"/>
                <w:szCs w:val="28"/>
              </w:rPr>
              <w:t xml:space="preserve"> </w:t>
            </w:r>
            <w:r w:rsidRPr="00311639">
              <w:rPr>
                <w:rFonts w:cs="Arial"/>
                <w:b/>
                <w:sz w:val="24"/>
                <w:szCs w:val="28"/>
              </w:rPr>
              <w:t xml:space="preserve">                              </w:t>
            </w:r>
          </w:p>
        </w:tc>
        <w:tc>
          <w:tcPr>
            <w:tcW w:w="4961" w:type="dxa"/>
          </w:tcPr>
          <w:p w14:paraId="6D75C2B6" w14:textId="77777777" w:rsidR="00A20158" w:rsidRPr="00311639" w:rsidRDefault="00A20158" w:rsidP="00632FCC">
            <w:pPr>
              <w:rPr>
                <w:rFonts w:cs="Arial"/>
                <w:bCs/>
                <w:sz w:val="24"/>
                <w:szCs w:val="28"/>
              </w:rPr>
            </w:pPr>
            <w:r w:rsidRPr="00311639">
              <w:rPr>
                <w:rFonts w:cs="Arial"/>
                <w:bCs/>
                <w:sz w:val="24"/>
                <w:szCs w:val="28"/>
              </w:rPr>
              <w:t>Folsyra</w:t>
            </w:r>
          </w:p>
        </w:tc>
      </w:tr>
    </w:tbl>
    <w:p w14:paraId="1371B418" w14:textId="77777777" w:rsidR="00A20158" w:rsidRDefault="00A20158" w:rsidP="00A20158">
      <w:pPr>
        <w:rPr>
          <w:rFonts w:eastAsia="Times New Roman" w:cs="Arial"/>
          <w:bCs/>
          <w:sz w:val="24"/>
          <w:szCs w:val="28"/>
        </w:rPr>
      </w:pPr>
      <w:r w:rsidRPr="00311639">
        <w:rPr>
          <w:rFonts w:eastAsia="Times New Roman" w:cs="Arial"/>
          <w:bCs/>
          <w:sz w:val="24"/>
          <w:szCs w:val="28"/>
        </w:rPr>
        <w:t>* saknar förmån</w:t>
      </w:r>
      <w:r w:rsidRPr="00311639">
        <w:rPr>
          <w:rFonts w:eastAsia="Times New Roman" w:cs="Arial"/>
          <w:bCs/>
          <w:sz w:val="24"/>
          <w:szCs w:val="28"/>
        </w:rPr>
        <w:br/>
        <w:t>** Läkemedel som ska rekvireras</w:t>
      </w:r>
    </w:p>
    <w:p w14:paraId="0C16AB07" w14:textId="77777777" w:rsidR="00A20158" w:rsidRDefault="00A20158" w:rsidP="00A20158">
      <w:pPr>
        <w:pStyle w:val="Rubrik2"/>
      </w:pPr>
      <w:r w:rsidRPr="0071138D">
        <w:t>Folat-och kobalaminbrist</w:t>
      </w:r>
    </w:p>
    <w:p w14:paraId="5CABE8C2" w14:textId="77777777" w:rsidR="00A20158" w:rsidRDefault="00A20158" w:rsidP="00A20158">
      <w:pPr>
        <w:rPr>
          <w:color w:val="222222"/>
          <w:sz w:val="24"/>
          <w:szCs w:val="24"/>
        </w:rPr>
      </w:pPr>
      <w:r w:rsidRPr="00311639">
        <w:rPr>
          <w:b/>
          <w:sz w:val="24"/>
          <w:szCs w:val="24"/>
        </w:rPr>
        <w:t>Folsyra</w:t>
      </w:r>
      <w:r w:rsidRPr="00311639">
        <w:rPr>
          <w:sz w:val="24"/>
          <w:szCs w:val="24"/>
        </w:rPr>
        <w:t xml:space="preserve"> ska bara ges vid konstaterad brist. Samtidig B12-brist måste uteslutas innan behandling </w:t>
      </w:r>
      <w:r>
        <w:rPr>
          <w:sz w:val="24"/>
          <w:szCs w:val="24"/>
        </w:rPr>
        <w:br/>
      </w:r>
      <w:r w:rsidRPr="00311639">
        <w:rPr>
          <w:sz w:val="24"/>
          <w:szCs w:val="24"/>
        </w:rPr>
        <w:t xml:space="preserve">med folsyra inleds. Brist på vitamin B12 kan ge ett falskt normalt folatvärde trots att brist föreligger, varför det finns anledning att kontrollera folatvärde när B12-bristen åtgärdats. Laddningsdos vid nyupptäckt brist, </w:t>
      </w:r>
      <w:r w:rsidRPr="00311639">
        <w:rPr>
          <w:color w:val="222222"/>
          <w:sz w:val="24"/>
          <w:szCs w:val="24"/>
        </w:rPr>
        <w:t xml:space="preserve">2 tabletter 2 - 3 gånger dagligen i ca 2 veckor. </w:t>
      </w:r>
      <w:r w:rsidRPr="00311639">
        <w:rPr>
          <w:iCs/>
          <w:color w:val="222222"/>
          <w:sz w:val="24"/>
          <w:szCs w:val="24"/>
        </w:rPr>
        <w:t>Underhållsbehandling:</w:t>
      </w:r>
      <w:r w:rsidRPr="00311639">
        <w:rPr>
          <w:i/>
          <w:iCs/>
          <w:color w:val="222222"/>
          <w:sz w:val="24"/>
          <w:szCs w:val="24"/>
        </w:rPr>
        <w:t xml:space="preserve"> </w:t>
      </w:r>
      <w:r w:rsidRPr="00311639">
        <w:rPr>
          <w:color w:val="222222"/>
          <w:sz w:val="24"/>
          <w:szCs w:val="24"/>
        </w:rPr>
        <w:t>1 tablett dagligen, eventuellt högre dos vid kvarstående folatbrist. Det finns även folsyra i droppform, Folix orala droppar, dosering enligt FASS.</w:t>
      </w:r>
      <w:r>
        <w:rPr>
          <w:color w:val="222222"/>
          <w:sz w:val="24"/>
          <w:szCs w:val="24"/>
        </w:rPr>
        <w:t xml:space="preserve"> </w:t>
      </w:r>
      <w:r w:rsidRPr="00311639">
        <w:rPr>
          <w:color w:val="222222"/>
          <w:sz w:val="24"/>
          <w:szCs w:val="24"/>
        </w:rPr>
        <w:t>B12 och folatbrist kan uppträda som anemi, men brist utan anemi är betydligt vanligare (10–15 % hos den äldre befolkningen). Exempel på bristsymptom, utöver anemi (makrocytär), är slemhinnepåverkan och neurologiska symptom (B12-brist).</w:t>
      </w:r>
    </w:p>
    <w:p w14:paraId="6810C9BB" w14:textId="77777777" w:rsidR="00702564" w:rsidRDefault="00702564" w:rsidP="00A20158">
      <w:pPr>
        <w:rPr>
          <w:color w:val="222222"/>
          <w:sz w:val="24"/>
          <w:szCs w:val="24"/>
        </w:rPr>
      </w:pPr>
    </w:p>
    <w:p w14:paraId="79EA1E95" w14:textId="1ADDC4CA" w:rsidR="00A20158" w:rsidRPr="00702564" w:rsidRDefault="00A20158" w:rsidP="00702564">
      <w:pPr>
        <w:tabs>
          <w:tab w:val="clear" w:pos="284"/>
        </w:tabs>
        <w:spacing w:after="120" w:line="260" w:lineRule="atLeast"/>
        <w:rPr>
          <w:color w:val="222222"/>
          <w:sz w:val="24"/>
          <w:szCs w:val="24"/>
        </w:rPr>
      </w:pPr>
      <w:r w:rsidRPr="00311639">
        <w:rPr>
          <w:rFonts w:asciiTheme="minorHAnsi" w:hAnsiTheme="minorHAnsi" w:cstheme="minorHAnsi"/>
          <w:b/>
          <w:color w:val="222222"/>
          <w:sz w:val="24"/>
          <w:szCs w:val="24"/>
        </w:rPr>
        <w:t>Behandling med B12</w:t>
      </w:r>
      <w:r w:rsidRPr="00311639">
        <w:rPr>
          <w:rFonts w:asciiTheme="minorHAnsi" w:hAnsiTheme="minorHAnsi" w:cstheme="minorHAnsi"/>
          <w:color w:val="222222"/>
          <w:sz w:val="24"/>
          <w:szCs w:val="24"/>
        </w:rPr>
        <w:t xml:space="preserve"> inleds vid konstaterad brist. S-B12 i nedre referensområdet är svårtolkat, </w:t>
      </w:r>
      <w:r w:rsidRPr="00311639">
        <w:rPr>
          <w:rFonts w:asciiTheme="minorHAnsi" w:hAnsiTheme="minorHAnsi" w:cstheme="minorHAnsi"/>
          <w:color w:val="222222"/>
          <w:sz w:val="24"/>
          <w:szCs w:val="24"/>
        </w:rPr>
        <w:br/>
        <w:t>S-metylmalonat (MMA) kan analyseras, förhöjt värde vid B12- brist.</w:t>
      </w:r>
    </w:p>
    <w:p w14:paraId="25A4390F" w14:textId="77777777" w:rsidR="00A20158" w:rsidRPr="00311639" w:rsidRDefault="00A20158" w:rsidP="00A20158">
      <w:pPr>
        <w:rPr>
          <w:rFonts w:asciiTheme="minorHAnsi" w:hAnsiTheme="minorHAnsi" w:cstheme="minorHAnsi"/>
          <w:color w:val="222222"/>
          <w:sz w:val="24"/>
          <w:szCs w:val="24"/>
        </w:rPr>
      </w:pPr>
      <w:r w:rsidRPr="00311639">
        <w:rPr>
          <w:rFonts w:asciiTheme="minorHAnsi" w:hAnsiTheme="minorHAnsi" w:cstheme="minorHAnsi"/>
          <w:color w:val="222222"/>
          <w:sz w:val="24"/>
          <w:szCs w:val="24"/>
        </w:rPr>
        <w:t>Laddningsdos B12 vid nyupptäckt brist: cyanokobalamin per os 2 mg x 2 i 1 månad</w:t>
      </w:r>
    </w:p>
    <w:p w14:paraId="282DC2E7" w14:textId="77777777" w:rsidR="00A20158" w:rsidRPr="00311639" w:rsidRDefault="00A20158" w:rsidP="00A20158">
      <w:pPr>
        <w:rPr>
          <w:rFonts w:asciiTheme="minorHAnsi" w:hAnsiTheme="minorHAnsi" w:cstheme="minorHAnsi"/>
          <w:color w:val="222222"/>
          <w:sz w:val="24"/>
          <w:szCs w:val="24"/>
        </w:rPr>
      </w:pPr>
      <w:r w:rsidRPr="00311639">
        <w:rPr>
          <w:rFonts w:asciiTheme="minorHAnsi" w:hAnsiTheme="minorHAnsi" w:cstheme="minorHAnsi"/>
          <w:color w:val="222222"/>
          <w:sz w:val="24"/>
          <w:szCs w:val="24"/>
        </w:rPr>
        <w:t>Underhållsdos: cyanokobalamin per os 1 mg x 1 eller</w:t>
      </w:r>
      <w:r>
        <w:rPr>
          <w:rFonts w:asciiTheme="minorHAnsi" w:hAnsiTheme="minorHAnsi" w:cstheme="minorHAnsi"/>
          <w:color w:val="222222"/>
          <w:sz w:val="24"/>
          <w:szCs w:val="24"/>
        </w:rPr>
        <w:t xml:space="preserve"> l</w:t>
      </w:r>
      <w:r w:rsidRPr="00311639">
        <w:rPr>
          <w:rFonts w:asciiTheme="minorHAnsi" w:hAnsiTheme="minorHAnsi" w:cstheme="minorHAnsi"/>
          <w:color w:val="222222"/>
          <w:sz w:val="24"/>
          <w:szCs w:val="24"/>
        </w:rPr>
        <w:t>addningsdos inj. hydroxokobalamin 1 mg s.c., varje till varannan dag i 7 – 14 dagar</w:t>
      </w:r>
      <w:r>
        <w:rPr>
          <w:rFonts w:asciiTheme="minorHAnsi" w:hAnsiTheme="minorHAnsi" w:cstheme="minorHAnsi"/>
          <w:color w:val="222222"/>
          <w:sz w:val="24"/>
          <w:szCs w:val="24"/>
        </w:rPr>
        <w:t xml:space="preserve">. </w:t>
      </w:r>
      <w:r w:rsidRPr="00311639">
        <w:rPr>
          <w:rFonts w:asciiTheme="minorHAnsi" w:hAnsiTheme="minorHAnsi" w:cstheme="minorHAnsi"/>
          <w:color w:val="222222"/>
          <w:sz w:val="24"/>
          <w:szCs w:val="24"/>
        </w:rPr>
        <w:t>Underhållsdos: inj. hydroxokobalamin 1 mg s.c., med 1–</w:t>
      </w:r>
      <w:r>
        <w:rPr>
          <w:rFonts w:asciiTheme="minorHAnsi" w:hAnsiTheme="minorHAnsi" w:cstheme="minorHAnsi"/>
          <w:color w:val="222222"/>
          <w:sz w:val="24"/>
          <w:szCs w:val="24"/>
        </w:rPr>
        <w:t>3</w:t>
      </w:r>
      <w:r w:rsidRPr="00311639">
        <w:rPr>
          <w:rFonts w:asciiTheme="minorHAnsi" w:hAnsiTheme="minorHAnsi" w:cstheme="minorHAnsi"/>
          <w:color w:val="222222"/>
          <w:sz w:val="24"/>
          <w:szCs w:val="24"/>
        </w:rPr>
        <w:t xml:space="preserve"> ånaders intervall</w:t>
      </w:r>
      <w:r>
        <w:rPr>
          <w:rFonts w:asciiTheme="minorHAnsi" w:hAnsiTheme="minorHAnsi" w:cstheme="minorHAnsi"/>
          <w:color w:val="222222"/>
          <w:sz w:val="24"/>
          <w:szCs w:val="24"/>
        </w:rPr>
        <w:t xml:space="preserve">. </w:t>
      </w:r>
      <w:r w:rsidRPr="00311639">
        <w:rPr>
          <w:rFonts w:asciiTheme="minorHAnsi" w:hAnsiTheme="minorHAnsi" w:cstheme="minorHAnsi"/>
          <w:color w:val="222222"/>
          <w:sz w:val="24"/>
          <w:szCs w:val="24"/>
        </w:rPr>
        <w:t>Utesluta eller bekräfta/behandla järnbrist efter två månaders behandling, genom kontroll av Hb,</w:t>
      </w:r>
      <w:r>
        <w:rPr>
          <w:rFonts w:asciiTheme="minorHAnsi" w:hAnsiTheme="minorHAnsi" w:cstheme="minorHAnsi"/>
          <w:color w:val="222222"/>
          <w:sz w:val="24"/>
          <w:szCs w:val="24"/>
        </w:rPr>
        <w:t xml:space="preserve"> </w:t>
      </w:r>
      <w:r w:rsidRPr="00311639">
        <w:rPr>
          <w:rFonts w:asciiTheme="minorHAnsi" w:hAnsiTheme="minorHAnsi" w:cstheme="minorHAnsi"/>
          <w:color w:val="222222"/>
          <w:sz w:val="24"/>
          <w:szCs w:val="24"/>
        </w:rPr>
        <w:t>MCV och järnstatus.</w:t>
      </w:r>
    </w:p>
    <w:p w14:paraId="7E9AD235" w14:textId="77777777" w:rsidR="00A20158" w:rsidRPr="00501BC6" w:rsidRDefault="00A20158" w:rsidP="00A20158">
      <w:pPr>
        <w:pStyle w:val="Rubrik2"/>
      </w:pPr>
      <w:r w:rsidRPr="00501BC6">
        <w:lastRenderedPageBreak/>
        <w:t>Järnbrist</w:t>
      </w:r>
    </w:p>
    <w:p w14:paraId="147F4799" w14:textId="77777777" w:rsidR="00A20158" w:rsidRPr="00311639" w:rsidRDefault="00A20158" w:rsidP="00A20158">
      <w:pPr>
        <w:rPr>
          <w:rFonts w:asciiTheme="minorHAnsi" w:hAnsiTheme="minorHAnsi" w:cstheme="minorHAnsi"/>
          <w:color w:val="222222"/>
          <w:sz w:val="24"/>
          <w:szCs w:val="24"/>
        </w:rPr>
      </w:pPr>
      <w:r w:rsidRPr="00311639">
        <w:rPr>
          <w:rFonts w:asciiTheme="minorHAnsi" w:hAnsiTheme="minorHAnsi" w:cstheme="minorHAnsi"/>
          <w:color w:val="222222"/>
          <w:sz w:val="24"/>
          <w:szCs w:val="24"/>
        </w:rPr>
        <w:t xml:space="preserve">Utredning med S-järn, TIBC och S-ferritin. Beräkna transferrinmättnad. </w:t>
      </w:r>
      <w:r w:rsidRPr="00311639">
        <w:rPr>
          <w:rFonts w:asciiTheme="minorHAnsi" w:hAnsiTheme="minorHAnsi" w:cstheme="minorHAnsi"/>
          <w:sz w:val="24"/>
          <w:szCs w:val="24"/>
        </w:rPr>
        <w:t xml:space="preserve">Måttet räknas fram ur värdena för S-järn (s-Fe) och TIBC (Total iron-binding capacity) enligt formeln s-Fe/TIBC*100. Järnbrist föreligger med </w:t>
      </w:r>
      <w:r w:rsidRPr="00311639">
        <w:rPr>
          <w:rFonts w:asciiTheme="minorHAnsi" w:hAnsiTheme="minorHAnsi" w:cstheme="minorHAnsi"/>
          <w:color w:val="222222"/>
          <w:sz w:val="24"/>
          <w:szCs w:val="24"/>
        </w:rPr>
        <w:t>transferrinmättnad på &lt;16 procent. Sänkt S-ferritin är alltid ett tecken på järnbrist. Vid inflammatoriska processer (förhöjd CRP) stiger serumnivåerna av den akuta fasreaktanten ferritin. Järnbrist kan dock fortfarande föreligga om ferritinnivåerna understiger 200ug/L.</w:t>
      </w:r>
    </w:p>
    <w:p w14:paraId="71EA744C" w14:textId="77777777" w:rsidR="00A20158" w:rsidRPr="00E2620A" w:rsidRDefault="00A20158" w:rsidP="00A20158">
      <w:pPr>
        <w:pStyle w:val="Rubrik3"/>
      </w:pPr>
      <w:r w:rsidRPr="00E2620A">
        <w:t>Behandling</w:t>
      </w:r>
    </w:p>
    <w:p w14:paraId="4A7C7EE5" w14:textId="77777777" w:rsidR="00A20158" w:rsidRPr="00311639" w:rsidRDefault="00A20158" w:rsidP="00A20158">
      <w:pPr>
        <w:rPr>
          <w:rFonts w:asciiTheme="minorHAnsi" w:hAnsiTheme="minorHAnsi" w:cstheme="minorHAnsi"/>
          <w:b/>
          <w:bCs/>
          <w:color w:val="222222"/>
          <w:sz w:val="24"/>
          <w:szCs w:val="24"/>
        </w:rPr>
      </w:pPr>
      <w:r w:rsidRPr="00311639">
        <w:rPr>
          <w:rFonts w:asciiTheme="minorHAnsi" w:hAnsiTheme="minorHAnsi" w:cstheme="minorHAnsi"/>
          <w:b/>
          <w:bCs/>
          <w:color w:val="222222"/>
          <w:sz w:val="24"/>
          <w:szCs w:val="24"/>
        </w:rPr>
        <w:t>Förstahandsval är peroral behandling.</w:t>
      </w:r>
    </w:p>
    <w:p w14:paraId="251CF7A0" w14:textId="77777777" w:rsidR="00A20158" w:rsidRPr="00311639" w:rsidRDefault="00A20158" w:rsidP="00A20158">
      <w:pPr>
        <w:rPr>
          <w:rFonts w:asciiTheme="minorHAnsi" w:hAnsiTheme="minorHAnsi" w:cstheme="minorHAnsi"/>
          <w:color w:val="222222"/>
          <w:sz w:val="24"/>
          <w:szCs w:val="24"/>
        </w:rPr>
      </w:pPr>
      <w:r w:rsidRPr="00311639">
        <w:rPr>
          <w:rFonts w:asciiTheme="minorHAnsi" w:hAnsiTheme="minorHAnsi" w:cstheme="minorHAnsi"/>
          <w:color w:val="222222"/>
          <w:sz w:val="24"/>
          <w:szCs w:val="24"/>
        </w:rPr>
        <w:t>Duroferon (järnsulfat) 1 tablett gånger 2, kan ökas till 3 – 4 tabletter dagligen, ingår inte i läkemedelsförmånen. Niferex (ferroglycinsulfat) 1 kapsel gånger 2 vid kroppsvikt 50–60 kg, 1 kapsel gånger 2–3 vid kroppsvikt över 60 kg. Kapslarna ingår inte i läkemedelsförmånen.</w:t>
      </w:r>
    </w:p>
    <w:p w14:paraId="63548632" w14:textId="77777777" w:rsidR="00A20158" w:rsidRPr="00311639" w:rsidRDefault="00A20158" w:rsidP="00A20158">
      <w:pPr>
        <w:rPr>
          <w:rFonts w:asciiTheme="minorHAnsi" w:hAnsiTheme="minorHAnsi" w:cstheme="minorHAnsi"/>
          <w:color w:val="222222"/>
          <w:sz w:val="24"/>
          <w:szCs w:val="24"/>
        </w:rPr>
      </w:pPr>
    </w:p>
    <w:p w14:paraId="3CAD1A89" w14:textId="77777777" w:rsidR="00A20158" w:rsidRPr="00311639" w:rsidRDefault="00A20158" w:rsidP="00A20158">
      <w:pPr>
        <w:rPr>
          <w:rFonts w:asciiTheme="minorHAnsi" w:hAnsiTheme="minorHAnsi" w:cstheme="minorHAnsi"/>
          <w:color w:val="191919"/>
          <w:sz w:val="24"/>
          <w:szCs w:val="24"/>
        </w:rPr>
      </w:pPr>
      <w:r w:rsidRPr="00311639">
        <w:rPr>
          <w:rFonts w:asciiTheme="minorHAnsi" w:hAnsiTheme="minorHAnsi" w:cstheme="minorHAnsi"/>
          <w:color w:val="222222"/>
          <w:sz w:val="24"/>
          <w:szCs w:val="24"/>
        </w:rPr>
        <w:t xml:space="preserve">Viktig att följa upp behandlingsresultat. Hb värde bör stiga minst 10 g/l efter en månad behandling. </w:t>
      </w:r>
      <w:r w:rsidRPr="00311639">
        <w:rPr>
          <w:rFonts w:asciiTheme="minorHAnsi" w:hAnsiTheme="minorHAnsi" w:cstheme="minorHAnsi"/>
          <w:color w:val="191919"/>
          <w:sz w:val="24"/>
          <w:szCs w:val="24"/>
        </w:rPr>
        <w:t>Behandling ges tills HB-värdet stabiliserats på en för individen normal nivå och därefter ytterligare 1–2 månader för att fylla på järndepåerna.</w:t>
      </w:r>
    </w:p>
    <w:p w14:paraId="57DFC299" w14:textId="77777777" w:rsidR="00A20158" w:rsidRPr="00311639" w:rsidRDefault="00A20158" w:rsidP="00A20158">
      <w:pPr>
        <w:rPr>
          <w:rFonts w:asciiTheme="minorHAnsi" w:hAnsiTheme="minorHAnsi" w:cstheme="minorHAnsi"/>
          <w:color w:val="191919"/>
          <w:sz w:val="24"/>
          <w:szCs w:val="24"/>
        </w:rPr>
      </w:pPr>
    </w:p>
    <w:p w14:paraId="3E3956B3" w14:textId="77777777" w:rsidR="00A20158" w:rsidRPr="00311639" w:rsidRDefault="00A20158" w:rsidP="00A20158">
      <w:pPr>
        <w:rPr>
          <w:rFonts w:asciiTheme="minorHAnsi" w:hAnsiTheme="minorHAnsi" w:cstheme="minorHAnsi"/>
          <w:color w:val="191919"/>
          <w:sz w:val="24"/>
          <w:szCs w:val="24"/>
        </w:rPr>
      </w:pPr>
      <w:r w:rsidRPr="00311639">
        <w:rPr>
          <w:rFonts w:asciiTheme="minorHAnsi" w:hAnsiTheme="minorHAnsi" w:cstheme="minorHAnsi"/>
          <w:color w:val="191919"/>
          <w:sz w:val="24"/>
          <w:szCs w:val="24"/>
        </w:rPr>
        <w:t>Observera risken för interaktioner mellan järn och andra läkemedel (t.ex. Levaxin).</w:t>
      </w:r>
    </w:p>
    <w:p w14:paraId="38BFF92E" w14:textId="77777777" w:rsidR="00A20158" w:rsidRPr="00311639" w:rsidRDefault="00A20158" w:rsidP="00A20158">
      <w:pPr>
        <w:rPr>
          <w:rFonts w:asciiTheme="minorHAnsi" w:hAnsiTheme="minorHAnsi" w:cstheme="minorHAnsi"/>
          <w:color w:val="191919"/>
          <w:sz w:val="24"/>
          <w:szCs w:val="24"/>
        </w:rPr>
      </w:pPr>
    </w:p>
    <w:p w14:paraId="37C71F9F" w14:textId="77777777" w:rsidR="00A20158" w:rsidRPr="00311639" w:rsidRDefault="00A20158" w:rsidP="00A20158">
      <w:pPr>
        <w:rPr>
          <w:rFonts w:asciiTheme="minorHAnsi" w:hAnsiTheme="minorHAnsi" w:cstheme="minorHAnsi"/>
          <w:color w:val="191919"/>
          <w:sz w:val="24"/>
          <w:szCs w:val="24"/>
        </w:rPr>
      </w:pPr>
      <w:r w:rsidRPr="00311639">
        <w:rPr>
          <w:rFonts w:asciiTheme="minorHAnsi" w:hAnsiTheme="minorHAnsi" w:cstheme="minorHAnsi"/>
          <w:color w:val="191919"/>
          <w:sz w:val="24"/>
          <w:szCs w:val="24"/>
        </w:rPr>
        <w:t>Ferinject (järnkarboximaltos) dosering enligt FASS. Kan ges vid intolerans av järntabletter, inflammatoriska tarmsjukdomar, järnbrist hos patienter med hjärtsvikt samt vid funktionell järnbrist (definieras som reducerad tillgång till järn för erytropoesen utan att absolut järnbrist föreligger).</w:t>
      </w:r>
    </w:p>
    <w:p w14:paraId="6D14DC4B" w14:textId="77777777" w:rsidR="00A20158" w:rsidRPr="00311639" w:rsidRDefault="00A20158" w:rsidP="00A20158">
      <w:pPr>
        <w:rPr>
          <w:rFonts w:asciiTheme="minorHAnsi" w:hAnsiTheme="minorHAnsi" w:cstheme="minorHAnsi"/>
          <w:color w:val="191919"/>
          <w:sz w:val="24"/>
          <w:szCs w:val="24"/>
        </w:rPr>
      </w:pPr>
    </w:p>
    <w:p w14:paraId="545418AA" w14:textId="77777777" w:rsidR="00A20158" w:rsidRPr="00311639" w:rsidRDefault="00A20158" w:rsidP="00A20158">
      <w:pPr>
        <w:rPr>
          <w:rFonts w:asciiTheme="minorHAnsi" w:hAnsiTheme="minorHAnsi" w:cstheme="minorHAnsi"/>
          <w:color w:val="191919"/>
          <w:sz w:val="24"/>
          <w:szCs w:val="24"/>
        </w:rPr>
      </w:pPr>
      <w:r w:rsidRPr="00311639">
        <w:rPr>
          <w:rFonts w:asciiTheme="minorHAnsi" w:hAnsiTheme="minorHAnsi" w:cstheme="minorHAnsi"/>
          <w:color w:val="191919"/>
          <w:sz w:val="24"/>
          <w:szCs w:val="24"/>
        </w:rPr>
        <w:t>Vid användande av parenterala järnpreparat måste alltid risken för anafylaktiska reaktioner övervägas.</w:t>
      </w:r>
    </w:p>
    <w:p w14:paraId="39430F7E" w14:textId="77777777" w:rsidR="00A20158" w:rsidRPr="00311639" w:rsidRDefault="00A20158" w:rsidP="00A20158">
      <w:pPr>
        <w:rPr>
          <w:rFonts w:asciiTheme="minorHAnsi" w:hAnsiTheme="minorHAnsi" w:cstheme="minorHAnsi"/>
          <w:color w:val="222222"/>
          <w:sz w:val="24"/>
          <w:szCs w:val="24"/>
        </w:rPr>
      </w:pPr>
      <w:r w:rsidRPr="00311639">
        <w:rPr>
          <w:rFonts w:asciiTheme="minorHAnsi" w:hAnsiTheme="minorHAnsi" w:cstheme="minorHAnsi"/>
          <w:color w:val="191919"/>
          <w:sz w:val="24"/>
          <w:szCs w:val="24"/>
        </w:rPr>
        <w:t>Intravenös järnbehandling är ett bättre alternativ än blodtransfusion i de allra flesta situationer av järnbristanemi om inte patienten är cirkulatoriskt påverkad eller har bröstsmärta.</w:t>
      </w:r>
    </w:p>
    <w:p w14:paraId="5CB63787" w14:textId="77777777" w:rsidR="00A20158" w:rsidRPr="005A7ADE" w:rsidRDefault="00A20158" w:rsidP="00A20158">
      <w:pPr>
        <w:pStyle w:val="Rubrik2"/>
        <w:rPr>
          <w:szCs w:val="28"/>
        </w:rPr>
      </w:pPr>
      <w:r w:rsidRPr="005A7ADE">
        <w:rPr>
          <w:szCs w:val="28"/>
        </w:rPr>
        <w:t>Referenser</w:t>
      </w:r>
    </w:p>
    <w:p w14:paraId="557D1F51" w14:textId="77777777" w:rsidR="00A20158" w:rsidRPr="00E2620A" w:rsidRDefault="00A20158" w:rsidP="00A20158">
      <w:pPr>
        <w:pStyle w:val="Liststycke"/>
        <w:numPr>
          <w:ilvl w:val="0"/>
          <w:numId w:val="9"/>
        </w:numPr>
        <w:contextualSpacing/>
        <w:rPr>
          <w:rFonts w:asciiTheme="minorHAnsi" w:hAnsiTheme="minorHAnsi"/>
        </w:rPr>
      </w:pPr>
      <w:hyperlink r:id="rId74" w:history="1">
        <w:r w:rsidRPr="00E2620A">
          <w:rPr>
            <w:rFonts w:asciiTheme="minorHAnsi" w:hAnsiTheme="minorHAnsi"/>
            <w:color w:val="6E368C" w:themeColor="hyperlink"/>
            <w:u w:val="single"/>
          </w:rPr>
          <w:t>www.internetmedicin.se</w:t>
        </w:r>
      </w:hyperlink>
    </w:p>
    <w:p w14:paraId="3C274822" w14:textId="77777777" w:rsidR="00A20158" w:rsidRPr="00E2620A" w:rsidRDefault="00A20158" w:rsidP="00A20158">
      <w:pPr>
        <w:pStyle w:val="Liststycke"/>
        <w:numPr>
          <w:ilvl w:val="0"/>
          <w:numId w:val="9"/>
        </w:numPr>
        <w:contextualSpacing/>
        <w:rPr>
          <w:rFonts w:asciiTheme="minorHAnsi" w:hAnsiTheme="minorHAnsi"/>
        </w:rPr>
      </w:pPr>
      <w:hyperlink r:id="rId75" w:history="1">
        <w:r w:rsidRPr="00E2620A">
          <w:rPr>
            <w:rStyle w:val="Hyperlnk"/>
            <w:rFonts w:asciiTheme="minorHAnsi" w:hAnsiTheme="minorHAnsi"/>
          </w:rPr>
          <w:t>www.janusinfo.se</w:t>
        </w:r>
      </w:hyperlink>
    </w:p>
    <w:p w14:paraId="4A0714CC" w14:textId="77777777" w:rsidR="00A20158" w:rsidRDefault="00A20158" w:rsidP="00A20158">
      <w:pPr>
        <w:pStyle w:val="Liststycke"/>
        <w:numPr>
          <w:ilvl w:val="0"/>
          <w:numId w:val="9"/>
        </w:numPr>
        <w:contextualSpacing/>
        <w:rPr>
          <w:rFonts w:asciiTheme="minorHAnsi" w:hAnsiTheme="minorHAnsi"/>
        </w:rPr>
      </w:pPr>
      <w:r w:rsidRPr="00E2620A">
        <w:rPr>
          <w:rFonts w:asciiTheme="minorHAnsi" w:hAnsiTheme="minorHAnsi"/>
        </w:rPr>
        <w:t>Medicin. Studentlitteratur Redaktörer: Lindgren, Stefan med flera</w:t>
      </w:r>
    </w:p>
    <w:p w14:paraId="0CB5A4CA" w14:textId="77777777" w:rsidR="00A20158" w:rsidRDefault="00A20158" w:rsidP="00A20158">
      <w:pPr>
        <w:contextualSpacing/>
        <w:rPr>
          <w:rFonts w:asciiTheme="minorHAnsi" w:hAnsiTheme="minorHAnsi"/>
        </w:rPr>
      </w:pPr>
    </w:p>
    <w:p w14:paraId="1D22F569" w14:textId="77777777" w:rsidR="00702564" w:rsidRDefault="00702564" w:rsidP="00A20158">
      <w:pPr>
        <w:contextualSpacing/>
        <w:rPr>
          <w:rFonts w:asciiTheme="minorHAnsi" w:hAnsiTheme="minorHAnsi"/>
        </w:rPr>
      </w:pPr>
    </w:p>
    <w:p w14:paraId="2A8DAFAC" w14:textId="77777777" w:rsidR="00702564" w:rsidRDefault="00702564" w:rsidP="00A20158">
      <w:pPr>
        <w:contextualSpacing/>
        <w:rPr>
          <w:rFonts w:asciiTheme="minorHAnsi" w:hAnsiTheme="minorHAnsi"/>
        </w:rPr>
      </w:pPr>
    </w:p>
    <w:p w14:paraId="14E1DD64" w14:textId="77777777" w:rsidR="00702564" w:rsidRDefault="00702564" w:rsidP="00A20158">
      <w:pPr>
        <w:contextualSpacing/>
        <w:rPr>
          <w:rFonts w:asciiTheme="minorHAnsi" w:hAnsiTheme="minorHAnsi"/>
        </w:rPr>
      </w:pPr>
    </w:p>
    <w:p w14:paraId="292BAC8A" w14:textId="77777777" w:rsidR="00702564" w:rsidRDefault="00702564" w:rsidP="00A20158">
      <w:pPr>
        <w:contextualSpacing/>
        <w:rPr>
          <w:rFonts w:asciiTheme="minorHAnsi" w:hAnsiTheme="minorHAnsi"/>
        </w:rPr>
      </w:pPr>
    </w:p>
    <w:p w14:paraId="49B377F5" w14:textId="1BF9B99F" w:rsidR="00A20158" w:rsidRPr="00702564" w:rsidRDefault="00A20158" w:rsidP="00702564">
      <w:pPr>
        <w:pStyle w:val="Rubrik1"/>
      </w:pPr>
      <w:bookmarkStart w:id="84" w:name="_Toc164686706"/>
      <w:r w:rsidRPr="00D24C41">
        <w:lastRenderedPageBreak/>
        <w:t>Hjärta-kärl</w:t>
      </w:r>
      <w:bookmarkEnd w:id="84"/>
      <w:r>
        <w:rPr>
          <w:rFonts w:ascii="Corbel" w:hAnsi="Corbel"/>
        </w:rPr>
        <w:br/>
      </w:r>
      <w:r w:rsidRPr="00FC293B">
        <w:rPr>
          <w:rFonts w:ascii="Corbel" w:hAnsi="Corbel"/>
          <w:sz w:val="24"/>
          <w:szCs w:val="24"/>
        </w:rPr>
        <w:t xml:space="preserve">Senast uppdaterad </w:t>
      </w:r>
      <w:r>
        <w:rPr>
          <w:rFonts w:ascii="Corbel" w:hAnsi="Corbel"/>
          <w:sz w:val="24"/>
          <w:szCs w:val="24"/>
        </w:rPr>
        <w:t>2026-03-24</w:t>
      </w:r>
    </w:p>
    <w:p w14:paraId="050DD523" w14:textId="77777777" w:rsidR="00A20158" w:rsidRPr="00B30D1F" w:rsidRDefault="00A20158" w:rsidP="00A20158">
      <w:pPr>
        <w:pStyle w:val="Rubrik2"/>
      </w:pPr>
      <w:r w:rsidRPr="00B30D1F">
        <w:t>Terapigruppsmedlemmar</w:t>
      </w:r>
      <w:r>
        <w:t xml:space="preserve">    </w:t>
      </w:r>
    </w:p>
    <w:p w14:paraId="7EB65F1A" w14:textId="77777777" w:rsidR="00A20158" w:rsidRPr="00FC293B" w:rsidRDefault="00A20158" w:rsidP="00A20158">
      <w:pPr>
        <w:rPr>
          <w:rFonts w:cs="Arial"/>
          <w:sz w:val="24"/>
          <w:szCs w:val="24"/>
        </w:rPr>
      </w:pPr>
      <w:r>
        <w:rPr>
          <w:rFonts w:cs="Arial"/>
          <w:sz w:val="24"/>
          <w:szCs w:val="24"/>
        </w:rPr>
        <w:t>Halah Adil, apotekare, Läkemedelsenheten</w:t>
      </w:r>
    </w:p>
    <w:p w14:paraId="356B5BE9" w14:textId="77777777" w:rsidR="00A20158" w:rsidRDefault="00A20158" w:rsidP="00A20158">
      <w:pPr>
        <w:rPr>
          <w:rFonts w:cs="Arial"/>
          <w:sz w:val="24"/>
          <w:szCs w:val="24"/>
        </w:rPr>
      </w:pPr>
      <w:r w:rsidRPr="0DC5D26D">
        <w:rPr>
          <w:rFonts w:cs="Arial"/>
          <w:sz w:val="24"/>
          <w:szCs w:val="24"/>
        </w:rPr>
        <w:t>Marko Micic, specialistläkare, Thoraxcentrum</w:t>
      </w:r>
    </w:p>
    <w:p w14:paraId="72B1D009" w14:textId="77777777" w:rsidR="00A20158" w:rsidRPr="00FC293B" w:rsidRDefault="00A20158" w:rsidP="00A20158">
      <w:pPr>
        <w:rPr>
          <w:rFonts w:cs="Arial"/>
          <w:sz w:val="24"/>
          <w:szCs w:val="24"/>
        </w:rPr>
      </w:pPr>
      <w:r w:rsidRPr="0DC5D26D">
        <w:rPr>
          <w:rFonts w:cs="Arial"/>
          <w:sz w:val="24"/>
          <w:szCs w:val="24"/>
        </w:rPr>
        <w:t>Elzbieta Kaszuba, familjeläkare, VC Sölvesborg</w:t>
      </w:r>
    </w:p>
    <w:p w14:paraId="2A86D3AB" w14:textId="77777777" w:rsidR="00A20158" w:rsidRPr="000A4EF8" w:rsidRDefault="00A20158" w:rsidP="00A20158">
      <w:pPr>
        <w:rPr>
          <w:rFonts w:cs="Arial"/>
          <w:sz w:val="24"/>
          <w:szCs w:val="24"/>
        </w:rPr>
      </w:pPr>
      <w:r w:rsidRPr="45CE3BBF">
        <w:rPr>
          <w:rFonts w:cs="Arial"/>
          <w:sz w:val="24"/>
          <w:szCs w:val="24"/>
        </w:rPr>
        <w:t>Martina Persson, familjeläkare, VC Samariten</w:t>
      </w:r>
      <w:r>
        <w:rPr>
          <w:rFonts w:cs="Arial"/>
          <w:sz w:val="24"/>
          <w:szCs w:val="24"/>
        </w:rPr>
        <w:br/>
        <w:t>Emil Talani, ST-läkare, Thoraxcentrum</w:t>
      </w:r>
    </w:p>
    <w:p w14:paraId="11731E44" w14:textId="77777777" w:rsidR="00A20158" w:rsidRDefault="00A20158" w:rsidP="00A20158">
      <w:pPr>
        <w:pStyle w:val="Rubrik2"/>
      </w:pPr>
      <w:r w:rsidRPr="00634C98">
        <w:t xml:space="preserve">Hypertoni   </w:t>
      </w:r>
    </w:p>
    <w:p w14:paraId="085CD3B3" w14:textId="77777777" w:rsidR="00A20158" w:rsidRDefault="00A20158" w:rsidP="00A20158">
      <w:pPr>
        <w:rPr>
          <w:highlight w:val="yellow"/>
        </w:rPr>
      </w:pPr>
      <w:r w:rsidRPr="79F3EFC6">
        <w:rPr>
          <w:rFonts w:asciiTheme="minorHAnsi" w:hAnsiTheme="minorHAnsi"/>
          <w:sz w:val="24"/>
          <w:szCs w:val="24"/>
        </w:rPr>
        <w:t>Kombinationsbehandling</w:t>
      </w:r>
      <w:r w:rsidRPr="79F3EFC6">
        <w:rPr>
          <w:sz w:val="24"/>
          <w:szCs w:val="24"/>
        </w:rPr>
        <w:t xml:space="preserve"> med minst två preparat rekommenderas till patienter med systoliskt blodtryck över 150 mmHg och förekomst av riskfaktor vid ålder under 80 år. </w:t>
      </w:r>
    </w:p>
    <w:p w14:paraId="6C3227F5" w14:textId="77777777" w:rsidR="00A20158" w:rsidRPr="00634C98" w:rsidRDefault="00A20158" w:rsidP="00A20158"/>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4466"/>
      </w:tblGrid>
      <w:tr w:rsidR="00A20158" w:rsidRPr="00311639" w14:paraId="6CB6E83F" w14:textId="77777777" w:rsidTr="00632FCC">
        <w:trPr>
          <w:trHeight w:val="289"/>
        </w:trPr>
        <w:tc>
          <w:tcPr>
            <w:tcW w:w="8925" w:type="dxa"/>
            <w:gridSpan w:val="2"/>
          </w:tcPr>
          <w:p w14:paraId="5B33C91B" w14:textId="77777777" w:rsidR="00A20158" w:rsidRPr="00311639" w:rsidRDefault="00A20158" w:rsidP="00632FCC">
            <w:pPr>
              <w:rPr>
                <w:b/>
                <w:bCs/>
                <w:sz w:val="28"/>
                <w:szCs w:val="28"/>
              </w:rPr>
            </w:pPr>
            <w:bookmarkStart w:id="85" w:name="_Hlk92885102"/>
            <w:r w:rsidRPr="79F3EFC6">
              <w:rPr>
                <w:b/>
                <w:bCs/>
                <w:sz w:val="28"/>
                <w:szCs w:val="28"/>
              </w:rPr>
              <w:t>ACE-hämmare</w:t>
            </w:r>
          </w:p>
        </w:tc>
      </w:tr>
      <w:tr w:rsidR="00A20158" w:rsidRPr="00311639" w14:paraId="225F3A19" w14:textId="77777777" w:rsidTr="00632FCC">
        <w:trPr>
          <w:trHeight w:val="289"/>
        </w:trPr>
        <w:tc>
          <w:tcPr>
            <w:tcW w:w="4459" w:type="dxa"/>
          </w:tcPr>
          <w:p w14:paraId="3FF8B81E" w14:textId="77777777" w:rsidR="00A20158" w:rsidRPr="00311639" w:rsidRDefault="00A20158" w:rsidP="00632FCC">
            <w:pPr>
              <w:rPr>
                <w:b/>
                <w:bCs/>
                <w:sz w:val="24"/>
                <w:szCs w:val="24"/>
              </w:rPr>
            </w:pPr>
            <w:bookmarkStart w:id="86" w:name="_Hlk77585696"/>
            <w:r w:rsidRPr="0DC5D26D">
              <w:rPr>
                <w:b/>
                <w:bCs/>
                <w:sz w:val="24"/>
                <w:szCs w:val="24"/>
              </w:rPr>
              <w:t>enalapril</w:t>
            </w:r>
          </w:p>
        </w:tc>
        <w:tc>
          <w:tcPr>
            <w:tcW w:w="4466" w:type="dxa"/>
          </w:tcPr>
          <w:p w14:paraId="43BC1ADC" w14:textId="77777777" w:rsidR="00A20158" w:rsidRPr="00311639" w:rsidRDefault="00A20158" w:rsidP="00632FCC">
            <w:pPr>
              <w:rPr>
                <w:sz w:val="24"/>
                <w:szCs w:val="24"/>
              </w:rPr>
            </w:pPr>
            <w:r w:rsidRPr="0DC5D26D">
              <w:rPr>
                <w:sz w:val="24"/>
                <w:szCs w:val="24"/>
              </w:rPr>
              <w:t>Enalapril</w:t>
            </w:r>
          </w:p>
        </w:tc>
      </w:tr>
      <w:bookmarkEnd w:id="86"/>
      <w:tr w:rsidR="00A20158" w:rsidRPr="00311639" w14:paraId="433E7C41" w14:textId="77777777" w:rsidTr="00632FCC">
        <w:trPr>
          <w:trHeight w:val="289"/>
        </w:trPr>
        <w:tc>
          <w:tcPr>
            <w:tcW w:w="4459" w:type="dxa"/>
          </w:tcPr>
          <w:p w14:paraId="3A449232" w14:textId="77777777" w:rsidR="00A20158" w:rsidRPr="00311639" w:rsidRDefault="00A20158" w:rsidP="00632FCC">
            <w:pPr>
              <w:rPr>
                <w:b/>
                <w:bCs/>
                <w:sz w:val="24"/>
                <w:szCs w:val="24"/>
              </w:rPr>
            </w:pPr>
            <w:r w:rsidRPr="0DC5D26D">
              <w:rPr>
                <w:b/>
                <w:bCs/>
                <w:sz w:val="24"/>
                <w:szCs w:val="24"/>
              </w:rPr>
              <w:t>ramipril</w:t>
            </w:r>
          </w:p>
        </w:tc>
        <w:tc>
          <w:tcPr>
            <w:tcW w:w="4466" w:type="dxa"/>
          </w:tcPr>
          <w:p w14:paraId="73A95C15" w14:textId="77777777" w:rsidR="00A20158" w:rsidRPr="00311639" w:rsidRDefault="00A20158" w:rsidP="00632FCC">
            <w:pPr>
              <w:rPr>
                <w:sz w:val="24"/>
                <w:szCs w:val="24"/>
              </w:rPr>
            </w:pPr>
            <w:r w:rsidRPr="0DC5D26D">
              <w:rPr>
                <w:sz w:val="24"/>
                <w:szCs w:val="24"/>
              </w:rPr>
              <w:t>Ramipril</w:t>
            </w:r>
          </w:p>
        </w:tc>
      </w:tr>
      <w:tr w:rsidR="00A20158" w:rsidRPr="00311639" w14:paraId="3B560D79" w14:textId="77777777" w:rsidTr="00632FCC">
        <w:trPr>
          <w:trHeight w:val="289"/>
        </w:trPr>
        <w:tc>
          <w:tcPr>
            <w:tcW w:w="8925" w:type="dxa"/>
            <w:gridSpan w:val="2"/>
          </w:tcPr>
          <w:p w14:paraId="4F318F5F" w14:textId="77777777" w:rsidR="00A20158" w:rsidRPr="00311639" w:rsidRDefault="00A20158" w:rsidP="00632FCC">
            <w:pPr>
              <w:rPr>
                <w:b/>
                <w:bCs/>
                <w:sz w:val="24"/>
                <w:szCs w:val="24"/>
              </w:rPr>
            </w:pPr>
          </w:p>
        </w:tc>
      </w:tr>
      <w:tr w:rsidR="00A20158" w:rsidRPr="00311639" w14:paraId="5E901686" w14:textId="77777777" w:rsidTr="00632FCC">
        <w:trPr>
          <w:trHeight w:val="289"/>
        </w:trPr>
        <w:tc>
          <w:tcPr>
            <w:tcW w:w="8925" w:type="dxa"/>
            <w:gridSpan w:val="2"/>
          </w:tcPr>
          <w:p w14:paraId="6F4FAC40" w14:textId="77777777" w:rsidR="00A20158" w:rsidRPr="00311639" w:rsidRDefault="00A20158" w:rsidP="00632FCC">
            <w:pPr>
              <w:rPr>
                <w:b/>
                <w:bCs/>
                <w:sz w:val="28"/>
                <w:szCs w:val="28"/>
              </w:rPr>
            </w:pPr>
            <w:r w:rsidRPr="79F3EFC6">
              <w:rPr>
                <w:b/>
                <w:bCs/>
                <w:sz w:val="28"/>
                <w:szCs w:val="28"/>
              </w:rPr>
              <w:t>ARB (Angiotensinreceptorblockare)</w:t>
            </w:r>
          </w:p>
        </w:tc>
      </w:tr>
      <w:tr w:rsidR="00A20158" w:rsidRPr="00311639" w14:paraId="3E05152E" w14:textId="77777777" w:rsidTr="00632FCC">
        <w:trPr>
          <w:trHeight w:val="289"/>
        </w:trPr>
        <w:tc>
          <w:tcPr>
            <w:tcW w:w="4459" w:type="dxa"/>
          </w:tcPr>
          <w:p w14:paraId="58BCF582" w14:textId="77777777" w:rsidR="00A20158" w:rsidRPr="00311639" w:rsidRDefault="00A20158" w:rsidP="00632FCC">
            <w:pPr>
              <w:rPr>
                <w:b/>
                <w:bCs/>
                <w:sz w:val="24"/>
                <w:szCs w:val="24"/>
              </w:rPr>
            </w:pPr>
            <w:r w:rsidRPr="0DC5D26D">
              <w:rPr>
                <w:b/>
                <w:bCs/>
                <w:sz w:val="24"/>
                <w:szCs w:val="24"/>
              </w:rPr>
              <w:t>kandesartan</w:t>
            </w:r>
          </w:p>
        </w:tc>
        <w:tc>
          <w:tcPr>
            <w:tcW w:w="4466" w:type="dxa"/>
          </w:tcPr>
          <w:p w14:paraId="64236C78" w14:textId="77777777" w:rsidR="00A20158" w:rsidRPr="00311639" w:rsidRDefault="00A20158" w:rsidP="00632FCC">
            <w:pPr>
              <w:rPr>
                <w:sz w:val="24"/>
                <w:szCs w:val="24"/>
              </w:rPr>
            </w:pPr>
            <w:r w:rsidRPr="0DC5D26D">
              <w:rPr>
                <w:sz w:val="24"/>
                <w:szCs w:val="24"/>
              </w:rPr>
              <w:t>Candesartan</w:t>
            </w:r>
          </w:p>
        </w:tc>
      </w:tr>
      <w:tr w:rsidR="00A20158" w:rsidRPr="00311639" w14:paraId="3949F4E8" w14:textId="77777777" w:rsidTr="00632FCC">
        <w:trPr>
          <w:trHeight w:val="289"/>
        </w:trPr>
        <w:tc>
          <w:tcPr>
            <w:tcW w:w="4459" w:type="dxa"/>
          </w:tcPr>
          <w:p w14:paraId="640A5A87" w14:textId="77777777" w:rsidR="00A20158" w:rsidRPr="00311639" w:rsidRDefault="00A20158" w:rsidP="00632FCC">
            <w:pPr>
              <w:rPr>
                <w:b/>
                <w:bCs/>
                <w:strike/>
                <w:sz w:val="24"/>
                <w:szCs w:val="24"/>
              </w:rPr>
            </w:pPr>
            <w:r>
              <w:rPr>
                <w:b/>
                <w:bCs/>
                <w:sz w:val="24"/>
                <w:szCs w:val="24"/>
              </w:rPr>
              <w:t>v</w:t>
            </w:r>
            <w:r w:rsidRPr="79F3EFC6">
              <w:rPr>
                <w:b/>
                <w:bCs/>
                <w:sz w:val="24"/>
                <w:szCs w:val="24"/>
              </w:rPr>
              <w:t>alsartan</w:t>
            </w:r>
          </w:p>
        </w:tc>
        <w:tc>
          <w:tcPr>
            <w:tcW w:w="4466" w:type="dxa"/>
          </w:tcPr>
          <w:p w14:paraId="7C3FDE8E" w14:textId="77777777" w:rsidR="00A20158" w:rsidRPr="00311639" w:rsidRDefault="00A20158" w:rsidP="00632FCC">
            <w:pPr>
              <w:rPr>
                <w:strike/>
                <w:sz w:val="24"/>
                <w:szCs w:val="24"/>
              </w:rPr>
            </w:pPr>
            <w:r w:rsidRPr="79F3EFC6">
              <w:rPr>
                <w:sz w:val="24"/>
                <w:szCs w:val="24"/>
              </w:rPr>
              <w:t>Valsartan</w:t>
            </w:r>
          </w:p>
        </w:tc>
      </w:tr>
      <w:tr w:rsidR="00A20158" w:rsidRPr="00311639" w14:paraId="2D4B6DD5" w14:textId="77777777" w:rsidTr="00632FCC">
        <w:trPr>
          <w:trHeight w:val="289"/>
        </w:trPr>
        <w:tc>
          <w:tcPr>
            <w:tcW w:w="8925" w:type="dxa"/>
            <w:gridSpan w:val="2"/>
          </w:tcPr>
          <w:p w14:paraId="654543EB" w14:textId="77777777" w:rsidR="00A20158" w:rsidRPr="00311639" w:rsidRDefault="00A20158" w:rsidP="00632FCC">
            <w:pPr>
              <w:rPr>
                <w:b/>
                <w:bCs/>
                <w:sz w:val="24"/>
                <w:szCs w:val="24"/>
              </w:rPr>
            </w:pPr>
          </w:p>
        </w:tc>
      </w:tr>
      <w:tr w:rsidR="00A20158" w:rsidRPr="00311639" w14:paraId="2EE44313" w14:textId="77777777" w:rsidTr="00632FCC">
        <w:trPr>
          <w:trHeight w:val="289"/>
        </w:trPr>
        <w:tc>
          <w:tcPr>
            <w:tcW w:w="8925" w:type="dxa"/>
            <w:gridSpan w:val="2"/>
          </w:tcPr>
          <w:p w14:paraId="41C14797" w14:textId="77777777" w:rsidR="00A20158" w:rsidRPr="00311639" w:rsidRDefault="00A20158" w:rsidP="00632FCC">
            <w:pPr>
              <w:rPr>
                <w:b/>
                <w:bCs/>
                <w:sz w:val="24"/>
                <w:szCs w:val="24"/>
              </w:rPr>
            </w:pPr>
            <w:r w:rsidRPr="79F3EFC6">
              <w:rPr>
                <w:b/>
                <w:bCs/>
                <w:sz w:val="28"/>
                <w:szCs w:val="28"/>
              </w:rPr>
              <w:t>Diuretika</w:t>
            </w:r>
            <w:r w:rsidRPr="79F3EFC6">
              <w:rPr>
                <w:b/>
                <w:bCs/>
                <w:sz w:val="24"/>
                <w:szCs w:val="24"/>
              </w:rPr>
              <w:t xml:space="preserve"> (lågdos)</w:t>
            </w:r>
          </w:p>
        </w:tc>
      </w:tr>
      <w:tr w:rsidR="00A20158" w:rsidRPr="00311639" w14:paraId="6D5CB0FA" w14:textId="77777777" w:rsidTr="00632FCC">
        <w:trPr>
          <w:trHeight w:val="289"/>
        </w:trPr>
        <w:tc>
          <w:tcPr>
            <w:tcW w:w="4459" w:type="dxa"/>
          </w:tcPr>
          <w:p w14:paraId="05EDF3DE" w14:textId="77777777" w:rsidR="00A20158" w:rsidRPr="00311639" w:rsidRDefault="00A20158" w:rsidP="00632FCC">
            <w:pPr>
              <w:rPr>
                <w:b/>
                <w:bCs/>
                <w:sz w:val="24"/>
                <w:szCs w:val="24"/>
              </w:rPr>
            </w:pPr>
            <w:r w:rsidRPr="0DC5D26D">
              <w:rPr>
                <w:b/>
                <w:bCs/>
                <w:sz w:val="24"/>
                <w:szCs w:val="24"/>
              </w:rPr>
              <w:t>bendroflumetiazid</w:t>
            </w:r>
          </w:p>
        </w:tc>
        <w:tc>
          <w:tcPr>
            <w:tcW w:w="4466" w:type="dxa"/>
          </w:tcPr>
          <w:p w14:paraId="14B13576" w14:textId="77777777" w:rsidR="00A20158" w:rsidRPr="00311639" w:rsidRDefault="00A20158" w:rsidP="00632FCC">
            <w:pPr>
              <w:rPr>
                <w:sz w:val="24"/>
                <w:szCs w:val="24"/>
              </w:rPr>
            </w:pPr>
            <w:r w:rsidRPr="0DC5D26D">
              <w:rPr>
                <w:sz w:val="24"/>
                <w:szCs w:val="24"/>
              </w:rPr>
              <w:t>Salures</w:t>
            </w:r>
          </w:p>
        </w:tc>
      </w:tr>
      <w:tr w:rsidR="00A20158" w:rsidRPr="00311639" w14:paraId="14E00D12" w14:textId="77777777" w:rsidTr="00632FCC">
        <w:trPr>
          <w:trHeight w:val="579"/>
        </w:trPr>
        <w:tc>
          <w:tcPr>
            <w:tcW w:w="8925" w:type="dxa"/>
            <w:gridSpan w:val="2"/>
          </w:tcPr>
          <w:p w14:paraId="17FE611B" w14:textId="77777777" w:rsidR="00A20158" w:rsidRPr="00311639" w:rsidRDefault="00A20158" w:rsidP="00632FCC">
            <w:pPr>
              <w:autoSpaceDE w:val="0"/>
              <w:autoSpaceDN w:val="0"/>
              <w:adjustRightInd w:val="0"/>
              <w:rPr>
                <w:rFonts w:cs="Garamond"/>
                <w:color w:val="000000" w:themeColor="text1"/>
                <w:sz w:val="24"/>
                <w:szCs w:val="24"/>
              </w:rPr>
            </w:pPr>
            <w:r w:rsidRPr="0DC5D26D">
              <w:rPr>
                <w:rFonts w:cs="Garamond"/>
                <w:color w:val="000000" w:themeColor="text1"/>
                <w:sz w:val="24"/>
                <w:szCs w:val="24"/>
              </w:rPr>
              <w:t>Kombinationsbehandling RAAS-blockad och tiazid (hydroklortiazid) kan övervägas.</w:t>
            </w:r>
          </w:p>
        </w:tc>
      </w:tr>
      <w:tr w:rsidR="00A20158" w:rsidRPr="00311639" w14:paraId="3C072EB3" w14:textId="77777777" w:rsidTr="00632FCC">
        <w:trPr>
          <w:trHeight w:val="289"/>
        </w:trPr>
        <w:tc>
          <w:tcPr>
            <w:tcW w:w="8925" w:type="dxa"/>
            <w:gridSpan w:val="2"/>
          </w:tcPr>
          <w:p w14:paraId="72623138" w14:textId="77777777" w:rsidR="00A20158" w:rsidRPr="00311639" w:rsidRDefault="00A20158" w:rsidP="00632FCC">
            <w:pPr>
              <w:rPr>
                <w:b/>
                <w:bCs/>
                <w:sz w:val="24"/>
                <w:szCs w:val="24"/>
              </w:rPr>
            </w:pPr>
          </w:p>
        </w:tc>
      </w:tr>
      <w:tr w:rsidR="00A20158" w:rsidRPr="00311639" w14:paraId="1C11F7D3" w14:textId="77777777" w:rsidTr="00632FCC">
        <w:trPr>
          <w:trHeight w:val="289"/>
        </w:trPr>
        <w:tc>
          <w:tcPr>
            <w:tcW w:w="8925" w:type="dxa"/>
            <w:gridSpan w:val="2"/>
          </w:tcPr>
          <w:p w14:paraId="7A975E84" w14:textId="77777777" w:rsidR="00A20158" w:rsidRPr="00311639" w:rsidRDefault="00A20158" w:rsidP="00632FCC">
            <w:pPr>
              <w:rPr>
                <w:b/>
                <w:bCs/>
                <w:sz w:val="28"/>
                <w:szCs w:val="28"/>
              </w:rPr>
            </w:pPr>
            <w:r w:rsidRPr="79F3EFC6">
              <w:rPr>
                <w:b/>
                <w:bCs/>
                <w:sz w:val="28"/>
                <w:szCs w:val="28"/>
              </w:rPr>
              <w:t>Kalciumantagonister</w:t>
            </w:r>
          </w:p>
        </w:tc>
      </w:tr>
      <w:tr w:rsidR="00A20158" w:rsidRPr="00311639" w14:paraId="39028CB0" w14:textId="77777777" w:rsidTr="00632FCC">
        <w:trPr>
          <w:trHeight w:val="289"/>
        </w:trPr>
        <w:tc>
          <w:tcPr>
            <w:tcW w:w="4459" w:type="dxa"/>
          </w:tcPr>
          <w:p w14:paraId="785D1584" w14:textId="77777777" w:rsidR="00A20158" w:rsidRPr="00311639" w:rsidRDefault="00A20158" w:rsidP="00632FCC">
            <w:pPr>
              <w:rPr>
                <w:b/>
                <w:bCs/>
                <w:sz w:val="24"/>
                <w:szCs w:val="24"/>
              </w:rPr>
            </w:pPr>
            <w:r w:rsidRPr="0DC5D26D">
              <w:rPr>
                <w:b/>
                <w:bCs/>
                <w:sz w:val="24"/>
                <w:szCs w:val="24"/>
              </w:rPr>
              <w:t>amlodipin</w:t>
            </w:r>
          </w:p>
        </w:tc>
        <w:tc>
          <w:tcPr>
            <w:tcW w:w="4466" w:type="dxa"/>
          </w:tcPr>
          <w:p w14:paraId="260F6E2D" w14:textId="77777777" w:rsidR="00A20158" w:rsidRPr="00311639" w:rsidRDefault="00A20158" w:rsidP="00632FCC">
            <w:pPr>
              <w:rPr>
                <w:sz w:val="24"/>
                <w:szCs w:val="24"/>
              </w:rPr>
            </w:pPr>
            <w:r w:rsidRPr="0DC5D26D">
              <w:rPr>
                <w:sz w:val="24"/>
                <w:szCs w:val="24"/>
              </w:rPr>
              <w:t>Amlodipin</w:t>
            </w:r>
          </w:p>
        </w:tc>
      </w:tr>
    </w:tbl>
    <w:bookmarkEnd w:id="85"/>
    <w:p w14:paraId="31DC1BB2" w14:textId="77777777" w:rsidR="00A20158" w:rsidRDefault="00A20158" w:rsidP="00A20158">
      <w:pPr>
        <w:pStyle w:val="Rubrik2"/>
      </w:pPr>
      <w:r>
        <w:t>Allmänt</w:t>
      </w:r>
    </w:p>
    <w:p w14:paraId="641F5ABF" w14:textId="77777777" w:rsidR="00A20158" w:rsidRPr="00311639" w:rsidRDefault="00A20158" w:rsidP="00A20158">
      <w:pPr>
        <w:autoSpaceDE w:val="0"/>
        <w:autoSpaceDN w:val="0"/>
        <w:adjustRightInd w:val="0"/>
        <w:spacing w:after="150"/>
        <w:rPr>
          <w:color w:val="000000" w:themeColor="text1"/>
          <w:sz w:val="24"/>
          <w:szCs w:val="24"/>
          <w:highlight w:val="yellow"/>
        </w:rPr>
      </w:pPr>
      <w:r w:rsidRPr="79F3EFC6">
        <w:rPr>
          <w:rFonts w:asciiTheme="minorHAnsi" w:eastAsiaTheme="minorEastAsia" w:hAnsiTheme="minorHAnsi"/>
          <w:sz w:val="24"/>
          <w:szCs w:val="24"/>
        </w:rPr>
        <w:t>Målet för omhändertagandet av en patient med förhöjt blodtryck är att minska risken för kardiovaskulär sjukdom och död, med bibehållen livskvalitet. En samlad bedömning av patientens kardiovaskulära risk måste göras och samtliga riskfaktorer av betydelse ska beaktas vid omhändertagandet.</w:t>
      </w:r>
      <w:r w:rsidRPr="79F3EFC6">
        <w:rPr>
          <w:rFonts w:cs="Garamond"/>
          <w:color w:val="000000" w:themeColor="text1"/>
          <w:sz w:val="24"/>
          <w:szCs w:val="24"/>
        </w:rPr>
        <w:t xml:space="preserve"> Individualiserad kartläggning och rådgivning om vikten av regelbunden motion, bra kostvanor, viktnedgång vid övervikt, måttlig alkoholkonsumtion och stresshantering är centralt på alla vårdnivåer. </w:t>
      </w:r>
    </w:p>
    <w:p w14:paraId="21E93E7C" w14:textId="77777777" w:rsidR="00A20158" w:rsidRPr="00311639" w:rsidRDefault="00A20158" w:rsidP="00A20158">
      <w:pPr>
        <w:autoSpaceDE w:val="0"/>
        <w:autoSpaceDN w:val="0"/>
        <w:adjustRightInd w:val="0"/>
        <w:spacing w:after="150"/>
        <w:rPr>
          <w:rFonts w:eastAsia="Garamond" w:cs="Garamond"/>
          <w:sz w:val="24"/>
          <w:szCs w:val="24"/>
        </w:rPr>
      </w:pPr>
      <w:r w:rsidRPr="45CE3BBF">
        <w:rPr>
          <w:rFonts w:eastAsia="Garamond" w:cs="Garamond"/>
          <w:sz w:val="24"/>
          <w:szCs w:val="24"/>
        </w:rPr>
        <w:t xml:space="preserve">Hjälpmedel för riskbedömning av kardiovaskulär sjukdom SCORE uppdaterades 2021. </w:t>
      </w:r>
      <w:r>
        <w:rPr>
          <w:rFonts w:eastAsia="Garamond" w:cs="Garamond"/>
          <w:sz w:val="24"/>
          <w:szCs w:val="24"/>
        </w:rPr>
        <w:br/>
      </w:r>
      <w:r w:rsidRPr="45CE3BBF">
        <w:rPr>
          <w:rFonts w:eastAsia="Garamond" w:cs="Garamond"/>
          <w:sz w:val="24"/>
          <w:szCs w:val="24"/>
        </w:rPr>
        <w:t xml:space="preserve">Det uppdaterade SCORE 2 skattar 10-årsrisk för kardiovaskulär död och till skillnad från SCORE även risk för icke-fatal hjärtinfarkt eller stroke [1]. I algoritmen används ålder, kön, rökning, </w:t>
      </w:r>
      <w:r w:rsidRPr="45CE3BBF">
        <w:rPr>
          <w:rFonts w:eastAsia="Garamond" w:cs="Garamond"/>
          <w:sz w:val="24"/>
          <w:szCs w:val="24"/>
        </w:rPr>
        <w:lastRenderedPageBreak/>
        <w:t xml:space="preserve">systoliskt blodtryck samt icke-HDL kolesterol (totalkolesterol minus HDL kolesterol) i stället för total kolesterol som tidigare. </w:t>
      </w:r>
    </w:p>
    <w:p w14:paraId="0C0EE082" w14:textId="77777777" w:rsidR="00A20158" w:rsidRPr="00311639" w:rsidRDefault="00A20158" w:rsidP="00A20158">
      <w:pPr>
        <w:autoSpaceDE w:val="0"/>
        <w:autoSpaceDN w:val="0"/>
        <w:adjustRightInd w:val="0"/>
        <w:spacing w:after="150"/>
        <w:rPr>
          <w:rFonts w:cs="Garamond"/>
          <w:sz w:val="24"/>
          <w:szCs w:val="24"/>
        </w:rPr>
      </w:pPr>
      <w:r w:rsidRPr="45CE3BBF">
        <w:rPr>
          <w:rFonts w:eastAsia="Garamond" w:cs="Garamond"/>
          <w:sz w:val="24"/>
          <w:szCs w:val="24"/>
        </w:rPr>
        <w:t xml:space="preserve">SCORE 2 tillämpas för personer mellan 40-69 år utan diabetes och tidigare kardiovaskulär sjukdom. Tillämpning begränsas av andra riskfaktorer som hereditet, fetma eller njursvikt. </w:t>
      </w:r>
      <w:r>
        <w:br/>
      </w:r>
      <w:r w:rsidRPr="45CE3BBF">
        <w:rPr>
          <w:rFonts w:cs="Garamond"/>
          <w:color w:val="000000" w:themeColor="text1"/>
          <w:sz w:val="24"/>
          <w:szCs w:val="24"/>
        </w:rPr>
        <w:t xml:space="preserve">Den finns även i digitalt format, </w:t>
      </w:r>
      <w:hyperlink r:id="rId76" w:history="1">
        <w:r w:rsidRPr="00970F85">
          <w:rPr>
            <w:rStyle w:val="Hyperlnk"/>
            <w:rFonts w:eastAsiaTheme="majorEastAsia" w:cs="Garamond"/>
            <w:color w:val="0070C0"/>
            <w:sz w:val="24"/>
            <w:szCs w:val="24"/>
          </w:rPr>
          <w:t>www.heartscore.org</w:t>
        </w:r>
        <w:r w:rsidRPr="00970F85">
          <w:rPr>
            <w:rStyle w:val="Hyperlnk"/>
            <w:rFonts w:cs="Garamond"/>
            <w:color w:val="0070C0"/>
            <w:sz w:val="24"/>
            <w:szCs w:val="24"/>
          </w:rPr>
          <w:t>.</w:t>
        </w:r>
      </w:hyperlink>
      <w:r w:rsidRPr="45CE3BBF">
        <w:rPr>
          <w:rFonts w:cs="Garamond"/>
          <w:color w:val="000000" w:themeColor="text1"/>
          <w:sz w:val="24"/>
          <w:szCs w:val="24"/>
        </w:rPr>
        <w:t xml:space="preserve"> </w:t>
      </w:r>
    </w:p>
    <w:p w14:paraId="31C79D51" w14:textId="77777777" w:rsidR="00A20158" w:rsidRPr="00311639" w:rsidRDefault="00A20158" w:rsidP="00A20158">
      <w:pPr>
        <w:spacing w:after="150"/>
        <w:rPr>
          <w:rFonts w:cs="Garamond"/>
          <w:sz w:val="24"/>
          <w:szCs w:val="24"/>
        </w:rPr>
      </w:pPr>
      <w:r w:rsidRPr="0DC5D26D">
        <w:rPr>
          <w:rFonts w:cs="Garamond"/>
          <w:sz w:val="24"/>
          <w:szCs w:val="24"/>
        </w:rPr>
        <w:t xml:space="preserve">Vikten av att behandla blodtryck bättre och att uppnå målet med behandlingen betonas såväl av tidigare SBU utredningen [2] som internationella guidelines.  </w:t>
      </w:r>
    </w:p>
    <w:p w14:paraId="51EAE7D8" w14:textId="77777777" w:rsidR="00A20158" w:rsidRPr="00311639" w:rsidRDefault="00A20158" w:rsidP="00A20158">
      <w:pPr>
        <w:spacing w:after="150"/>
        <w:rPr>
          <w:rFonts w:cs="Garamond"/>
          <w:sz w:val="24"/>
          <w:szCs w:val="24"/>
        </w:rPr>
      </w:pPr>
      <w:r w:rsidRPr="45CE3BBF">
        <w:rPr>
          <w:rFonts w:cs="Garamond"/>
          <w:sz w:val="24"/>
          <w:szCs w:val="24"/>
        </w:rPr>
        <w:t xml:space="preserve">Senaste europeiska rekommendationer är följande [3]: </w:t>
      </w:r>
    </w:p>
    <w:p w14:paraId="3BCD24E2" w14:textId="77777777" w:rsidR="00A20158" w:rsidRPr="00311639" w:rsidRDefault="00A20158" w:rsidP="00A20158">
      <w:pPr>
        <w:pStyle w:val="Liststycke"/>
        <w:numPr>
          <w:ilvl w:val="0"/>
          <w:numId w:val="22"/>
        </w:numPr>
        <w:tabs>
          <w:tab w:val="clear" w:pos="284"/>
        </w:tabs>
        <w:spacing w:after="150" w:line="240" w:lineRule="auto"/>
        <w:rPr>
          <w:rFonts w:cs="Helvetica"/>
          <w:sz w:val="24"/>
          <w:szCs w:val="24"/>
        </w:rPr>
      </w:pPr>
      <w:r w:rsidRPr="0DC5D26D">
        <w:rPr>
          <w:rFonts w:cs="Garamond"/>
          <w:sz w:val="24"/>
          <w:szCs w:val="24"/>
        </w:rPr>
        <w:t xml:space="preserve">Systoliska värden &lt;140mmHg rekommenderas som behandlingsmål inklusive äldre patienter om behandling tolereras. Värden &lt;130 mmHg kan ytterligare minska risk för stroke hos patienter med hög kardiovaskulär risk till exempel vid diabetes eller njursjukdom.  </w:t>
      </w:r>
    </w:p>
    <w:p w14:paraId="480CBCA8" w14:textId="77777777" w:rsidR="00A20158" w:rsidRPr="00311639" w:rsidRDefault="00A20158" w:rsidP="00A20158">
      <w:pPr>
        <w:pStyle w:val="Liststycke"/>
        <w:numPr>
          <w:ilvl w:val="0"/>
          <w:numId w:val="22"/>
        </w:numPr>
        <w:tabs>
          <w:tab w:val="clear" w:pos="284"/>
        </w:tabs>
        <w:spacing w:after="150" w:line="240" w:lineRule="auto"/>
        <w:rPr>
          <w:rFonts w:cs="Helvetica"/>
          <w:sz w:val="24"/>
          <w:szCs w:val="24"/>
        </w:rPr>
      </w:pPr>
      <w:r w:rsidRPr="0DC5D26D">
        <w:rPr>
          <w:rFonts w:cs="Garamond"/>
          <w:sz w:val="24"/>
          <w:szCs w:val="24"/>
        </w:rPr>
        <w:t xml:space="preserve">Diastoliska värden &lt;80 mmHg ska övervägas som behandlingsmål hos alla patienter med hypertoni.  </w:t>
      </w:r>
    </w:p>
    <w:p w14:paraId="2BAE489B" w14:textId="77777777" w:rsidR="00A20158" w:rsidRPr="00311639" w:rsidRDefault="00A20158" w:rsidP="00A20158">
      <w:pPr>
        <w:autoSpaceDE w:val="0"/>
        <w:autoSpaceDN w:val="0"/>
        <w:adjustRightInd w:val="0"/>
        <w:rPr>
          <w:sz w:val="24"/>
          <w:szCs w:val="24"/>
        </w:rPr>
      </w:pPr>
      <w:r w:rsidRPr="0DC5D26D">
        <w:rPr>
          <w:sz w:val="24"/>
          <w:szCs w:val="24"/>
        </w:rPr>
        <w:t xml:space="preserve">Enligt europeisk konsensus utförs blodtrycksmätning efter det att patienten vilat i minst 5 minuter i sittande ställning med stöd för båda benen och armarna, med överarmen där blodtrycket mäts placerad i hjärthöjd. Blodtrycket efter 1och 3 minuter i stående bör också mätas för att se om ortostatism förekommer [3]. </w:t>
      </w:r>
      <w:r>
        <w:br/>
      </w:r>
    </w:p>
    <w:p w14:paraId="58243866" w14:textId="77777777" w:rsidR="00A20158" w:rsidRPr="00311639" w:rsidRDefault="00A20158" w:rsidP="00A20158">
      <w:pPr>
        <w:autoSpaceDE w:val="0"/>
        <w:autoSpaceDN w:val="0"/>
        <w:adjustRightInd w:val="0"/>
        <w:rPr>
          <w:color w:val="000000" w:themeColor="text1"/>
          <w:sz w:val="24"/>
          <w:szCs w:val="24"/>
        </w:rPr>
      </w:pPr>
      <w:r w:rsidRPr="0DC5D26D">
        <w:rPr>
          <w:b/>
          <w:bCs/>
          <w:color w:val="000000" w:themeColor="text1"/>
          <w:sz w:val="24"/>
          <w:szCs w:val="24"/>
        </w:rPr>
        <w:t>OBS!</w:t>
      </w:r>
      <w:r w:rsidRPr="0DC5D26D">
        <w:rPr>
          <w:color w:val="000000" w:themeColor="text1"/>
          <w:sz w:val="24"/>
          <w:szCs w:val="24"/>
        </w:rPr>
        <w:t xml:space="preserve"> pumpa alltid upp till &gt;180 för att inte vilseledas av silent gap. </w:t>
      </w:r>
      <w:r>
        <w:rPr>
          <w:color w:val="000000" w:themeColor="text1"/>
          <w:sz w:val="24"/>
          <w:szCs w:val="24"/>
        </w:rPr>
        <w:br/>
      </w:r>
      <w:r w:rsidRPr="0DC5D26D">
        <w:rPr>
          <w:color w:val="000000" w:themeColor="text1"/>
          <w:sz w:val="24"/>
          <w:szCs w:val="24"/>
        </w:rPr>
        <w:t>Det diastoliska trycket är då ljuden försvinner helt.</w:t>
      </w:r>
    </w:p>
    <w:p w14:paraId="009495F2" w14:textId="77777777" w:rsidR="00A20158" w:rsidRPr="00311639" w:rsidRDefault="00A20158" w:rsidP="00A20158">
      <w:pPr>
        <w:autoSpaceDE w:val="0"/>
        <w:autoSpaceDN w:val="0"/>
        <w:adjustRightInd w:val="0"/>
        <w:rPr>
          <w:rFonts w:cs="Garamond"/>
          <w:sz w:val="24"/>
          <w:szCs w:val="24"/>
        </w:rPr>
      </w:pPr>
      <w:r>
        <w:br/>
      </w:r>
      <w:r w:rsidRPr="0DC5D26D">
        <w:rPr>
          <w:color w:val="000000" w:themeColor="text1"/>
          <w:sz w:val="24"/>
          <w:szCs w:val="24"/>
        </w:rPr>
        <w:t xml:space="preserve">Diagnosen ställs på basen av upprepade blodtrycksmätningar. Om blodtrycket kontrolleras på mottagningen är kriteriet 140/90 mm Hg. Detta motsvarar medelvärdet 130/80 mmHg på </w:t>
      </w:r>
      <w:r>
        <w:rPr>
          <w:color w:val="000000" w:themeColor="text1"/>
          <w:sz w:val="24"/>
          <w:szCs w:val="24"/>
        </w:rPr>
        <w:br/>
      </w:r>
      <w:r w:rsidRPr="0DC5D26D">
        <w:rPr>
          <w:color w:val="000000" w:themeColor="text1"/>
          <w:sz w:val="24"/>
          <w:szCs w:val="24"/>
        </w:rPr>
        <w:t xml:space="preserve">24 timmars blodtrycksmätning (24-h ABPM) eller 135/85 mmHg vid hemblodtryckmätning. </w:t>
      </w:r>
      <w:r>
        <w:rPr>
          <w:color w:val="000000" w:themeColor="text1"/>
          <w:sz w:val="24"/>
          <w:szCs w:val="24"/>
        </w:rPr>
        <w:br/>
      </w:r>
      <w:r w:rsidRPr="0DC5D26D">
        <w:rPr>
          <w:sz w:val="24"/>
          <w:szCs w:val="24"/>
        </w:rPr>
        <w:t>24</w:t>
      </w:r>
      <w:r>
        <w:rPr>
          <w:sz w:val="24"/>
          <w:szCs w:val="24"/>
        </w:rPr>
        <w:t>-h</w:t>
      </w:r>
      <w:r w:rsidRPr="0DC5D26D">
        <w:rPr>
          <w:sz w:val="24"/>
          <w:szCs w:val="24"/>
        </w:rPr>
        <w:t xml:space="preserve"> ABPM är det bästa sättet att mäta blodtryck eftersom det korrelerar bäst till allvarliga risker med högt blodtryck, som stroke, hjärtinfarkt, död, njursvikt, synnedsättning med mera. Hemblodtrycksmätning med överarmsmätare är också betydligt bättre än mottagningsblodtryck ur den aspekten och är mycket enklare och billigare, både för att avgöra behandling och för att följa behandling samt att få patienten motiverad till livsstilsändringar (motion, rökstopp, viktnedgång, stresshantering). </w:t>
      </w:r>
    </w:p>
    <w:p w14:paraId="5F49262D" w14:textId="77777777" w:rsidR="00A20158" w:rsidRDefault="00A20158" w:rsidP="00A20158">
      <w:pPr>
        <w:rPr>
          <w:sz w:val="24"/>
          <w:szCs w:val="24"/>
        </w:rPr>
      </w:pPr>
    </w:p>
    <w:p w14:paraId="144A6E35" w14:textId="77777777" w:rsidR="00A20158" w:rsidRDefault="00A20158" w:rsidP="00A20158">
      <w:pPr>
        <w:rPr>
          <w:sz w:val="24"/>
          <w:szCs w:val="24"/>
        </w:rPr>
      </w:pPr>
      <w:r w:rsidRPr="79F3EFC6">
        <w:rPr>
          <w:sz w:val="24"/>
          <w:szCs w:val="24"/>
        </w:rPr>
        <w:t>Utredning och behandling av patienter under 18 år med hypertoni, sker på barnkliniken.</w:t>
      </w:r>
    </w:p>
    <w:p w14:paraId="0672AEBD" w14:textId="77777777" w:rsidR="00A20158" w:rsidRPr="00F31049" w:rsidRDefault="00A20158" w:rsidP="00A20158">
      <w:pPr>
        <w:pStyle w:val="Rubrik2"/>
        <w:rPr>
          <w:sz w:val="24"/>
          <w:szCs w:val="24"/>
        </w:rPr>
      </w:pPr>
      <w:r w:rsidRPr="45CE3BBF">
        <w:rPr>
          <w:sz w:val="24"/>
          <w:szCs w:val="24"/>
        </w:rPr>
        <w:t>Läkemedelsgrupper</w:t>
      </w:r>
    </w:p>
    <w:p w14:paraId="78A64713" w14:textId="77777777" w:rsidR="00A20158" w:rsidRPr="00F31049" w:rsidRDefault="00A20158" w:rsidP="00A20158">
      <w:pPr>
        <w:rPr>
          <w:rFonts w:cs="Garamond"/>
          <w:sz w:val="24"/>
          <w:szCs w:val="24"/>
        </w:rPr>
      </w:pPr>
      <w:r w:rsidRPr="79F3EFC6">
        <w:rPr>
          <w:rFonts w:cs="Garamond"/>
          <w:sz w:val="24"/>
          <w:szCs w:val="24"/>
        </w:rPr>
        <w:t>De grupper av blodtryckssänkande läkemedel som vanligen används i Sverige ger en likartad sänkning av blodtrycket (cirka 10/5 mm Hg) när läkemedlen används separat.</w:t>
      </w:r>
    </w:p>
    <w:p w14:paraId="1E018982" w14:textId="77777777" w:rsidR="00A20158" w:rsidRPr="00F31049" w:rsidRDefault="00A20158" w:rsidP="00A20158">
      <w:pPr>
        <w:pStyle w:val="Rubrik2"/>
        <w:rPr>
          <w:rFonts w:ascii="Corbel" w:hAnsi="Corbel" w:cs="Garamond"/>
          <w:b w:val="0"/>
          <w:bCs w:val="0"/>
          <w:sz w:val="24"/>
          <w:szCs w:val="24"/>
        </w:rPr>
      </w:pPr>
      <w:r w:rsidRPr="0DC5D26D">
        <w:rPr>
          <w:sz w:val="24"/>
          <w:szCs w:val="24"/>
        </w:rPr>
        <w:lastRenderedPageBreak/>
        <w:t>RAAS-blockad (Renin-Angiotensin-Aldosteron-System-blockad)</w:t>
      </w:r>
    </w:p>
    <w:p w14:paraId="3C04FF64" w14:textId="77777777" w:rsidR="00A20158" w:rsidRPr="00FC293B" w:rsidRDefault="00A20158" w:rsidP="00A20158">
      <w:pPr>
        <w:pStyle w:val="Rubrik3"/>
      </w:pPr>
      <w:r>
        <w:t xml:space="preserve">ACE (Angiotensin Converting Enzyme) -hämmare </w:t>
      </w:r>
    </w:p>
    <w:p w14:paraId="26C67DE4" w14:textId="77777777" w:rsidR="00A20158" w:rsidRPr="00311639" w:rsidRDefault="00A20158" w:rsidP="00A20158">
      <w:pPr>
        <w:autoSpaceDE w:val="0"/>
        <w:autoSpaceDN w:val="0"/>
        <w:adjustRightInd w:val="0"/>
        <w:rPr>
          <w:rFonts w:asciiTheme="minorHAnsi" w:hAnsiTheme="minorHAnsi" w:cs="Garamond"/>
          <w:sz w:val="28"/>
          <w:szCs w:val="28"/>
        </w:rPr>
      </w:pPr>
      <w:r w:rsidRPr="0DC5D26D">
        <w:rPr>
          <w:rFonts w:asciiTheme="minorHAnsi" w:hAnsiTheme="minorHAnsi" w:cs="Garamond"/>
          <w:sz w:val="24"/>
          <w:szCs w:val="24"/>
        </w:rPr>
        <w:t xml:space="preserve">Den blodtryckssänkande effekt är likvärdig med andra preparat. Hosta är vanligt som biverkan och en ledande orsak till behandlingsavbrott. Av enskilda ACE-hämmare har endast en visat en skyddande effekt mot hjärtinfarkt och stroke (perindopril; tillhandahålls inte i Sverige) i en enstaka studie. En viktig del av evidensen för användning av ACE-hämmare utgörs av resultaten från HOPE- studien (ramipril), där dock inte alla patienter var hypertoniker men väl hade kardiovaskulära riskfaktorer [6]. Både ramipril och enalapril bromsar försämringen av funktionen hos diabetiska njurar. Vid behandling med ACE-hämmare, liksom med </w:t>
      </w:r>
      <w:r>
        <w:rPr>
          <w:rFonts w:asciiTheme="minorHAnsi" w:hAnsiTheme="minorHAnsi" w:cs="Garamond"/>
          <w:sz w:val="24"/>
          <w:szCs w:val="24"/>
        </w:rPr>
        <w:t>a</w:t>
      </w:r>
      <w:r w:rsidRPr="0DC5D26D">
        <w:rPr>
          <w:rFonts w:asciiTheme="minorHAnsi" w:hAnsiTheme="minorHAnsi" w:cs="Garamond"/>
          <w:sz w:val="24"/>
          <w:szCs w:val="24"/>
        </w:rPr>
        <w:t xml:space="preserve">ngiotensinreceptorblockerare (ARB) ska kalium och kreatinin följas. Kreatinin stiger ofta något av ACE-hämmare. Först om stegringen överstiger 30 % av ursprungsvärdet är det motiverat att byta behandling.  </w:t>
      </w:r>
    </w:p>
    <w:p w14:paraId="27D85026" w14:textId="77777777" w:rsidR="00A20158" w:rsidRPr="00FC293B" w:rsidRDefault="00A20158" w:rsidP="00A20158">
      <w:pPr>
        <w:pStyle w:val="Rubrik3"/>
      </w:pPr>
      <w:r>
        <w:t xml:space="preserve">ARB (Angiotensin Receptor – antagonister) </w:t>
      </w:r>
    </w:p>
    <w:p w14:paraId="30877DC0" w14:textId="77777777" w:rsidR="00A20158" w:rsidRDefault="00A20158" w:rsidP="00A20158">
      <w:pPr>
        <w:autoSpaceDE w:val="0"/>
        <w:autoSpaceDN w:val="0"/>
        <w:adjustRightInd w:val="0"/>
        <w:rPr>
          <w:rFonts w:asciiTheme="minorHAnsi" w:hAnsiTheme="minorHAnsi"/>
          <w:sz w:val="24"/>
          <w:szCs w:val="24"/>
        </w:rPr>
      </w:pPr>
      <w:r w:rsidRPr="0DC5D26D">
        <w:rPr>
          <w:rFonts w:asciiTheme="minorHAnsi" w:hAnsiTheme="minorHAnsi" w:cs="Garamond"/>
          <w:sz w:val="24"/>
          <w:szCs w:val="24"/>
        </w:rPr>
        <w:t xml:space="preserve">ARB har samma blodtryckssänkande effekt som övriga blodtrycksmedel. ARB är väl tolererbart jämfört med ACE-hämmare och även jämfört övriga blodtryckssänkande farmaka. Samma problem som ACE-hämmare orsakar – hypotoni och negativ inverkan på njurfunktion och kalium - ses även av ARB. I Europiska kardiologföreningens guidlines för hypertonibehandling jämställes </w:t>
      </w:r>
      <w:r>
        <w:rPr>
          <w:rFonts w:asciiTheme="minorHAnsi" w:hAnsiTheme="minorHAnsi" w:cs="Garamond"/>
          <w:sz w:val="24"/>
          <w:szCs w:val="24"/>
        </w:rPr>
        <w:br/>
      </w:r>
      <w:r w:rsidRPr="0DC5D26D">
        <w:rPr>
          <w:rFonts w:asciiTheme="minorHAnsi" w:hAnsiTheme="minorHAnsi" w:cs="Garamond"/>
          <w:sz w:val="24"/>
          <w:szCs w:val="24"/>
        </w:rPr>
        <w:t>ACE-hämmare och ARB avseende blodtryckssänkande effekt, minskad förekomst av albuminuri och njurprotektiv effekt. Även skydd mot större kardiovaskulära händelser och mortalitet anses likvärdig</w:t>
      </w:r>
      <w:r w:rsidRPr="0DC5D26D">
        <w:rPr>
          <w:rFonts w:asciiTheme="minorHAnsi" w:hAnsiTheme="minorHAnsi" w:cs="Garamond"/>
          <w:color w:val="97C11D"/>
          <w:sz w:val="24"/>
          <w:szCs w:val="24"/>
        </w:rPr>
        <w:t>.</w:t>
      </w:r>
      <w:r>
        <w:rPr>
          <w:rFonts w:asciiTheme="minorHAnsi" w:hAnsiTheme="minorHAnsi" w:cs="Garamond"/>
          <w:color w:val="97C11D"/>
          <w:sz w:val="24"/>
          <w:szCs w:val="24"/>
        </w:rPr>
        <w:t xml:space="preserve"> </w:t>
      </w:r>
      <w:r w:rsidRPr="45CE3BBF">
        <w:rPr>
          <w:rFonts w:asciiTheme="minorHAnsi" w:hAnsiTheme="minorHAnsi"/>
          <w:sz w:val="24"/>
          <w:szCs w:val="24"/>
        </w:rPr>
        <w:t>Direkt jämförande studier mellan ARB och ACE-hämmare avseende mortalitet saknas dock.</w:t>
      </w:r>
    </w:p>
    <w:p w14:paraId="58EFEE37" w14:textId="77777777" w:rsidR="00A20158" w:rsidRPr="00FC293B" w:rsidRDefault="00A20158" w:rsidP="00A20158">
      <w:pPr>
        <w:rPr>
          <w:rStyle w:val="Rubrik3Char"/>
        </w:rPr>
      </w:pPr>
    </w:p>
    <w:p w14:paraId="0792880E" w14:textId="77777777" w:rsidR="00A20158" w:rsidRPr="00970F85" w:rsidRDefault="00A20158" w:rsidP="00A20158">
      <w:pPr>
        <w:rPr>
          <w:rStyle w:val="Rubrik3Char"/>
          <w:sz w:val="28"/>
          <w:szCs w:val="24"/>
        </w:rPr>
      </w:pPr>
      <w:r w:rsidRPr="00970F85">
        <w:rPr>
          <w:rStyle w:val="Rubrik3Char"/>
          <w:sz w:val="28"/>
          <w:szCs w:val="24"/>
        </w:rPr>
        <w:t>Diuretika</w:t>
      </w:r>
    </w:p>
    <w:p w14:paraId="1B7A2CEC" w14:textId="77777777" w:rsidR="00A20158" w:rsidRPr="00FC293B" w:rsidRDefault="00A20158" w:rsidP="00A20158">
      <w:pPr>
        <w:rPr>
          <w:rFonts w:ascii="Corbel" w:hAnsi="Corbel" w:cs="Garamond"/>
          <w:b/>
          <w:bCs/>
          <w:sz w:val="32"/>
          <w:szCs w:val="32"/>
        </w:rPr>
      </w:pPr>
      <w:r w:rsidRPr="0DC5D26D">
        <w:rPr>
          <w:rStyle w:val="Rubrik3Char"/>
        </w:rPr>
        <w:t xml:space="preserve">Tiazider (bendroflumetiazid, hydroklortiazid) </w:t>
      </w:r>
      <w:r>
        <w:br/>
      </w:r>
      <w:r w:rsidRPr="0DC5D26D">
        <w:rPr>
          <w:rFonts w:asciiTheme="minorHAnsi" w:hAnsiTheme="minorHAnsi" w:cs="Garamond"/>
          <w:sz w:val="24"/>
          <w:szCs w:val="24"/>
        </w:rPr>
        <w:t xml:space="preserve">Tiazider tillhör de mest kostnadseffektiva och väldokumenterade medlen vid hypertonibehandling. Gynnsamma effekter har visats beträffande total dödlighet, dödlig och icke dödlig hjärtinfarkt och stroke samt utveckling av hjärtsvikt vid lågdosbehandling [4]. Effekten ses även hos typ-2 diabetiker. Det bör dock noteras att den diuretiska effekten avtar redan vid måttlig njurfunktionsförsämring. </w:t>
      </w:r>
    </w:p>
    <w:p w14:paraId="391A172D" w14:textId="77777777" w:rsidR="00A20158" w:rsidRPr="00FC293B" w:rsidRDefault="00A20158" w:rsidP="00A20158">
      <w:pPr>
        <w:rPr>
          <w:rFonts w:asciiTheme="minorHAnsi" w:hAnsiTheme="minorHAnsi" w:cs="Garamond"/>
          <w:sz w:val="24"/>
          <w:szCs w:val="24"/>
        </w:rPr>
      </w:pPr>
    </w:p>
    <w:p w14:paraId="38F7F117" w14:textId="77777777" w:rsidR="00A20158" w:rsidRPr="00FC293B" w:rsidRDefault="00A20158" w:rsidP="00A20158">
      <w:pPr>
        <w:rPr>
          <w:rFonts w:asciiTheme="minorHAnsi" w:hAnsiTheme="minorHAnsi" w:cs="Garamond"/>
          <w:sz w:val="24"/>
          <w:szCs w:val="24"/>
        </w:rPr>
      </w:pPr>
      <w:r w:rsidRPr="0DC5D26D">
        <w:rPr>
          <w:rFonts w:asciiTheme="minorHAnsi" w:hAnsiTheme="minorHAnsi"/>
          <w:sz w:val="24"/>
          <w:szCs w:val="24"/>
        </w:rPr>
        <w:t xml:space="preserve">På grund av eventuell risk för icke-melanomcancer rekommenderar Läkemedelsverket och EMA att patienter som använder hydroklortiazid begränsar exponeringen för solljus, använder solskydd och kontrollerar huden regelbundet med avseende på eventuella hudförändringar och kontaktar läkare vid misstänkt hudförändring. I de flesta fall kan behandling med hydroklortiazid fortsätta. </w:t>
      </w:r>
      <w:r>
        <w:rPr>
          <w:rFonts w:asciiTheme="minorHAnsi" w:hAnsiTheme="minorHAnsi"/>
          <w:sz w:val="24"/>
          <w:szCs w:val="24"/>
        </w:rPr>
        <w:br/>
      </w:r>
      <w:r w:rsidRPr="0DC5D26D">
        <w:rPr>
          <w:rFonts w:asciiTheme="minorHAnsi" w:hAnsiTheme="minorHAnsi"/>
          <w:sz w:val="24"/>
          <w:szCs w:val="24"/>
        </w:rPr>
        <w:t xml:space="preserve">I Blekinge rekommenderas i första hand bendroflumetiazid vid val av tiazid. </w:t>
      </w:r>
      <w:r w:rsidRPr="0DC5D26D">
        <w:rPr>
          <w:rFonts w:asciiTheme="minorHAnsi" w:hAnsiTheme="minorHAnsi" w:cs="Garamond"/>
          <w:sz w:val="24"/>
          <w:szCs w:val="24"/>
        </w:rPr>
        <w:t xml:space="preserve">[5] </w:t>
      </w:r>
    </w:p>
    <w:p w14:paraId="1AE8CDBC" w14:textId="77777777" w:rsidR="00A20158" w:rsidRPr="00FC293B" w:rsidRDefault="00A20158" w:rsidP="00A20158">
      <w:pPr>
        <w:pStyle w:val="Rubrik3"/>
      </w:pPr>
      <w:r>
        <w:t xml:space="preserve">Loopdiuretika </w:t>
      </w:r>
    </w:p>
    <w:p w14:paraId="7029589F" w14:textId="77777777" w:rsidR="00A20158" w:rsidRPr="00311639" w:rsidRDefault="00A20158" w:rsidP="00A20158">
      <w:pPr>
        <w:autoSpaceDE w:val="0"/>
        <w:autoSpaceDN w:val="0"/>
        <w:adjustRightInd w:val="0"/>
        <w:rPr>
          <w:rFonts w:asciiTheme="minorHAnsi" w:hAnsiTheme="minorHAnsi" w:cs="Garamond"/>
          <w:sz w:val="24"/>
          <w:szCs w:val="24"/>
        </w:rPr>
      </w:pPr>
      <w:r w:rsidRPr="0DC5D26D">
        <w:rPr>
          <w:rFonts w:asciiTheme="minorHAnsi" w:hAnsiTheme="minorHAnsi" w:cs="Garamond"/>
          <w:sz w:val="24"/>
          <w:szCs w:val="24"/>
        </w:rPr>
        <w:t xml:space="preserve">Loopdiuretika skall ges i stället för tiazider vid nedsatt njurfunktion. Vid svårbehandlad (resistent) hypertoni har furosemid en plats, liksom vid samtidig hjärtsvikt. </w:t>
      </w:r>
      <w:r w:rsidRPr="0DC5D26D">
        <w:rPr>
          <w:rFonts w:asciiTheme="minorHAnsi" w:hAnsiTheme="minorHAnsi"/>
          <w:color w:val="000000" w:themeColor="text1"/>
          <w:sz w:val="24"/>
          <w:szCs w:val="24"/>
        </w:rPr>
        <w:t>Effekten är ofta god och snabbt insättande</w:t>
      </w:r>
      <w:r w:rsidRPr="0DC5D26D">
        <w:rPr>
          <w:rFonts w:asciiTheme="minorHAnsi" w:hAnsiTheme="minorHAnsi" w:cs="Garamond"/>
          <w:sz w:val="24"/>
          <w:szCs w:val="24"/>
        </w:rPr>
        <w:t xml:space="preserve">. Metabola effekter av loopdiuretika är av samma slag som av tiazider, medan S-kalcium sänks. </w:t>
      </w:r>
    </w:p>
    <w:p w14:paraId="7D39B5DB" w14:textId="77777777" w:rsidR="00A20158" w:rsidRPr="00FC293B" w:rsidRDefault="00A20158" w:rsidP="00A20158">
      <w:pPr>
        <w:pStyle w:val="Rubrik3"/>
      </w:pPr>
      <w:r>
        <w:lastRenderedPageBreak/>
        <w:t xml:space="preserve">Spironolakton </w:t>
      </w:r>
    </w:p>
    <w:p w14:paraId="2A029A8E" w14:textId="77777777" w:rsidR="00A20158" w:rsidRDefault="00A20158" w:rsidP="00A20158">
      <w:pPr>
        <w:autoSpaceDE w:val="0"/>
        <w:autoSpaceDN w:val="0"/>
        <w:adjustRightInd w:val="0"/>
        <w:rPr>
          <w:rFonts w:asciiTheme="minorHAnsi" w:hAnsiTheme="minorHAnsi"/>
          <w:color w:val="000000" w:themeColor="text1"/>
        </w:rPr>
      </w:pPr>
      <w:r w:rsidRPr="0DC5D26D">
        <w:rPr>
          <w:rFonts w:asciiTheme="minorHAnsi" w:hAnsiTheme="minorHAnsi" w:cs="Garamond"/>
          <w:sz w:val="24"/>
          <w:szCs w:val="24"/>
        </w:rPr>
        <w:t xml:space="preserve">Spironolakton saknar morbiditets- och mortalitetsminskande dokumentation vid hypertoni. Effekter och bieffekter är välkända. Det finns erfarenhetsmässigt viss plats för spironolakton vid svårbehandlad (resistent) hypertoni. </w:t>
      </w:r>
      <w:r w:rsidRPr="0DC5D26D">
        <w:rPr>
          <w:rFonts w:asciiTheme="minorHAnsi" w:hAnsiTheme="minorHAnsi"/>
          <w:color w:val="000000" w:themeColor="text1"/>
          <w:sz w:val="24"/>
          <w:szCs w:val="24"/>
        </w:rPr>
        <w:t>Vid gynekomasti kan spironolakton bytas till eplerenon.</w:t>
      </w:r>
    </w:p>
    <w:p w14:paraId="40F00723" w14:textId="77777777" w:rsidR="00A20158" w:rsidRPr="00FC293B" w:rsidRDefault="00A20158" w:rsidP="00A20158">
      <w:pPr>
        <w:rPr>
          <w:rStyle w:val="Rubrik2Char"/>
        </w:rPr>
      </w:pPr>
    </w:p>
    <w:p w14:paraId="534EA37A" w14:textId="77777777" w:rsidR="00A20158" w:rsidRPr="00FC293B" w:rsidRDefault="00A20158" w:rsidP="00A20158">
      <w:pPr>
        <w:rPr>
          <w:rStyle w:val="Rubrik3Char"/>
        </w:rPr>
      </w:pPr>
      <w:r w:rsidRPr="00970F85">
        <w:rPr>
          <w:rStyle w:val="Rubrik2Char"/>
          <w:szCs w:val="28"/>
        </w:rPr>
        <w:t>Övriga medel</w:t>
      </w:r>
      <w:r w:rsidRPr="00970F85">
        <w:rPr>
          <w:rStyle w:val="Rubrik2Char"/>
          <w:sz w:val="32"/>
          <w:szCs w:val="28"/>
        </w:rPr>
        <w:t xml:space="preserve"> </w:t>
      </w:r>
      <w:r w:rsidRPr="00970F85">
        <w:rPr>
          <w:sz w:val="24"/>
          <w:szCs w:val="24"/>
        </w:rPr>
        <w:br/>
      </w:r>
      <w:r>
        <w:br/>
      </w:r>
      <w:r w:rsidRPr="79F3EFC6">
        <w:rPr>
          <w:rStyle w:val="Rubrik3Char"/>
        </w:rPr>
        <w:t xml:space="preserve">Kalciumantagonister </w:t>
      </w:r>
    </w:p>
    <w:p w14:paraId="0AE27064" w14:textId="77777777" w:rsidR="00A20158" w:rsidRPr="00FC293B" w:rsidRDefault="00A20158" w:rsidP="00A20158">
      <w:pPr>
        <w:rPr>
          <w:rFonts w:asciiTheme="minorHAnsi" w:hAnsiTheme="minorHAnsi"/>
          <w:sz w:val="24"/>
          <w:szCs w:val="24"/>
        </w:rPr>
      </w:pPr>
      <w:r w:rsidRPr="79F3EFC6">
        <w:rPr>
          <w:rFonts w:asciiTheme="minorHAnsi" w:hAnsiTheme="minorHAnsi"/>
          <w:sz w:val="24"/>
          <w:szCs w:val="24"/>
        </w:rPr>
        <w:t xml:space="preserve">Kalciumantagonister är också väldokumenterade som blodtryckssänkare. Medlen har använts som tilläggsmedel (till betablockerare och ACE-hämmare). Mot placebo har bara ett enskilt preparat (nitrendipin; tillhandahålls inte i Sverige) visat en primärpreventiv effekt mot stroke </w:t>
      </w:r>
      <w:r>
        <w:rPr>
          <w:rFonts w:asciiTheme="minorHAnsi" w:hAnsiTheme="minorHAnsi"/>
          <w:sz w:val="24"/>
          <w:szCs w:val="24"/>
        </w:rPr>
        <w:br/>
      </w:r>
      <w:r w:rsidRPr="79F3EFC6">
        <w:rPr>
          <w:rFonts w:asciiTheme="minorHAnsi" w:hAnsiTheme="minorHAnsi"/>
          <w:sz w:val="24"/>
          <w:szCs w:val="24"/>
        </w:rPr>
        <w:t>(ej hjärtinfarkt eller total dödlighet). Den mest dokumenterade substansen är amlodipin, som t.ex. i ALLHAT-studien inte visade någon skillnad (koronar död eller icke-fatal hjärtinfarkt som primärt effektmått) mot klortalidon eller lisinopril (hjärtsvikt var dock lägre hos dem som fått diuretika) [7]. Vid ankelödem som biverkan till Amlodipin, kan denna bytas till Lerkanidipin.</w:t>
      </w:r>
    </w:p>
    <w:p w14:paraId="2BFE637A" w14:textId="77777777" w:rsidR="00A20158" w:rsidRPr="00FC293B" w:rsidRDefault="00A20158" w:rsidP="00A20158">
      <w:pPr>
        <w:pStyle w:val="Rubrik3"/>
      </w:pPr>
      <w:r>
        <w:t xml:space="preserve">Betablockerare </w:t>
      </w:r>
    </w:p>
    <w:p w14:paraId="593B0D2B" w14:textId="77777777" w:rsidR="00A20158" w:rsidRPr="00311639" w:rsidRDefault="00A20158" w:rsidP="00A20158">
      <w:pPr>
        <w:autoSpaceDE w:val="0"/>
        <w:autoSpaceDN w:val="0"/>
        <w:adjustRightInd w:val="0"/>
        <w:rPr>
          <w:rFonts w:cs="GaramondBerthBQ-Regular"/>
          <w:b/>
          <w:bCs/>
          <w:color w:val="000000" w:themeColor="text1"/>
          <w:sz w:val="24"/>
          <w:szCs w:val="24"/>
        </w:rPr>
      </w:pPr>
      <w:r w:rsidRPr="45CE3BBF">
        <w:rPr>
          <w:rFonts w:asciiTheme="minorHAnsi" w:hAnsiTheme="minorHAnsi" w:cs="Garamond"/>
          <w:sz w:val="24"/>
          <w:szCs w:val="24"/>
        </w:rPr>
        <w:t xml:space="preserve">Betablockerare är väldokumenterade som blodtryckssänkare. Däremot är den morbiditets- och mortalitetsminskande effekten gentemot placebo otillräckligt dokumenterad vid okomplicerad hypertoni. </w:t>
      </w:r>
      <w:r w:rsidRPr="45CE3BBF">
        <w:rPr>
          <w:rFonts w:asciiTheme="minorHAnsi" w:hAnsiTheme="minorHAnsi"/>
          <w:sz w:val="24"/>
          <w:szCs w:val="24"/>
        </w:rPr>
        <w:t xml:space="preserve">Betablockerare kan dock ges i kombinationsbehandling till exempel vid hjärtsvikt, </w:t>
      </w:r>
      <w:r>
        <w:rPr>
          <w:rFonts w:asciiTheme="minorHAnsi" w:hAnsiTheme="minorHAnsi"/>
          <w:sz w:val="24"/>
          <w:szCs w:val="24"/>
        </w:rPr>
        <w:br/>
      </w:r>
      <w:r w:rsidRPr="45CE3BBF">
        <w:rPr>
          <w:rFonts w:asciiTheme="minorHAnsi" w:hAnsiTheme="minorHAnsi"/>
          <w:sz w:val="24"/>
          <w:szCs w:val="24"/>
        </w:rPr>
        <w:t xml:space="preserve">äldre hjärtinfarkt, angina pectoris och hjärtarytmi. </w:t>
      </w:r>
    </w:p>
    <w:p w14:paraId="49752042" w14:textId="77777777" w:rsidR="00A20158" w:rsidRPr="00EF7A55" w:rsidRDefault="00A20158" w:rsidP="00A20158">
      <w:pPr>
        <w:pStyle w:val="Rubrik3"/>
      </w:pPr>
      <w:r>
        <w:t>Kombinationsbehandling</w:t>
      </w:r>
    </w:p>
    <w:p w14:paraId="2D636490" w14:textId="77777777" w:rsidR="00A20158" w:rsidRDefault="00A20158" w:rsidP="00A20158">
      <w:pPr>
        <w:rPr>
          <w:highlight w:val="yellow"/>
        </w:rPr>
      </w:pPr>
      <w:r>
        <w:t>Kombinationsbehandling med minst två preparat rekommenderas till patienter med systoliskt blodtryck över 150 mmHg och förekomst av riskfaktor vid ålder under 80 år.</w:t>
      </w:r>
    </w:p>
    <w:p w14:paraId="5915A0F5" w14:textId="77777777" w:rsidR="00A20158" w:rsidRDefault="00A20158" w:rsidP="00A20158">
      <w:pPr>
        <w:autoSpaceDE w:val="0"/>
        <w:autoSpaceDN w:val="0"/>
        <w:adjustRightInd w:val="0"/>
        <w:rPr>
          <w:sz w:val="24"/>
          <w:szCs w:val="24"/>
        </w:rPr>
      </w:pPr>
      <w:r w:rsidRPr="79F3EFC6">
        <w:rPr>
          <w:sz w:val="24"/>
          <w:szCs w:val="24"/>
        </w:rPr>
        <w:t xml:space="preserve">Att avgöra vilka kombinationsbehandlingar som ger tillräckligt skydd för kardiovaskulära händelser kan vara en svår fråga. En rationell kombination som terapigruppen rekommenderar är ACE-hämmare/ARB (enalapril, ramipril/kandesartan, losartan) tillsammans med tiazid (hydroklortiazid), vilka med fördel kan ges som en kombinationstablett. Goda hälsoevidens finns för kombination av ACE- hämmare och kalciumantagonist. </w:t>
      </w:r>
    </w:p>
    <w:p w14:paraId="2DCCBD22" w14:textId="77777777" w:rsidR="00A20158" w:rsidRDefault="00A20158" w:rsidP="00A20158">
      <w:pPr>
        <w:autoSpaceDE w:val="0"/>
        <w:autoSpaceDN w:val="0"/>
        <w:adjustRightInd w:val="0"/>
        <w:rPr>
          <w:rFonts w:cs="Arial"/>
          <w:b/>
          <w:sz w:val="24"/>
          <w:szCs w:val="24"/>
        </w:rPr>
      </w:pPr>
      <w:r>
        <w:rPr>
          <w:noProof/>
        </w:rPr>
        <w:lastRenderedPageBreak/>
        <w:drawing>
          <wp:inline distT="0" distB="0" distL="0" distR="0" wp14:anchorId="609DB1D3" wp14:editId="456BB4B1">
            <wp:extent cx="5238601" cy="2790701"/>
            <wp:effectExtent l="0" t="0" r="635" b="0"/>
            <wp:docPr id="5" name="Bildobjekt 5" descr="En bild som visar text, skärmbild, Teckensnitt,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 skärmbild, Teckensnitt, design&#10;&#10;AI-genererat innehåll kan vara felaktigt."/>
                    <pic:cNvPicPr/>
                  </pic:nvPicPr>
                  <pic:blipFill>
                    <a:blip r:embed="rId77"/>
                    <a:stretch>
                      <a:fillRect/>
                    </a:stretch>
                  </pic:blipFill>
                  <pic:spPr>
                    <a:xfrm>
                      <a:off x="0" y="0"/>
                      <a:ext cx="5263025" cy="2803712"/>
                    </a:xfrm>
                    <a:prstGeom prst="rect">
                      <a:avLst/>
                    </a:prstGeom>
                  </pic:spPr>
                </pic:pic>
              </a:graphicData>
            </a:graphic>
          </wp:inline>
        </w:drawing>
      </w:r>
    </w:p>
    <w:p w14:paraId="22808AEF" w14:textId="77777777" w:rsidR="00A20158" w:rsidRDefault="00A20158" w:rsidP="00A20158">
      <w:pPr>
        <w:tabs>
          <w:tab w:val="clear" w:pos="284"/>
        </w:tabs>
        <w:spacing w:after="120" w:line="260" w:lineRule="atLeast"/>
        <w:rPr>
          <w:rStyle w:val="Hyperlnk"/>
        </w:rPr>
      </w:pPr>
      <w:hyperlink r:id="rId78">
        <w:r w:rsidRPr="79F3EFC6">
          <w:rPr>
            <w:rStyle w:val="Hyperlnk"/>
          </w:rPr>
          <w:t>Hypertoni - Viss.nu</w:t>
        </w:r>
      </w:hyperlink>
      <w:r>
        <w:rPr>
          <w:rStyle w:val="Hyperlnk"/>
        </w:rPr>
        <w:br/>
      </w:r>
    </w:p>
    <w:p w14:paraId="385EB48A" w14:textId="77777777" w:rsidR="00A20158" w:rsidRPr="00961C94" w:rsidRDefault="00A20158" w:rsidP="00A20158">
      <w:pPr>
        <w:pStyle w:val="Rubrik2"/>
      </w:pPr>
      <w:r>
        <w:t xml:space="preserve">Hjärtsvikt med nedsatt systolisk vänsterkammarfunktion </w:t>
      </w:r>
      <w:r>
        <w:br/>
        <w:t>(HFmrEF och HFrEF)</w:t>
      </w:r>
      <w:r>
        <w:br/>
      </w:r>
    </w:p>
    <w:p w14:paraId="2440D113" w14:textId="77777777" w:rsidR="00A20158" w:rsidRPr="005406D3" w:rsidRDefault="00A20158" w:rsidP="00A20158">
      <w:pPr>
        <w:rPr>
          <w:rFonts w:asciiTheme="minorHAnsi" w:hAnsiTheme="minorHAnsi"/>
          <w:sz w:val="24"/>
          <w:szCs w:val="24"/>
        </w:rPr>
      </w:pPr>
      <w:r w:rsidRPr="005406D3">
        <w:rPr>
          <w:rFonts w:asciiTheme="minorHAnsi" w:hAnsiTheme="minorHAnsi"/>
          <w:sz w:val="24"/>
          <w:szCs w:val="24"/>
        </w:rPr>
        <w:t>RAAS-blockad, betablockerare, MRA och SGLT2-hämmare rekommenderas samtliga som basbehandling. Att få med alla prioriteras framför hög dos av enskilt preparat.</w:t>
      </w:r>
    </w:p>
    <w:p w14:paraId="65A18F8E" w14:textId="77777777" w:rsidR="00A20158" w:rsidRDefault="00A20158" w:rsidP="00A20158">
      <w:pPr>
        <w:rPr>
          <w:rFonts w:cs="Arial"/>
          <w:strike/>
          <w:sz w:val="24"/>
          <w:szCs w:val="24"/>
        </w:rPr>
      </w:pPr>
    </w:p>
    <w:tbl>
      <w:tblPr>
        <w:tblStyle w:val="Professionelltabell1"/>
        <w:tblW w:w="8072" w:type="dxa"/>
        <w:tblLook w:val="0000" w:firstRow="0" w:lastRow="0" w:firstColumn="0" w:lastColumn="0" w:noHBand="0" w:noVBand="0"/>
      </w:tblPr>
      <w:tblGrid>
        <w:gridCol w:w="5237"/>
        <w:gridCol w:w="2835"/>
      </w:tblGrid>
      <w:tr w:rsidR="00A20158" w:rsidRPr="00311639" w14:paraId="4E02E6AB" w14:textId="77777777" w:rsidTr="00632FCC">
        <w:tc>
          <w:tcPr>
            <w:tcW w:w="8072" w:type="dxa"/>
            <w:gridSpan w:val="2"/>
          </w:tcPr>
          <w:p w14:paraId="020D29A2" w14:textId="77777777" w:rsidR="00A20158" w:rsidRPr="00311639" w:rsidRDefault="00A20158" w:rsidP="00632FCC">
            <w:pPr>
              <w:rPr>
                <w:rFonts w:asciiTheme="minorHAnsi" w:eastAsiaTheme="minorEastAsia" w:hAnsiTheme="minorHAnsi"/>
                <w:sz w:val="28"/>
                <w:szCs w:val="28"/>
              </w:rPr>
            </w:pPr>
            <w:r w:rsidRPr="79F3EFC6">
              <w:rPr>
                <w:rFonts w:asciiTheme="minorHAnsi" w:eastAsiaTheme="minorEastAsia" w:hAnsiTheme="minorHAnsi"/>
                <w:b/>
                <w:bCs/>
                <w:sz w:val="28"/>
                <w:szCs w:val="28"/>
              </w:rPr>
              <w:t>ACE-hämmare</w:t>
            </w:r>
          </w:p>
        </w:tc>
      </w:tr>
      <w:tr w:rsidR="00A20158" w:rsidRPr="00311639" w14:paraId="639A6468" w14:textId="77777777" w:rsidTr="00632FCC">
        <w:tc>
          <w:tcPr>
            <w:tcW w:w="5237" w:type="dxa"/>
          </w:tcPr>
          <w:p w14:paraId="60581E84"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4"/>
                <w:szCs w:val="24"/>
              </w:rPr>
              <w:t>enalapril</w:t>
            </w:r>
          </w:p>
        </w:tc>
        <w:tc>
          <w:tcPr>
            <w:tcW w:w="2835" w:type="dxa"/>
          </w:tcPr>
          <w:p w14:paraId="2F978A1E" w14:textId="77777777" w:rsidR="00A20158" w:rsidRPr="00311639"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Enalapril</w:t>
            </w:r>
          </w:p>
        </w:tc>
      </w:tr>
      <w:tr w:rsidR="00A20158" w:rsidRPr="00311639" w14:paraId="2706ECDE" w14:textId="77777777" w:rsidTr="00632FCC">
        <w:tc>
          <w:tcPr>
            <w:tcW w:w="5237" w:type="dxa"/>
          </w:tcPr>
          <w:p w14:paraId="350ADCDF"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4"/>
                <w:szCs w:val="24"/>
              </w:rPr>
              <w:t>ramipril</w:t>
            </w:r>
          </w:p>
        </w:tc>
        <w:tc>
          <w:tcPr>
            <w:tcW w:w="2835" w:type="dxa"/>
          </w:tcPr>
          <w:p w14:paraId="7CC830D9" w14:textId="77777777" w:rsidR="00A20158" w:rsidRPr="00311639"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Ramipril</w:t>
            </w:r>
          </w:p>
        </w:tc>
      </w:tr>
      <w:tr w:rsidR="00A20158" w:rsidRPr="00311639" w14:paraId="27F43F9A" w14:textId="77777777" w:rsidTr="00632FCC">
        <w:tc>
          <w:tcPr>
            <w:tcW w:w="8072" w:type="dxa"/>
            <w:gridSpan w:val="2"/>
          </w:tcPr>
          <w:p w14:paraId="4FB9DA30" w14:textId="77777777" w:rsidR="00A20158" w:rsidRPr="00311639" w:rsidRDefault="00A20158" w:rsidP="00632FCC">
            <w:pPr>
              <w:rPr>
                <w:rFonts w:asciiTheme="minorHAnsi" w:eastAsiaTheme="minorEastAsia" w:hAnsiTheme="minorHAnsi"/>
                <w:sz w:val="24"/>
                <w:szCs w:val="24"/>
              </w:rPr>
            </w:pPr>
          </w:p>
        </w:tc>
      </w:tr>
      <w:tr w:rsidR="00A20158" w:rsidRPr="00311639" w14:paraId="7B55E73A" w14:textId="77777777" w:rsidTr="00632FCC">
        <w:tc>
          <w:tcPr>
            <w:tcW w:w="8072" w:type="dxa"/>
            <w:gridSpan w:val="2"/>
          </w:tcPr>
          <w:p w14:paraId="6038BA74" w14:textId="77777777" w:rsidR="00A20158" w:rsidRPr="00311639" w:rsidRDefault="00A20158" w:rsidP="00632FCC">
            <w:pPr>
              <w:rPr>
                <w:rFonts w:asciiTheme="minorHAnsi" w:eastAsiaTheme="minorEastAsia" w:hAnsiTheme="minorHAnsi"/>
                <w:b/>
                <w:bCs/>
                <w:sz w:val="28"/>
                <w:szCs w:val="28"/>
              </w:rPr>
            </w:pPr>
            <w:r w:rsidRPr="79F3EFC6">
              <w:rPr>
                <w:rFonts w:asciiTheme="minorHAnsi" w:eastAsiaTheme="minorEastAsia" w:hAnsiTheme="minorHAnsi"/>
                <w:b/>
                <w:bCs/>
                <w:sz w:val="28"/>
                <w:szCs w:val="28"/>
              </w:rPr>
              <w:t>ARB (Angiotensinreceptorblockare)</w:t>
            </w:r>
          </w:p>
        </w:tc>
      </w:tr>
      <w:tr w:rsidR="00A20158" w:rsidRPr="00311639" w14:paraId="291FCDB5" w14:textId="77777777" w:rsidTr="00632FCC">
        <w:tc>
          <w:tcPr>
            <w:tcW w:w="5237" w:type="dxa"/>
          </w:tcPr>
          <w:p w14:paraId="29949C46"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4"/>
                <w:szCs w:val="24"/>
              </w:rPr>
              <w:t>kandesartan</w:t>
            </w:r>
          </w:p>
        </w:tc>
        <w:tc>
          <w:tcPr>
            <w:tcW w:w="2835" w:type="dxa"/>
          </w:tcPr>
          <w:p w14:paraId="453BFB2D" w14:textId="77777777" w:rsidR="00A20158" w:rsidRPr="00311639"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Candesartan</w:t>
            </w:r>
          </w:p>
        </w:tc>
      </w:tr>
      <w:tr w:rsidR="00A20158" w:rsidRPr="00311639" w14:paraId="02E8E12F" w14:textId="77777777" w:rsidTr="00632FCC">
        <w:tc>
          <w:tcPr>
            <w:tcW w:w="5237" w:type="dxa"/>
          </w:tcPr>
          <w:p w14:paraId="442362DC"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4"/>
                <w:szCs w:val="24"/>
              </w:rPr>
              <w:t>valsartan</w:t>
            </w:r>
          </w:p>
        </w:tc>
        <w:tc>
          <w:tcPr>
            <w:tcW w:w="2835" w:type="dxa"/>
          </w:tcPr>
          <w:p w14:paraId="1C945E0D" w14:textId="77777777" w:rsidR="00A20158" w:rsidRPr="00311639"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Valsartan</w:t>
            </w:r>
          </w:p>
        </w:tc>
      </w:tr>
      <w:tr w:rsidR="00A20158" w:rsidRPr="00311639" w14:paraId="736F594D" w14:textId="77777777" w:rsidTr="00632FCC">
        <w:tc>
          <w:tcPr>
            <w:tcW w:w="8072" w:type="dxa"/>
            <w:gridSpan w:val="2"/>
          </w:tcPr>
          <w:p w14:paraId="3B136DFD" w14:textId="77777777" w:rsidR="00A20158" w:rsidRPr="00311639" w:rsidRDefault="00A20158" w:rsidP="00632FCC">
            <w:pPr>
              <w:rPr>
                <w:rFonts w:asciiTheme="minorHAnsi" w:eastAsiaTheme="minorEastAsia" w:hAnsiTheme="minorHAnsi"/>
                <w:sz w:val="24"/>
                <w:szCs w:val="24"/>
              </w:rPr>
            </w:pPr>
          </w:p>
        </w:tc>
      </w:tr>
      <w:tr w:rsidR="00A20158" w:rsidRPr="00311639" w14:paraId="55C99106" w14:textId="77777777" w:rsidTr="00632FCC">
        <w:tc>
          <w:tcPr>
            <w:tcW w:w="8072" w:type="dxa"/>
            <w:gridSpan w:val="2"/>
          </w:tcPr>
          <w:p w14:paraId="11C1E061" w14:textId="77777777" w:rsidR="00A20158" w:rsidRPr="00311639" w:rsidRDefault="00A20158" w:rsidP="00632FCC">
            <w:pPr>
              <w:rPr>
                <w:rFonts w:asciiTheme="minorHAnsi" w:eastAsiaTheme="minorEastAsia" w:hAnsiTheme="minorHAnsi"/>
                <w:sz w:val="28"/>
                <w:szCs w:val="28"/>
              </w:rPr>
            </w:pPr>
            <w:r w:rsidRPr="79F3EFC6">
              <w:rPr>
                <w:rFonts w:asciiTheme="minorHAnsi" w:eastAsiaTheme="minorEastAsia" w:hAnsiTheme="minorHAnsi"/>
                <w:b/>
                <w:bCs/>
                <w:sz w:val="28"/>
                <w:szCs w:val="28"/>
              </w:rPr>
              <w:t>Betablockare</w:t>
            </w:r>
          </w:p>
        </w:tc>
      </w:tr>
      <w:tr w:rsidR="00A20158" w:rsidRPr="00311639" w14:paraId="41E0638B" w14:textId="77777777" w:rsidTr="00632FCC">
        <w:tc>
          <w:tcPr>
            <w:tcW w:w="5237" w:type="dxa"/>
          </w:tcPr>
          <w:p w14:paraId="30CD7E54"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4"/>
                <w:szCs w:val="24"/>
              </w:rPr>
              <w:t>bisoprolol</w:t>
            </w:r>
          </w:p>
        </w:tc>
        <w:tc>
          <w:tcPr>
            <w:tcW w:w="2835" w:type="dxa"/>
          </w:tcPr>
          <w:p w14:paraId="56742C9D" w14:textId="77777777" w:rsidR="00A20158" w:rsidRPr="00311639"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Bisoprolol</w:t>
            </w:r>
          </w:p>
        </w:tc>
      </w:tr>
      <w:tr w:rsidR="00A20158" w:rsidRPr="00311639" w14:paraId="1A45EE06" w14:textId="77777777" w:rsidTr="00632FCC">
        <w:tc>
          <w:tcPr>
            <w:tcW w:w="5237" w:type="dxa"/>
          </w:tcPr>
          <w:p w14:paraId="5857A389"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4"/>
                <w:szCs w:val="24"/>
              </w:rPr>
              <w:t>metoprolol</w:t>
            </w:r>
          </w:p>
        </w:tc>
        <w:tc>
          <w:tcPr>
            <w:tcW w:w="2835" w:type="dxa"/>
          </w:tcPr>
          <w:p w14:paraId="3529A905" w14:textId="77777777" w:rsidR="00A20158" w:rsidRPr="00311639"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Metoprolol</w:t>
            </w:r>
          </w:p>
        </w:tc>
      </w:tr>
      <w:tr w:rsidR="00A20158" w:rsidRPr="00311639" w14:paraId="4A13B30D" w14:textId="77777777" w:rsidTr="00632FCC">
        <w:tc>
          <w:tcPr>
            <w:tcW w:w="8072" w:type="dxa"/>
            <w:gridSpan w:val="2"/>
          </w:tcPr>
          <w:p w14:paraId="07C9216B" w14:textId="77777777" w:rsidR="00A20158" w:rsidRPr="00311639" w:rsidRDefault="00A20158" w:rsidP="00632FCC">
            <w:pPr>
              <w:rPr>
                <w:rFonts w:asciiTheme="minorHAnsi" w:eastAsiaTheme="minorEastAsia" w:hAnsiTheme="minorHAnsi"/>
                <w:sz w:val="24"/>
                <w:szCs w:val="24"/>
              </w:rPr>
            </w:pPr>
          </w:p>
        </w:tc>
      </w:tr>
      <w:tr w:rsidR="00A20158" w:rsidRPr="00311639" w14:paraId="667409EF" w14:textId="77777777" w:rsidTr="00632FCC">
        <w:tc>
          <w:tcPr>
            <w:tcW w:w="8072" w:type="dxa"/>
            <w:gridSpan w:val="2"/>
          </w:tcPr>
          <w:p w14:paraId="70C8E7DD"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8"/>
                <w:szCs w:val="28"/>
              </w:rPr>
              <w:t>Mineralkortikoidreceptorantagonist (MRA</w:t>
            </w:r>
            <w:r w:rsidRPr="79F3EFC6">
              <w:rPr>
                <w:rFonts w:asciiTheme="minorHAnsi" w:eastAsiaTheme="minorEastAsia" w:hAnsiTheme="minorHAnsi"/>
                <w:b/>
                <w:bCs/>
                <w:sz w:val="24"/>
                <w:szCs w:val="24"/>
              </w:rPr>
              <w:t>)</w:t>
            </w:r>
          </w:p>
        </w:tc>
      </w:tr>
      <w:tr w:rsidR="00A20158" w:rsidRPr="00311639" w14:paraId="2DF25E26" w14:textId="77777777" w:rsidTr="00632FCC">
        <w:tc>
          <w:tcPr>
            <w:tcW w:w="5237" w:type="dxa"/>
          </w:tcPr>
          <w:p w14:paraId="0CAE1162"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4"/>
                <w:szCs w:val="24"/>
              </w:rPr>
              <w:t>spironolakton</w:t>
            </w:r>
          </w:p>
        </w:tc>
        <w:tc>
          <w:tcPr>
            <w:tcW w:w="2835" w:type="dxa"/>
          </w:tcPr>
          <w:p w14:paraId="0CDDA43D" w14:textId="77777777" w:rsidR="00A20158" w:rsidRPr="00311639"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Spironolakton</w:t>
            </w:r>
          </w:p>
        </w:tc>
      </w:tr>
      <w:tr w:rsidR="00A20158" w:rsidRPr="00311639" w14:paraId="29B1494A" w14:textId="77777777" w:rsidTr="00632FCC">
        <w:tc>
          <w:tcPr>
            <w:tcW w:w="5237" w:type="dxa"/>
          </w:tcPr>
          <w:p w14:paraId="4612B52A"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4"/>
                <w:szCs w:val="24"/>
              </w:rPr>
              <w:t>eplerenon</w:t>
            </w:r>
          </w:p>
        </w:tc>
        <w:tc>
          <w:tcPr>
            <w:tcW w:w="2835" w:type="dxa"/>
          </w:tcPr>
          <w:p w14:paraId="56BCF289" w14:textId="77777777" w:rsidR="00A20158" w:rsidRPr="00311639"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Eplerenon</w:t>
            </w:r>
          </w:p>
        </w:tc>
      </w:tr>
      <w:tr w:rsidR="00A20158" w:rsidRPr="00311639" w14:paraId="11B843C0" w14:textId="77777777" w:rsidTr="00632FCC">
        <w:tc>
          <w:tcPr>
            <w:tcW w:w="8072" w:type="dxa"/>
            <w:gridSpan w:val="2"/>
          </w:tcPr>
          <w:p w14:paraId="1155555B" w14:textId="77777777" w:rsidR="00A20158" w:rsidRPr="00311639" w:rsidRDefault="00A20158" w:rsidP="00632FCC">
            <w:pPr>
              <w:rPr>
                <w:rFonts w:asciiTheme="minorHAnsi" w:eastAsiaTheme="minorEastAsia" w:hAnsiTheme="minorHAnsi"/>
                <w:sz w:val="24"/>
                <w:szCs w:val="24"/>
              </w:rPr>
            </w:pPr>
          </w:p>
        </w:tc>
      </w:tr>
      <w:tr w:rsidR="00A20158" w:rsidRPr="00311639" w14:paraId="1384B89F" w14:textId="77777777" w:rsidTr="00632FCC">
        <w:tc>
          <w:tcPr>
            <w:tcW w:w="8072" w:type="dxa"/>
            <w:gridSpan w:val="2"/>
          </w:tcPr>
          <w:p w14:paraId="650BDF5C" w14:textId="77777777" w:rsidR="00A20158" w:rsidRPr="00311639" w:rsidRDefault="00A20158" w:rsidP="00632FCC">
            <w:pPr>
              <w:rPr>
                <w:rFonts w:asciiTheme="minorHAnsi" w:eastAsiaTheme="minorEastAsia" w:hAnsiTheme="minorHAnsi"/>
                <w:b/>
                <w:bCs/>
                <w:sz w:val="28"/>
                <w:szCs w:val="28"/>
              </w:rPr>
            </w:pPr>
            <w:r w:rsidRPr="79F3EFC6">
              <w:rPr>
                <w:rFonts w:asciiTheme="minorHAnsi" w:eastAsiaTheme="minorEastAsia" w:hAnsiTheme="minorHAnsi"/>
                <w:b/>
                <w:bCs/>
                <w:sz w:val="28"/>
                <w:szCs w:val="28"/>
              </w:rPr>
              <w:t>SGLT2-hämmare</w:t>
            </w:r>
          </w:p>
        </w:tc>
      </w:tr>
      <w:tr w:rsidR="00A20158" w:rsidRPr="00311639" w14:paraId="2EEA9496" w14:textId="77777777" w:rsidTr="00632FCC">
        <w:tc>
          <w:tcPr>
            <w:tcW w:w="5237" w:type="dxa"/>
          </w:tcPr>
          <w:p w14:paraId="65AB6A53"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4"/>
                <w:szCs w:val="24"/>
              </w:rPr>
              <w:t>dapagliflozin</w:t>
            </w:r>
          </w:p>
        </w:tc>
        <w:tc>
          <w:tcPr>
            <w:tcW w:w="2835" w:type="dxa"/>
          </w:tcPr>
          <w:p w14:paraId="7C1AE5B0" w14:textId="77777777" w:rsidR="00A20158" w:rsidRPr="00311639"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Forxiga</w:t>
            </w:r>
          </w:p>
        </w:tc>
      </w:tr>
      <w:tr w:rsidR="00A20158" w:rsidRPr="00311639" w14:paraId="58CF0485" w14:textId="77777777" w:rsidTr="00632FCC">
        <w:tc>
          <w:tcPr>
            <w:tcW w:w="5237" w:type="dxa"/>
          </w:tcPr>
          <w:p w14:paraId="78531DDF"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4"/>
                <w:szCs w:val="24"/>
              </w:rPr>
              <w:t>empagliflozin</w:t>
            </w:r>
          </w:p>
        </w:tc>
        <w:tc>
          <w:tcPr>
            <w:tcW w:w="2835" w:type="dxa"/>
          </w:tcPr>
          <w:p w14:paraId="27ADFCFC" w14:textId="77777777" w:rsidR="00A20158" w:rsidRPr="00311639"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Jardiance</w:t>
            </w:r>
          </w:p>
        </w:tc>
      </w:tr>
      <w:tr w:rsidR="00A20158" w:rsidRPr="00311639" w14:paraId="6293A065" w14:textId="77777777" w:rsidTr="00632FCC">
        <w:tc>
          <w:tcPr>
            <w:tcW w:w="8072" w:type="dxa"/>
            <w:gridSpan w:val="2"/>
          </w:tcPr>
          <w:p w14:paraId="18ED4C45" w14:textId="77777777" w:rsidR="00A20158" w:rsidRPr="00311639" w:rsidRDefault="00A20158" w:rsidP="00632FCC">
            <w:pPr>
              <w:rPr>
                <w:rFonts w:asciiTheme="minorHAnsi" w:eastAsiaTheme="minorEastAsia" w:hAnsiTheme="minorHAnsi"/>
                <w:sz w:val="24"/>
                <w:szCs w:val="24"/>
              </w:rPr>
            </w:pPr>
          </w:p>
        </w:tc>
      </w:tr>
      <w:tr w:rsidR="00A20158" w:rsidRPr="00311639" w14:paraId="63DE03F9" w14:textId="77777777" w:rsidTr="00632FCC">
        <w:tc>
          <w:tcPr>
            <w:tcW w:w="8072" w:type="dxa"/>
            <w:gridSpan w:val="2"/>
          </w:tcPr>
          <w:p w14:paraId="547D3EC6" w14:textId="77777777" w:rsidR="00A20158" w:rsidRPr="00311639" w:rsidRDefault="00A20158" w:rsidP="00632FCC">
            <w:pPr>
              <w:rPr>
                <w:rFonts w:asciiTheme="minorHAnsi" w:eastAsiaTheme="minorEastAsia" w:hAnsiTheme="minorHAnsi"/>
                <w:sz w:val="28"/>
                <w:szCs w:val="28"/>
              </w:rPr>
            </w:pPr>
            <w:r w:rsidRPr="79F3EFC6">
              <w:rPr>
                <w:rFonts w:asciiTheme="minorHAnsi" w:eastAsiaTheme="minorEastAsia" w:hAnsiTheme="minorHAnsi"/>
                <w:b/>
                <w:bCs/>
                <w:sz w:val="28"/>
                <w:szCs w:val="28"/>
              </w:rPr>
              <w:t>Övriga medel</w:t>
            </w:r>
          </w:p>
        </w:tc>
      </w:tr>
      <w:tr w:rsidR="00A20158" w:rsidRPr="00311639" w14:paraId="5B13C95C" w14:textId="77777777" w:rsidTr="00632FCC">
        <w:tc>
          <w:tcPr>
            <w:tcW w:w="5237" w:type="dxa"/>
          </w:tcPr>
          <w:p w14:paraId="574B63B0"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4"/>
                <w:szCs w:val="24"/>
              </w:rPr>
              <w:t>furosemid</w:t>
            </w:r>
          </w:p>
        </w:tc>
        <w:tc>
          <w:tcPr>
            <w:tcW w:w="2835" w:type="dxa"/>
          </w:tcPr>
          <w:p w14:paraId="023C36ED" w14:textId="77777777" w:rsidR="00A20158" w:rsidRPr="00311639"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Furix</w:t>
            </w:r>
          </w:p>
        </w:tc>
      </w:tr>
      <w:tr w:rsidR="00A20158" w:rsidRPr="00311639" w14:paraId="726FA6B7" w14:textId="77777777" w:rsidTr="00632FCC">
        <w:tc>
          <w:tcPr>
            <w:tcW w:w="5237" w:type="dxa"/>
          </w:tcPr>
          <w:p w14:paraId="2120AF29" w14:textId="77777777" w:rsidR="00A20158" w:rsidRPr="00311639"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4"/>
                <w:szCs w:val="24"/>
              </w:rPr>
              <w:t>digoxin</w:t>
            </w:r>
          </w:p>
        </w:tc>
        <w:tc>
          <w:tcPr>
            <w:tcW w:w="2835" w:type="dxa"/>
          </w:tcPr>
          <w:p w14:paraId="7DEC6F1D" w14:textId="77777777" w:rsidR="00A20158" w:rsidRPr="00311639"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Digoxin</w:t>
            </w:r>
          </w:p>
        </w:tc>
      </w:tr>
    </w:tbl>
    <w:p w14:paraId="405BABFF" w14:textId="77777777" w:rsidR="00A20158" w:rsidRPr="0071138D" w:rsidRDefault="00A20158" w:rsidP="00A20158">
      <w:pPr>
        <w:rPr>
          <w:rFonts w:cs="Arial"/>
          <w:szCs w:val="24"/>
        </w:rPr>
      </w:pPr>
    </w:p>
    <w:p w14:paraId="17E236AC" w14:textId="77777777" w:rsidR="00A20158" w:rsidRPr="008F23D9" w:rsidRDefault="00A20158" w:rsidP="00A20158">
      <w:pPr>
        <w:pStyle w:val="Rubrik2"/>
      </w:pPr>
      <w:r>
        <w:t>Kronisk hjärtsvikt</w:t>
      </w:r>
    </w:p>
    <w:p w14:paraId="5C582093" w14:textId="77777777" w:rsidR="00A20158" w:rsidRPr="00311639" w:rsidRDefault="00A20158" w:rsidP="00A20158">
      <w:pPr>
        <w:rPr>
          <w:sz w:val="24"/>
          <w:szCs w:val="24"/>
        </w:rPr>
      </w:pPr>
      <w:r w:rsidRPr="79F3EFC6">
        <w:rPr>
          <w:sz w:val="24"/>
          <w:szCs w:val="24"/>
        </w:rPr>
        <w:t xml:space="preserve">Hjärtsvikt betyder att hjärtat inte pumpar så mycket blod som kroppen behöver. Hjärtsvikt kan yttra sig som för låga blodflöden ut från hjärtat, eller som blodstockning bakåt från en eller båda hjärthalvorna. Ofta ses en kombination av dessa båda problem. Hjärtsvikt är behandlingsbart, </w:t>
      </w:r>
      <w:r>
        <w:rPr>
          <w:sz w:val="24"/>
          <w:szCs w:val="24"/>
        </w:rPr>
        <w:br/>
      </w:r>
      <w:r w:rsidRPr="79F3EFC6">
        <w:rPr>
          <w:sz w:val="24"/>
          <w:szCs w:val="24"/>
        </w:rPr>
        <w:t xml:space="preserve">och prognosen har förbättrats avsevärt under de senaste 30–40 åren, men underbehandling är fortfarande vanligt. Misstanke om hjärtsvikt uppstår oftast vid en kombination av symtom (andfåddhet, trötthet och bensvullnad) tillsammans med ett patologiskt EKG. Välgrundad misstanke om hjärtsvikt föreligger om då också NT-proBNP är förhöjt. Diagnosen bekräftas med en ultraljudsundersökning av hjärtat (ett ekokardiogram). </w:t>
      </w:r>
    </w:p>
    <w:p w14:paraId="3BE69B2B" w14:textId="77777777" w:rsidR="00A20158" w:rsidRPr="00311639" w:rsidRDefault="00A20158" w:rsidP="00A20158">
      <w:pPr>
        <w:rPr>
          <w:sz w:val="24"/>
          <w:szCs w:val="24"/>
        </w:rPr>
      </w:pPr>
      <w:r w:rsidRPr="79F3EFC6">
        <w:rPr>
          <w:sz w:val="24"/>
          <w:szCs w:val="24"/>
        </w:rPr>
        <w:t>En vanlig indelning av hjärtsvikt är i tre grupper baserade på ultraljudsundersökningen av hjärtat där man mäter den andel av blodet i den fulla vänsterkammaren som kammaren tömmer med ett slag. Den andelen utgör normalt mellan hälften och två tredjedelar av kammarens volym, och kallas vänster kammares ejektionsfraktion (Left Ventricular Ejection Fraction, LVEF).</w:t>
      </w:r>
    </w:p>
    <w:p w14:paraId="18DB8C74" w14:textId="77777777" w:rsidR="00A20158" w:rsidRPr="00311639" w:rsidRDefault="00A20158" w:rsidP="00A20158">
      <w:pPr>
        <w:rPr>
          <w:sz w:val="24"/>
          <w:szCs w:val="24"/>
        </w:rPr>
      </w:pPr>
      <w:r w:rsidRPr="79F3EFC6">
        <w:rPr>
          <w:sz w:val="24"/>
          <w:szCs w:val="24"/>
        </w:rPr>
        <w:t xml:space="preserve">Två av de tre grupperna utgörs av dem med en nedsatt pumpförmåga av vänster kammare, </w:t>
      </w:r>
      <w:r>
        <w:rPr>
          <w:sz w:val="24"/>
          <w:szCs w:val="24"/>
        </w:rPr>
        <w:br/>
      </w:r>
      <w:r w:rsidRPr="79F3EFC6">
        <w:rPr>
          <w:sz w:val="24"/>
          <w:szCs w:val="24"/>
        </w:rPr>
        <w:t xml:space="preserve">det man också kallar systolisk hjärtsvikt. HFrEF (Heart Failure with reduced Ejection Fraction) </w:t>
      </w:r>
      <w:r>
        <w:rPr>
          <w:sz w:val="24"/>
          <w:szCs w:val="24"/>
        </w:rPr>
        <w:br/>
      </w:r>
      <w:r w:rsidRPr="79F3EFC6">
        <w:rPr>
          <w:sz w:val="24"/>
          <w:szCs w:val="24"/>
        </w:rPr>
        <w:t xml:space="preserve">har LVEF ≤ 40 % HFmrEF (Heart Failure with mildly reduced Ejection Fraction) har </w:t>
      </w:r>
      <w:r>
        <w:rPr>
          <w:sz w:val="24"/>
          <w:szCs w:val="24"/>
        </w:rPr>
        <w:br/>
      </w:r>
      <w:r w:rsidRPr="79F3EFC6">
        <w:rPr>
          <w:sz w:val="24"/>
          <w:szCs w:val="24"/>
        </w:rPr>
        <w:t xml:space="preserve">LVEF 41–49 % HFpEF (Heart Failure with preserved Ejection Fraction) med </w:t>
      </w:r>
      <w:r>
        <w:rPr>
          <w:sz w:val="24"/>
          <w:szCs w:val="24"/>
        </w:rPr>
        <w:br/>
      </w:r>
      <w:r w:rsidRPr="79F3EFC6">
        <w:rPr>
          <w:sz w:val="24"/>
          <w:szCs w:val="24"/>
        </w:rPr>
        <w:t>LVEF ≥ 50 %, dvs med bevarad EF, har främst problem med en försvårad fyllnad av vänsterkammaren på grund av tex stelhet i väggen. Detta har också kallats diastolisk hjärtsvikt.</w:t>
      </w:r>
    </w:p>
    <w:p w14:paraId="39A7EAB9" w14:textId="77777777" w:rsidR="00A20158" w:rsidRDefault="00A20158" w:rsidP="00A20158">
      <w:pPr>
        <w:rPr>
          <w:sz w:val="24"/>
          <w:szCs w:val="24"/>
        </w:rPr>
      </w:pPr>
    </w:p>
    <w:p w14:paraId="79E497F7" w14:textId="77777777" w:rsidR="00A20158" w:rsidRPr="00311639" w:rsidRDefault="00A20158" w:rsidP="00A20158">
      <w:pPr>
        <w:rPr>
          <w:sz w:val="24"/>
          <w:szCs w:val="24"/>
        </w:rPr>
      </w:pPr>
      <w:r w:rsidRPr="0DC5D26D">
        <w:rPr>
          <w:sz w:val="24"/>
          <w:szCs w:val="24"/>
        </w:rPr>
        <w:t xml:space="preserve">Hjärtsvikt graderas också utifrån patientens fysiska funktionsnivå enligt NYHA </w:t>
      </w:r>
      <w:r>
        <w:rPr>
          <w:sz w:val="24"/>
          <w:szCs w:val="24"/>
        </w:rPr>
        <w:br/>
      </w:r>
      <w:r w:rsidRPr="0DC5D26D">
        <w:rPr>
          <w:sz w:val="24"/>
          <w:szCs w:val="24"/>
        </w:rPr>
        <w:t xml:space="preserve">(New York Heart Association) i en skala från I–IV, vilken också har betydelse för prognos och behandling. Evidensen för behandling är generellt svagare för asymtomatiska patienter (NYHA I), </w:t>
      </w:r>
      <w:r>
        <w:rPr>
          <w:sz w:val="24"/>
          <w:szCs w:val="24"/>
        </w:rPr>
        <w:br/>
      </w:r>
      <w:r w:rsidRPr="0DC5D26D">
        <w:rPr>
          <w:sz w:val="24"/>
          <w:szCs w:val="24"/>
        </w:rPr>
        <w:t>men den är inte obefintlig och det är också här man har flest innehållsrika levnadsår att rädda.</w:t>
      </w:r>
      <w:r>
        <w:br/>
      </w:r>
    </w:p>
    <w:p w14:paraId="51A6D9FD" w14:textId="77777777" w:rsidR="00A20158" w:rsidRPr="00311639" w:rsidRDefault="00A20158" w:rsidP="00A20158">
      <w:pPr>
        <w:rPr>
          <w:sz w:val="24"/>
          <w:szCs w:val="24"/>
        </w:rPr>
      </w:pPr>
      <w:r w:rsidRPr="79F3EFC6">
        <w:rPr>
          <w:sz w:val="24"/>
          <w:szCs w:val="24"/>
        </w:rPr>
        <w:t xml:space="preserve">Vid HFrEF finns flera vetenskapligt väl dokumenterade läkemedel som används i kombination och som minskar både sjuklighet och dödlighet. Vid HFmrEF är det troligt att samma läkemedel som vid HFrEF också gör nytta. Vid HFpEF finns nu vetenskapligt stöd för läkemedelsbehandling med SGLT-2 hämmare. Symtomatisk behandling med diuretika som vid behovsmedicinering används fortfarande, då det är vanligt med vätskeretention. Det är också av värde att kontrollera och behandla samsjuklighet som t.ex. förmaksflimmer, hypertoni, diabetes och sömnapnésyndrom. </w:t>
      </w:r>
    </w:p>
    <w:p w14:paraId="0905911C" w14:textId="77777777" w:rsidR="00A20158" w:rsidRPr="00311639" w:rsidRDefault="00A20158" w:rsidP="00A20158">
      <w:pPr>
        <w:rPr>
          <w:sz w:val="24"/>
          <w:szCs w:val="24"/>
        </w:rPr>
      </w:pPr>
    </w:p>
    <w:p w14:paraId="359C9C9D" w14:textId="77777777" w:rsidR="00A20158" w:rsidRPr="00311639" w:rsidRDefault="00A20158" w:rsidP="00A20158">
      <w:pPr>
        <w:rPr>
          <w:sz w:val="24"/>
          <w:szCs w:val="24"/>
        </w:rPr>
      </w:pPr>
      <w:r w:rsidRPr="0DC5D26D">
        <w:rPr>
          <w:sz w:val="24"/>
          <w:szCs w:val="24"/>
        </w:rPr>
        <w:t xml:space="preserve">Parallellt med behandlingen enligt nedan är det viktigt att utreda och behandla samsjuklighet och/eller bakomliggande orsaker som ischemisk hjärtsjukdom, hypertoni, diabetes, snabbt förmaksflimmer och KOL. Samt ge stöd för livsstilsförändringar. </w:t>
      </w:r>
    </w:p>
    <w:p w14:paraId="54310AC6" w14:textId="77777777" w:rsidR="00A20158" w:rsidRPr="00311639" w:rsidRDefault="00A20158" w:rsidP="00A20158">
      <w:pPr>
        <w:rPr>
          <w:sz w:val="28"/>
          <w:szCs w:val="28"/>
        </w:rPr>
      </w:pPr>
    </w:p>
    <w:p w14:paraId="787742AA" w14:textId="77777777" w:rsidR="00A20158" w:rsidRPr="00311639" w:rsidRDefault="00A20158" w:rsidP="00A20158">
      <w:pPr>
        <w:rPr>
          <w:sz w:val="24"/>
          <w:szCs w:val="24"/>
        </w:rPr>
      </w:pPr>
      <w:r w:rsidRPr="6903C629">
        <w:rPr>
          <w:sz w:val="24"/>
          <w:szCs w:val="24"/>
        </w:rPr>
        <w:t>Samtliga patienter ska erbjudas kontakt med fysioterapeut inom hjärtrehabilitering.</w:t>
      </w:r>
    </w:p>
    <w:p w14:paraId="124573D0" w14:textId="77777777" w:rsidR="00A20158" w:rsidRDefault="00A20158" w:rsidP="00A20158"/>
    <w:p w14:paraId="0D78B660" w14:textId="77777777" w:rsidR="00A20158" w:rsidRPr="009A757C" w:rsidRDefault="00A20158" w:rsidP="00A20158">
      <w:pPr>
        <w:pStyle w:val="Rubrik2"/>
        <w:rPr>
          <w:rStyle w:val="Rubrik3Char"/>
          <w:b/>
          <w:bCs/>
        </w:rPr>
      </w:pPr>
      <w:r>
        <w:lastRenderedPageBreak/>
        <w:t>Behandling vid hjärtsvikt</w:t>
      </w:r>
      <w:r>
        <w:br/>
      </w:r>
      <w:r>
        <w:br/>
      </w:r>
      <w:r w:rsidRPr="7E0BD4B5">
        <w:rPr>
          <w:rStyle w:val="Rubrik3Char"/>
          <w:b/>
          <w:bCs/>
        </w:rPr>
        <w:t>Basbehandling</w:t>
      </w:r>
    </w:p>
    <w:p w14:paraId="6AF9431C" w14:textId="77777777" w:rsidR="00A20158" w:rsidRPr="00311639" w:rsidRDefault="00A20158" w:rsidP="00A20158">
      <w:pPr>
        <w:rPr>
          <w:rFonts w:asciiTheme="minorHAnsi" w:hAnsiTheme="minorHAnsi"/>
          <w:sz w:val="24"/>
          <w:szCs w:val="24"/>
        </w:rPr>
      </w:pPr>
      <w:r w:rsidRPr="0DC5D26D">
        <w:rPr>
          <w:rFonts w:asciiTheme="minorHAnsi" w:hAnsiTheme="minorHAnsi"/>
          <w:sz w:val="24"/>
          <w:szCs w:val="24"/>
        </w:rPr>
        <w:t xml:space="preserve">● </w:t>
      </w:r>
      <w:r w:rsidRPr="0DC5D26D">
        <w:rPr>
          <w:rFonts w:asciiTheme="minorHAnsi" w:hAnsiTheme="minorHAnsi"/>
          <w:b/>
          <w:bCs/>
          <w:sz w:val="24"/>
          <w:szCs w:val="24"/>
        </w:rPr>
        <w:t>ACE-hämmare</w:t>
      </w:r>
      <w:r w:rsidRPr="0DC5D26D">
        <w:rPr>
          <w:rFonts w:asciiTheme="minorHAnsi" w:hAnsiTheme="minorHAnsi"/>
          <w:sz w:val="24"/>
          <w:szCs w:val="24"/>
        </w:rPr>
        <w:t xml:space="preserve"> (Angiotensin Converting Enzyme Inhibitors),</w:t>
      </w:r>
      <w:r>
        <w:rPr>
          <w:rFonts w:asciiTheme="minorHAnsi" w:hAnsiTheme="minorHAnsi"/>
          <w:sz w:val="24"/>
          <w:szCs w:val="24"/>
        </w:rPr>
        <w:t xml:space="preserve"> </w:t>
      </w:r>
      <w:r w:rsidRPr="0DC5D26D">
        <w:rPr>
          <w:rFonts w:asciiTheme="minorHAnsi" w:hAnsiTheme="minorHAnsi"/>
          <w:b/>
          <w:bCs/>
          <w:sz w:val="24"/>
          <w:szCs w:val="24"/>
        </w:rPr>
        <w:t>ARB</w:t>
      </w:r>
      <w:r w:rsidRPr="0DC5D26D">
        <w:rPr>
          <w:rFonts w:asciiTheme="minorHAnsi" w:hAnsiTheme="minorHAnsi"/>
          <w:sz w:val="24"/>
          <w:szCs w:val="24"/>
        </w:rPr>
        <w:t xml:space="preserve"> (Angiotensin-receptor-blockers) eller </w:t>
      </w:r>
      <w:r w:rsidRPr="0DC5D26D">
        <w:rPr>
          <w:rFonts w:asciiTheme="minorHAnsi" w:hAnsiTheme="minorHAnsi"/>
          <w:b/>
          <w:bCs/>
          <w:sz w:val="24"/>
          <w:szCs w:val="24"/>
        </w:rPr>
        <w:t>ARNI</w:t>
      </w:r>
      <w:r w:rsidRPr="0DC5D26D">
        <w:rPr>
          <w:rFonts w:asciiTheme="minorHAnsi" w:hAnsiTheme="minorHAnsi"/>
          <w:sz w:val="24"/>
          <w:szCs w:val="24"/>
        </w:rPr>
        <w:t xml:space="preserve"> (angiotensin-receptor-neprilysin-inhibitor). </w:t>
      </w:r>
    </w:p>
    <w:p w14:paraId="779078E3" w14:textId="77777777" w:rsidR="00A20158" w:rsidRPr="00311639" w:rsidRDefault="00A20158" w:rsidP="00A20158">
      <w:pPr>
        <w:rPr>
          <w:rFonts w:asciiTheme="minorHAnsi" w:hAnsiTheme="minorHAnsi"/>
          <w:sz w:val="24"/>
          <w:szCs w:val="24"/>
        </w:rPr>
      </w:pPr>
      <w:r w:rsidRPr="7E0BD4B5">
        <w:rPr>
          <w:rFonts w:asciiTheme="minorHAnsi" w:hAnsiTheme="minorHAnsi"/>
          <w:sz w:val="24"/>
          <w:szCs w:val="24"/>
        </w:rPr>
        <w:t xml:space="preserve">● </w:t>
      </w:r>
      <w:r w:rsidRPr="7E0BD4B5">
        <w:rPr>
          <w:rFonts w:asciiTheme="minorHAnsi" w:hAnsiTheme="minorHAnsi"/>
          <w:b/>
          <w:bCs/>
          <w:sz w:val="24"/>
          <w:szCs w:val="24"/>
        </w:rPr>
        <w:t>Betablockerare</w:t>
      </w:r>
      <w:r w:rsidRPr="7E0BD4B5">
        <w:rPr>
          <w:rFonts w:asciiTheme="minorHAnsi" w:hAnsiTheme="minorHAnsi"/>
          <w:sz w:val="24"/>
          <w:szCs w:val="24"/>
        </w:rPr>
        <w:t xml:space="preserve"> (BB) </w:t>
      </w:r>
    </w:p>
    <w:p w14:paraId="7C7A9612" w14:textId="77777777" w:rsidR="00A20158" w:rsidRPr="00311639" w:rsidRDefault="00A20158" w:rsidP="00A20158">
      <w:pPr>
        <w:rPr>
          <w:rFonts w:asciiTheme="minorHAnsi" w:hAnsiTheme="minorHAnsi"/>
          <w:sz w:val="24"/>
          <w:szCs w:val="24"/>
        </w:rPr>
      </w:pPr>
      <w:r w:rsidRPr="0DC5D26D">
        <w:rPr>
          <w:rFonts w:asciiTheme="minorHAnsi" w:hAnsiTheme="minorHAnsi"/>
          <w:sz w:val="24"/>
          <w:szCs w:val="24"/>
        </w:rPr>
        <w:t xml:space="preserve">● </w:t>
      </w:r>
      <w:r w:rsidRPr="0DC5D26D">
        <w:rPr>
          <w:rFonts w:asciiTheme="minorHAnsi" w:hAnsiTheme="minorHAnsi"/>
          <w:b/>
          <w:bCs/>
          <w:sz w:val="24"/>
          <w:szCs w:val="24"/>
        </w:rPr>
        <w:t>Mineralkortikoidreceptorantagonister</w:t>
      </w:r>
      <w:r w:rsidRPr="0DC5D26D">
        <w:rPr>
          <w:rFonts w:asciiTheme="minorHAnsi" w:hAnsiTheme="minorHAnsi"/>
          <w:sz w:val="24"/>
          <w:szCs w:val="24"/>
        </w:rPr>
        <w:t xml:space="preserve"> (MRA) </w:t>
      </w:r>
    </w:p>
    <w:p w14:paraId="05DC2941" w14:textId="77777777" w:rsidR="00A20158" w:rsidRPr="00311639" w:rsidRDefault="00A20158" w:rsidP="00A20158">
      <w:pPr>
        <w:rPr>
          <w:rFonts w:asciiTheme="minorHAnsi" w:hAnsiTheme="minorHAnsi"/>
          <w:sz w:val="24"/>
          <w:szCs w:val="24"/>
        </w:rPr>
      </w:pPr>
      <w:r w:rsidRPr="0DC5D26D">
        <w:rPr>
          <w:rFonts w:asciiTheme="minorHAnsi" w:hAnsiTheme="minorHAnsi"/>
          <w:sz w:val="24"/>
          <w:szCs w:val="24"/>
        </w:rPr>
        <w:t xml:space="preserve">● </w:t>
      </w:r>
      <w:r w:rsidRPr="0DC5D26D">
        <w:rPr>
          <w:rFonts w:asciiTheme="minorHAnsi" w:hAnsiTheme="minorHAnsi"/>
          <w:b/>
          <w:bCs/>
          <w:sz w:val="24"/>
          <w:szCs w:val="24"/>
        </w:rPr>
        <w:t>SGLT2-hämmare</w:t>
      </w:r>
      <w:r w:rsidRPr="0DC5D26D">
        <w:rPr>
          <w:rFonts w:asciiTheme="minorHAnsi" w:hAnsiTheme="minorHAnsi"/>
          <w:sz w:val="24"/>
          <w:szCs w:val="24"/>
        </w:rPr>
        <w:t xml:space="preserve"> (sodium-glucose transportprotein 2 inhibitor)</w:t>
      </w:r>
    </w:p>
    <w:p w14:paraId="6A2747B3" w14:textId="77777777" w:rsidR="00A20158" w:rsidRPr="00311639" w:rsidRDefault="00A20158" w:rsidP="00A20158">
      <w:pPr>
        <w:rPr>
          <w:rFonts w:asciiTheme="minorHAnsi" w:hAnsiTheme="minorHAnsi"/>
          <w:sz w:val="24"/>
          <w:szCs w:val="24"/>
        </w:rPr>
      </w:pPr>
    </w:p>
    <w:p w14:paraId="7FF69ADB" w14:textId="77777777" w:rsidR="00A20158" w:rsidRPr="00163F97" w:rsidRDefault="00A20158" w:rsidP="00A20158">
      <w:pPr>
        <w:rPr>
          <w:rFonts w:asciiTheme="minorHAnsi" w:hAnsiTheme="minorHAnsi"/>
        </w:rPr>
      </w:pPr>
      <w:r w:rsidRPr="0DC5D26D">
        <w:rPr>
          <w:rFonts w:asciiTheme="minorHAnsi" w:hAnsiTheme="minorHAnsi"/>
          <w:sz w:val="24"/>
          <w:szCs w:val="24"/>
        </w:rPr>
        <w:t>Dessa fyra grupper av läkemedel reducerar dödligheten. De har additiva effekter och de flesta patienter kan dra nytta av samtidig behandling med alla fyra. Nyttan är generellt störst hos dem med lägst LVEF. Turordningen när läkemedlen sätts in, är inte på förhand given eller rekommenderad, utan kan behöva anpassas efter samsjukligheter.</w:t>
      </w:r>
      <w:r>
        <w:rPr>
          <w:rFonts w:asciiTheme="minorHAnsi" w:hAnsiTheme="minorHAnsi"/>
          <w:sz w:val="24"/>
          <w:szCs w:val="24"/>
        </w:rPr>
        <w:t xml:space="preserve"> </w:t>
      </w:r>
      <w:r w:rsidRPr="0DC5D26D">
        <w:rPr>
          <w:rFonts w:asciiTheme="minorHAnsi" w:hAnsiTheme="minorHAnsi"/>
          <w:sz w:val="24"/>
          <w:szCs w:val="24"/>
        </w:rPr>
        <w:t xml:space="preserve">Låg dos av alla läkemedelsgrupperna i basbehandlingen är viktigare än hög dos av några få. Upptitrering via hjärtsviktsmottagning bör ske inom 2-4 veckor. Läkemedlen titreras upp till måldos eller individuellt optimal dos. </w:t>
      </w:r>
      <w:r>
        <w:rPr>
          <w:rFonts w:asciiTheme="minorHAnsi" w:hAnsiTheme="minorHAnsi"/>
          <w:sz w:val="24"/>
          <w:szCs w:val="24"/>
        </w:rPr>
        <w:br/>
      </w:r>
      <w:r w:rsidRPr="0DC5D26D">
        <w:rPr>
          <w:rFonts w:asciiTheme="minorHAnsi" w:hAnsiTheme="minorHAnsi"/>
          <w:sz w:val="24"/>
          <w:szCs w:val="24"/>
        </w:rPr>
        <w:t xml:space="preserve">Eftersom dödligheten är högst i början är det viktigt att inte dra ut på insättningsperioden, </w:t>
      </w:r>
      <w:r>
        <w:rPr>
          <w:rFonts w:asciiTheme="minorHAnsi" w:hAnsiTheme="minorHAnsi"/>
          <w:sz w:val="24"/>
          <w:szCs w:val="24"/>
        </w:rPr>
        <w:br/>
      </w:r>
      <w:r w:rsidRPr="0DC5D26D">
        <w:rPr>
          <w:rFonts w:asciiTheme="minorHAnsi" w:hAnsiTheme="minorHAnsi"/>
          <w:sz w:val="24"/>
          <w:szCs w:val="24"/>
        </w:rPr>
        <w:t>men anpassat efter patientens förutsättningar. Oavsett om uppstart sker polikliniskt eller under sjukhusvård rekommenderas ett tidigt återbesök inom 1-2 veckor.</w:t>
      </w:r>
    </w:p>
    <w:p w14:paraId="329FB4ED" w14:textId="77777777" w:rsidR="00A20158" w:rsidRPr="009A757C" w:rsidRDefault="00A20158" w:rsidP="00A20158">
      <w:pPr>
        <w:pStyle w:val="Rubrik3"/>
      </w:pPr>
      <w:r>
        <w:t xml:space="preserve">ACE-hämmare, ARB eller ARNI </w:t>
      </w:r>
    </w:p>
    <w:p w14:paraId="33ECBB32" w14:textId="77777777" w:rsidR="00A20158" w:rsidRPr="00311639" w:rsidRDefault="00A20158" w:rsidP="00A20158">
      <w:pPr>
        <w:rPr>
          <w:rFonts w:asciiTheme="minorHAnsi" w:hAnsiTheme="minorHAnsi"/>
          <w:sz w:val="24"/>
          <w:szCs w:val="24"/>
        </w:rPr>
      </w:pPr>
      <w:r w:rsidRPr="0DC5D26D">
        <w:rPr>
          <w:rFonts w:asciiTheme="minorHAnsi" w:hAnsiTheme="minorHAnsi"/>
          <w:sz w:val="24"/>
          <w:szCs w:val="24"/>
        </w:rPr>
        <w:t xml:space="preserve">ACE-hämmare som ramipril (startdos (1,25) 2,5 mg x 2, måldos 5 mg x 2) eller enalapril </w:t>
      </w:r>
      <w:r>
        <w:br/>
      </w:r>
      <w:r w:rsidRPr="0DC5D26D">
        <w:rPr>
          <w:rFonts w:asciiTheme="minorHAnsi" w:hAnsiTheme="minorHAnsi"/>
          <w:sz w:val="24"/>
          <w:szCs w:val="24"/>
        </w:rPr>
        <w:t>(startdos (5) 10 mg x 2, måldos 10 – 20 mg x 2) utgör sedan länge en av hörnstenarna i behandlingen. Det är ofta klokt att börja med en låg dos som systematiskt upptitreras till måldos eller högsta tolerabla dos. ARB som kandesartan (startdos 4 mg x 1, måldos 32 mg x 1) och valsartan (</w:t>
      </w:r>
      <w:r w:rsidRPr="00261712">
        <w:rPr>
          <w:rFonts w:asciiTheme="minorHAnsi" w:hAnsiTheme="minorHAnsi"/>
          <w:sz w:val="24"/>
          <w:szCs w:val="24"/>
        </w:rPr>
        <w:t>startdos 40 mg x2, måldos 160 mg x 2</w:t>
      </w:r>
      <w:r w:rsidRPr="0DC5D26D">
        <w:rPr>
          <w:rFonts w:asciiTheme="minorHAnsi" w:hAnsiTheme="minorHAnsi"/>
          <w:sz w:val="24"/>
          <w:szCs w:val="24"/>
        </w:rPr>
        <w:t xml:space="preserve">) är båda väldokumenterade vid hjärtsvikt. ARB utgör även ett alternativ vid rethosta som biverkan av ACE-hämmare. </w:t>
      </w:r>
    </w:p>
    <w:p w14:paraId="1BD63180" w14:textId="77777777" w:rsidR="00A20158" w:rsidRPr="00163F97" w:rsidRDefault="00A20158" w:rsidP="00A20158">
      <w:pPr>
        <w:rPr>
          <w:rFonts w:asciiTheme="minorHAnsi" w:hAnsiTheme="minorHAnsi"/>
        </w:rPr>
      </w:pPr>
    </w:p>
    <w:p w14:paraId="0335C828" w14:textId="77777777" w:rsidR="00A20158" w:rsidRPr="00311639" w:rsidRDefault="00A20158" w:rsidP="00A20158">
      <w:pPr>
        <w:rPr>
          <w:rFonts w:asciiTheme="minorHAnsi" w:hAnsiTheme="minorHAnsi"/>
          <w:sz w:val="24"/>
          <w:szCs w:val="24"/>
        </w:rPr>
      </w:pPr>
      <w:r w:rsidRPr="0DC5D26D">
        <w:rPr>
          <w:rFonts w:asciiTheme="minorHAnsi" w:hAnsiTheme="minorHAnsi"/>
          <w:sz w:val="24"/>
          <w:szCs w:val="24"/>
        </w:rPr>
        <w:t>Vid kvarstående symtom när basbehandling i övrigt enligt nedan är insatt, så är skifte till ARNI (Entresto®) nästa steg. ARNI har dock inte visats vara bättre än ACE</w:t>
      </w:r>
      <w:r>
        <w:rPr>
          <w:rFonts w:asciiTheme="minorHAnsi" w:hAnsiTheme="minorHAnsi"/>
          <w:sz w:val="24"/>
          <w:szCs w:val="24"/>
        </w:rPr>
        <w:t xml:space="preserve">-hämmare </w:t>
      </w:r>
      <w:r w:rsidRPr="0DC5D26D">
        <w:rPr>
          <w:rFonts w:asciiTheme="minorHAnsi" w:hAnsiTheme="minorHAnsi"/>
          <w:sz w:val="24"/>
          <w:szCs w:val="24"/>
        </w:rPr>
        <w:t xml:space="preserve">för de sjukaste patienterna (NYHA IIIb-IV). Aktuella patienter är således de som kvarstår i NYHA II-IIIa och har blodtryck tillräckligt för att tåla viss ytterligare kärlvidgning som ARNI ger. </w:t>
      </w:r>
    </w:p>
    <w:p w14:paraId="414C530A" w14:textId="77777777" w:rsidR="00A20158" w:rsidRPr="00311639" w:rsidRDefault="00A20158" w:rsidP="00A20158">
      <w:pPr>
        <w:rPr>
          <w:rFonts w:asciiTheme="minorHAnsi" w:hAnsiTheme="minorHAnsi"/>
          <w:sz w:val="24"/>
          <w:szCs w:val="24"/>
        </w:rPr>
      </w:pPr>
    </w:p>
    <w:p w14:paraId="281A7C6E" w14:textId="77777777" w:rsidR="00A20158" w:rsidRPr="00311639" w:rsidRDefault="00A20158" w:rsidP="00A20158">
      <w:pPr>
        <w:rPr>
          <w:rFonts w:asciiTheme="minorHAnsi" w:hAnsiTheme="minorHAnsi"/>
          <w:sz w:val="24"/>
          <w:szCs w:val="24"/>
        </w:rPr>
      </w:pPr>
      <w:r w:rsidRPr="0DC5D26D">
        <w:rPr>
          <w:rFonts w:asciiTheme="minorHAnsi" w:hAnsiTheme="minorHAnsi"/>
          <w:sz w:val="24"/>
          <w:szCs w:val="24"/>
        </w:rPr>
        <w:t>Studier där man inleder behandlingen med ARNI</w:t>
      </w:r>
      <w:r>
        <w:rPr>
          <w:rFonts w:asciiTheme="minorHAnsi" w:hAnsiTheme="minorHAnsi"/>
          <w:sz w:val="24"/>
          <w:szCs w:val="24"/>
        </w:rPr>
        <w:t>,</w:t>
      </w:r>
      <w:r w:rsidRPr="0DC5D26D">
        <w:rPr>
          <w:rFonts w:asciiTheme="minorHAnsi" w:hAnsiTheme="minorHAnsi"/>
          <w:sz w:val="24"/>
          <w:szCs w:val="24"/>
        </w:rPr>
        <w:t xml:space="preserve"> ”ARNI first” (före ACE-hämmare) pågår. </w:t>
      </w:r>
      <w:r>
        <w:br/>
      </w:r>
      <w:r w:rsidRPr="0DC5D26D">
        <w:rPr>
          <w:rFonts w:asciiTheme="minorHAnsi" w:hAnsiTheme="minorHAnsi"/>
          <w:sz w:val="24"/>
          <w:szCs w:val="24"/>
        </w:rPr>
        <w:t xml:space="preserve">De senaste Europeiska Guidelines for Heart Failure 2021 håller sig till att rekommendera </w:t>
      </w:r>
      <w:r>
        <w:rPr>
          <w:rFonts w:asciiTheme="minorHAnsi" w:hAnsiTheme="minorHAnsi"/>
          <w:sz w:val="24"/>
          <w:szCs w:val="24"/>
        </w:rPr>
        <w:br/>
      </w:r>
      <w:r w:rsidRPr="0DC5D26D">
        <w:rPr>
          <w:rFonts w:asciiTheme="minorHAnsi" w:hAnsiTheme="minorHAnsi"/>
          <w:sz w:val="24"/>
          <w:szCs w:val="24"/>
        </w:rPr>
        <w:t>ARNI som en ersättning för ACE</w:t>
      </w:r>
      <w:r>
        <w:rPr>
          <w:rFonts w:asciiTheme="minorHAnsi" w:hAnsiTheme="minorHAnsi"/>
          <w:sz w:val="24"/>
          <w:szCs w:val="24"/>
        </w:rPr>
        <w:t>-hämmare,</w:t>
      </w:r>
      <w:r w:rsidRPr="0DC5D26D">
        <w:rPr>
          <w:rFonts w:asciiTheme="minorHAnsi" w:hAnsiTheme="minorHAnsi"/>
          <w:sz w:val="24"/>
          <w:szCs w:val="24"/>
        </w:rPr>
        <w:t xml:space="preserve"> för dem med kvarstående symtom trots </w:t>
      </w:r>
      <w:r>
        <w:rPr>
          <w:rFonts w:asciiTheme="minorHAnsi" w:hAnsiTheme="minorHAnsi"/>
          <w:sz w:val="24"/>
          <w:szCs w:val="24"/>
        </w:rPr>
        <w:br/>
      </w:r>
      <w:r w:rsidRPr="0DC5D26D">
        <w:rPr>
          <w:rFonts w:asciiTheme="minorHAnsi" w:hAnsiTheme="minorHAnsi"/>
          <w:sz w:val="24"/>
          <w:szCs w:val="24"/>
        </w:rPr>
        <w:t>ACE</w:t>
      </w:r>
      <w:r>
        <w:rPr>
          <w:rFonts w:asciiTheme="minorHAnsi" w:hAnsiTheme="minorHAnsi"/>
          <w:sz w:val="24"/>
          <w:szCs w:val="24"/>
        </w:rPr>
        <w:t>-hämmare</w:t>
      </w:r>
      <w:r w:rsidRPr="0DC5D26D">
        <w:rPr>
          <w:rFonts w:asciiTheme="minorHAnsi" w:hAnsiTheme="minorHAnsi"/>
          <w:sz w:val="24"/>
          <w:szCs w:val="24"/>
        </w:rPr>
        <w:t xml:space="preserve">, BB och MRA (och rimligtvis också SGLT2-hämmare), men öppnar för att ”ARNI first” kan övervägas. Vilket bör kunna ske i takt med att säkerhetsprofilen ytterligare klarnar. </w:t>
      </w:r>
    </w:p>
    <w:p w14:paraId="1B24519E" w14:textId="77777777" w:rsidR="00A20158" w:rsidRPr="00311639" w:rsidRDefault="00A20158" w:rsidP="00A20158">
      <w:pPr>
        <w:rPr>
          <w:rFonts w:asciiTheme="minorHAnsi" w:hAnsiTheme="minorHAnsi"/>
          <w:sz w:val="24"/>
          <w:szCs w:val="24"/>
        </w:rPr>
      </w:pPr>
    </w:p>
    <w:p w14:paraId="5B5BE314" w14:textId="77777777" w:rsidR="00A20158" w:rsidRPr="00311639" w:rsidRDefault="00A20158" w:rsidP="00A20158">
      <w:pPr>
        <w:rPr>
          <w:rFonts w:asciiTheme="minorHAnsi" w:hAnsiTheme="minorHAnsi"/>
          <w:sz w:val="24"/>
          <w:szCs w:val="24"/>
        </w:rPr>
      </w:pPr>
      <w:r w:rsidRPr="79F3EFC6">
        <w:rPr>
          <w:rFonts w:asciiTheme="minorHAnsi" w:hAnsiTheme="minorHAnsi"/>
          <w:sz w:val="24"/>
          <w:szCs w:val="24"/>
        </w:rPr>
        <w:t xml:space="preserve">ARNI ges aldrig samtidigt med ACE-hämmare på grund av risken för angioneurotiskt ödem. </w:t>
      </w:r>
      <w:r>
        <w:rPr>
          <w:rFonts w:asciiTheme="minorHAnsi" w:hAnsiTheme="minorHAnsi"/>
          <w:sz w:val="24"/>
          <w:szCs w:val="24"/>
        </w:rPr>
        <w:br/>
      </w:r>
      <w:r w:rsidRPr="79F3EFC6">
        <w:rPr>
          <w:rFonts w:asciiTheme="minorHAnsi" w:hAnsiTheme="minorHAnsi"/>
          <w:sz w:val="24"/>
          <w:szCs w:val="24"/>
        </w:rPr>
        <w:t xml:space="preserve">Det skall ha gått minst 36 timmar mellan sista dosen ACE-hämmare och första dosen ARNI. Stabila patienter med ARNI kan liksom övriga följas i primärvården, och kan också initieras i samråd med kardiolog på hjärtsviktsmottagning. </w:t>
      </w:r>
    </w:p>
    <w:p w14:paraId="6F235772" w14:textId="77777777" w:rsidR="00A20158" w:rsidRPr="009A757C" w:rsidRDefault="00A20158" w:rsidP="00A20158">
      <w:pPr>
        <w:pStyle w:val="Rubrik3"/>
      </w:pPr>
      <w:r>
        <w:lastRenderedPageBreak/>
        <w:t>Betablockerare (BB)</w:t>
      </w:r>
    </w:p>
    <w:p w14:paraId="39DEA0CF" w14:textId="77777777" w:rsidR="00A20158" w:rsidRPr="00311639" w:rsidRDefault="00A20158" w:rsidP="00A20158">
      <w:pPr>
        <w:rPr>
          <w:rFonts w:asciiTheme="minorHAnsi" w:hAnsiTheme="minorHAnsi"/>
          <w:sz w:val="24"/>
          <w:szCs w:val="24"/>
        </w:rPr>
      </w:pPr>
      <w:r w:rsidRPr="0DC5D26D">
        <w:rPr>
          <w:rFonts w:asciiTheme="minorHAnsi" w:hAnsiTheme="minorHAnsi"/>
          <w:sz w:val="24"/>
          <w:szCs w:val="24"/>
        </w:rPr>
        <w:t xml:space="preserve">Metoprolol depot (startdos (12,5) 25 mg x 1, måldos 200 mg x 1), bisoprolol </w:t>
      </w:r>
      <w:r>
        <w:br/>
      </w:r>
      <w:r w:rsidRPr="0DC5D26D">
        <w:rPr>
          <w:rFonts w:asciiTheme="minorHAnsi" w:hAnsiTheme="minorHAnsi"/>
          <w:sz w:val="24"/>
          <w:szCs w:val="24"/>
        </w:rPr>
        <w:t xml:space="preserve">(startdos 1,25 mg x 1, måldos 10 mg x 1) och karvedilol (startdos (3,125) 6,25 mg x 2, </w:t>
      </w:r>
      <w:r>
        <w:br/>
      </w:r>
      <w:r w:rsidRPr="0DC5D26D">
        <w:rPr>
          <w:rFonts w:asciiTheme="minorHAnsi" w:hAnsiTheme="minorHAnsi"/>
          <w:sz w:val="24"/>
          <w:szCs w:val="24"/>
        </w:rPr>
        <w:t>måldos 25 mg x 2) är alla väldokumenterade vid kronisk hjärtsvikt. Behandlingen kan normalt påbörjas samtidigt med ACEI eller ARB, men det är viktigt att hålla sig till låga startdoser utan att för den skull missa upptitreringen till måldos eller högsta tolerabla dos. Vid akut svikt med övervätskning bör man vara försiktig vid uppstart.</w:t>
      </w:r>
    </w:p>
    <w:p w14:paraId="2CCBEA5C" w14:textId="77777777" w:rsidR="00A20158" w:rsidRPr="009A757C" w:rsidRDefault="00A20158" w:rsidP="00A20158">
      <w:pPr>
        <w:pStyle w:val="Rubrik3"/>
      </w:pPr>
      <w:r>
        <w:t xml:space="preserve">Mineralkortikoidreceptorantagonister (MRA) </w:t>
      </w:r>
    </w:p>
    <w:p w14:paraId="25EA9800" w14:textId="77777777" w:rsidR="00A20158" w:rsidRPr="00311639" w:rsidRDefault="00A20158" w:rsidP="00A20158">
      <w:pPr>
        <w:rPr>
          <w:rFonts w:asciiTheme="minorHAnsi" w:hAnsiTheme="minorHAnsi" w:cs="Arial"/>
          <w:sz w:val="24"/>
          <w:szCs w:val="24"/>
        </w:rPr>
      </w:pPr>
      <w:r w:rsidRPr="0DC5D26D">
        <w:rPr>
          <w:rFonts w:asciiTheme="minorHAnsi" w:hAnsiTheme="minorHAnsi"/>
          <w:sz w:val="24"/>
          <w:szCs w:val="24"/>
        </w:rPr>
        <w:t xml:space="preserve">Spironolakton (startdos 25 mg x 1, måldos 50 mg x 1) eller eplerenon (startdos 25 mg x 1, </w:t>
      </w:r>
      <w:r>
        <w:rPr>
          <w:rFonts w:asciiTheme="minorHAnsi" w:hAnsiTheme="minorHAnsi"/>
          <w:sz w:val="24"/>
          <w:szCs w:val="24"/>
        </w:rPr>
        <w:br/>
      </w:r>
      <w:r w:rsidRPr="0DC5D26D">
        <w:rPr>
          <w:rFonts w:asciiTheme="minorHAnsi" w:hAnsiTheme="minorHAnsi"/>
          <w:sz w:val="24"/>
          <w:szCs w:val="24"/>
        </w:rPr>
        <w:t xml:space="preserve">måldos 50 mg x 1). I första hand följes kalium men även njurfunktion kontrolleras. </w:t>
      </w:r>
      <w:r>
        <w:rPr>
          <w:rFonts w:asciiTheme="minorHAnsi" w:hAnsiTheme="minorHAnsi"/>
          <w:sz w:val="24"/>
          <w:szCs w:val="24"/>
        </w:rPr>
        <w:br/>
      </w:r>
      <w:r w:rsidRPr="0DC5D26D">
        <w:rPr>
          <w:rFonts w:asciiTheme="minorHAnsi" w:hAnsiTheme="minorHAnsi"/>
          <w:sz w:val="24"/>
          <w:szCs w:val="24"/>
        </w:rPr>
        <w:t xml:space="preserve">Eplerenon saknar spironolaktons könshormonella biverkningar. De kan sättas in från början, </w:t>
      </w:r>
      <w:r>
        <w:rPr>
          <w:rFonts w:asciiTheme="minorHAnsi" w:hAnsiTheme="minorHAnsi"/>
          <w:sz w:val="24"/>
          <w:szCs w:val="24"/>
        </w:rPr>
        <w:br/>
      </w:r>
      <w:r w:rsidRPr="0DC5D26D">
        <w:rPr>
          <w:rFonts w:asciiTheme="minorHAnsi" w:hAnsiTheme="minorHAnsi"/>
          <w:sz w:val="24"/>
          <w:szCs w:val="24"/>
        </w:rPr>
        <w:t>men pausas vid hyperkalemi. Ofta går det att återinsätta dem senare.</w:t>
      </w:r>
    </w:p>
    <w:p w14:paraId="33D603E7" w14:textId="77777777" w:rsidR="00A20158" w:rsidRPr="009A757C" w:rsidRDefault="00A20158" w:rsidP="00A20158">
      <w:pPr>
        <w:pStyle w:val="Rubrik3"/>
      </w:pPr>
      <w:r>
        <w:t>SGLT2-hämmare (natrium-glukossamtransportör 2-hämmare)</w:t>
      </w:r>
    </w:p>
    <w:p w14:paraId="34608ED5" w14:textId="77777777" w:rsidR="00A20158" w:rsidRDefault="00A20158" w:rsidP="00A20158">
      <w:pPr>
        <w:rPr>
          <w:rFonts w:asciiTheme="minorHAnsi" w:hAnsiTheme="minorHAnsi"/>
          <w:sz w:val="24"/>
          <w:szCs w:val="24"/>
        </w:rPr>
      </w:pPr>
      <w:r w:rsidRPr="0DC5D26D">
        <w:rPr>
          <w:rFonts w:asciiTheme="minorHAnsi" w:hAnsiTheme="minorHAnsi"/>
          <w:sz w:val="24"/>
          <w:szCs w:val="24"/>
        </w:rPr>
        <w:t>Dapagliflozin 10 mg x 1 eller empagliflozin 10 mg x 1 är den senaste hörnstenen vid behandling av hjärtsvikt med nedsatt EF. Preparaten kräver ingen upptitrering och kan normalt sättas in från början. Sviktindikationen gäller oavsett förekomst av typ 2-diabetes eller ej. Dock är SGLT2-hämmare kontraindicerat till patienter med typ 1-diabetes, där det finns en signifikant risk för normoglykemisk ketoacidos.</w:t>
      </w:r>
      <w:r>
        <w:rPr>
          <w:rFonts w:asciiTheme="minorHAnsi" w:hAnsiTheme="minorHAnsi"/>
          <w:sz w:val="24"/>
          <w:szCs w:val="24"/>
        </w:rPr>
        <w:t xml:space="preserve"> </w:t>
      </w:r>
      <w:r w:rsidRPr="79F3EFC6">
        <w:rPr>
          <w:rFonts w:asciiTheme="minorHAnsi" w:hAnsiTheme="minorHAnsi"/>
          <w:sz w:val="24"/>
          <w:szCs w:val="24"/>
        </w:rPr>
        <w:t xml:space="preserve">Omständigheter med lågt kolhydratintag, såsom intermittent fasta, illamående eller särskild lågkolhydratdiet kan öka risken för ketoacidos, </w:t>
      </w:r>
      <w:r>
        <w:rPr>
          <w:rFonts w:asciiTheme="minorHAnsi" w:hAnsiTheme="minorHAnsi"/>
          <w:sz w:val="24"/>
          <w:szCs w:val="24"/>
        </w:rPr>
        <w:br/>
      </w:r>
      <w:r w:rsidRPr="79F3EFC6">
        <w:rPr>
          <w:rFonts w:asciiTheme="minorHAnsi" w:hAnsiTheme="minorHAnsi"/>
          <w:sz w:val="24"/>
          <w:szCs w:val="24"/>
        </w:rPr>
        <w:t>vilket patienten bör informeras om.</w:t>
      </w:r>
    </w:p>
    <w:p w14:paraId="77545A04" w14:textId="77777777" w:rsidR="00A20158" w:rsidRDefault="00A20158" w:rsidP="00A20158">
      <w:pPr>
        <w:rPr>
          <w:rFonts w:asciiTheme="minorHAnsi" w:hAnsiTheme="minorHAnsi"/>
          <w:sz w:val="24"/>
          <w:szCs w:val="24"/>
        </w:rPr>
      </w:pPr>
      <w:r w:rsidRPr="79F3EFC6">
        <w:rPr>
          <w:rFonts w:asciiTheme="minorHAnsi" w:hAnsiTheme="minorHAnsi"/>
          <w:sz w:val="24"/>
          <w:szCs w:val="24"/>
        </w:rPr>
        <w:t>Alla patienter bör också instrueras om att göra uppehåll med behandlingen vid situationer som medför risk för dehydrering. Den avsiktliga glukosuri som behandlingen ger kan någon gång orsaka urogenitala svampinfektioner. Preparaten är milt vätskedrivande och kan ge några kilos viktnedgång.</w:t>
      </w:r>
    </w:p>
    <w:p w14:paraId="7A0E4715" w14:textId="77777777" w:rsidR="00A20158" w:rsidRDefault="00A20158" w:rsidP="00A20158">
      <w:pPr>
        <w:rPr>
          <w:rFonts w:asciiTheme="minorHAnsi" w:hAnsiTheme="minorHAnsi"/>
          <w:sz w:val="24"/>
          <w:szCs w:val="24"/>
          <w:highlight w:val="yellow"/>
        </w:rPr>
      </w:pPr>
    </w:p>
    <w:p w14:paraId="10C9E5BF" w14:textId="77777777" w:rsidR="00A20158" w:rsidRPr="00B402E8" w:rsidRDefault="00A20158" w:rsidP="00A20158">
      <w:pPr>
        <w:rPr>
          <w:rFonts w:asciiTheme="minorHAnsi" w:hAnsiTheme="minorHAnsi"/>
          <w:sz w:val="24"/>
          <w:szCs w:val="24"/>
        </w:rPr>
      </w:pPr>
      <w:r w:rsidRPr="79F3EFC6">
        <w:rPr>
          <w:rFonts w:asciiTheme="minorHAnsi" w:hAnsiTheme="minorHAnsi"/>
          <w:sz w:val="24"/>
          <w:szCs w:val="24"/>
        </w:rPr>
        <w:t>Skriftlig patientinformation finns på flera håll, här är ett exempel via Janusinfo.</w:t>
      </w:r>
    </w:p>
    <w:p w14:paraId="2C7F8044" w14:textId="77777777" w:rsidR="00A20158" w:rsidRPr="00B37E6D" w:rsidRDefault="00A20158" w:rsidP="00A20158">
      <w:pPr>
        <w:rPr>
          <w:rStyle w:val="Hyperlnk"/>
          <w:rFonts w:asciiTheme="minorHAnsi" w:hAnsiTheme="minorHAnsi"/>
          <w:color w:val="0070C0"/>
          <w:sz w:val="24"/>
          <w:szCs w:val="24"/>
        </w:rPr>
      </w:pPr>
      <w:r>
        <w:fldChar w:fldCharType="begin"/>
      </w:r>
      <w:r>
        <w:instrText>HYPERLINK "https://janusinfo.se/download/18.797b37df1779adf8a693eb6c/1624017741408/Patientinformation-SGLT2-ha%CC%88mmare-210216.pdf"</w:instrText>
      </w:r>
      <w:r>
        <w:fldChar w:fldCharType="separate"/>
      </w:r>
      <w:r w:rsidRPr="00B37E6D">
        <w:rPr>
          <w:rStyle w:val="Hyperlnk"/>
          <w:color w:val="0070C0"/>
        </w:rPr>
        <w:t>Patientinformation (janusinfo.se)</w:t>
      </w:r>
    </w:p>
    <w:p w14:paraId="32688D2A" w14:textId="77777777" w:rsidR="00A20158" w:rsidRPr="005D7BFE" w:rsidRDefault="00A20158" w:rsidP="00A20158">
      <w:pPr>
        <w:pStyle w:val="Rubrik2"/>
        <w:rPr>
          <w:sz w:val="24"/>
          <w:szCs w:val="24"/>
        </w:rPr>
      </w:pPr>
      <w:r>
        <w:rPr>
          <w:rFonts w:ascii="Garamond" w:eastAsiaTheme="minorHAnsi" w:hAnsi="Garamond"/>
          <w:b w:val="0"/>
          <w:bCs w:val="0"/>
          <w:sz w:val="22"/>
          <w:szCs w:val="22"/>
        </w:rPr>
        <w:fldChar w:fldCharType="end"/>
      </w:r>
      <w:r w:rsidRPr="005D7BFE">
        <w:rPr>
          <w:sz w:val="24"/>
          <w:szCs w:val="24"/>
        </w:rPr>
        <w:t>Tilläggsbehandling med diuretika</w:t>
      </w:r>
    </w:p>
    <w:p w14:paraId="6FFC63A4" w14:textId="77777777" w:rsidR="00A20158" w:rsidRPr="00305005" w:rsidRDefault="00A20158" w:rsidP="00A20158">
      <w:pPr>
        <w:rPr>
          <w:rFonts w:cs="Arial"/>
          <w:sz w:val="24"/>
          <w:szCs w:val="24"/>
        </w:rPr>
      </w:pPr>
      <w:r w:rsidRPr="79F3EFC6">
        <w:rPr>
          <w:sz w:val="24"/>
          <w:szCs w:val="24"/>
        </w:rPr>
        <w:t xml:space="preserve">Loopdiuretika som furosemid 20–40 mg p o eller i v behövs ofta för att komma ur den inledande övervätskningen. Målet är att åstadkomma och sedan upprätthålla euvolemi, det vill säga en normal blodvolym. I hur hög grad perifera ödem går tillbaka beror på mycket annat som venös insufficiens med mera. Diuretika skall bara ges i den omfattning de behövs. Slentrianbehandling skall undvikas. </w:t>
      </w:r>
      <w:r>
        <w:br/>
      </w:r>
      <w:r w:rsidRPr="79F3EFC6">
        <w:rPr>
          <w:sz w:val="24"/>
          <w:szCs w:val="24"/>
        </w:rPr>
        <w:t xml:space="preserve">Patienter bör uppmuntras och tränas till att själva justera sin diuretikados utifrån symtom och tecken på övervätskning, och vid behov daglig vikt. I undantagsfall vid svårbehandlad övervätskning kan kraftig diuretisk effekt fås av en halv tablett metolazon 5 mg, 1–3 gånger i veckan. </w:t>
      </w:r>
      <w:r>
        <w:rPr>
          <w:sz w:val="24"/>
          <w:szCs w:val="24"/>
        </w:rPr>
        <w:br/>
      </w:r>
      <w:r w:rsidRPr="79F3EFC6">
        <w:rPr>
          <w:sz w:val="24"/>
          <w:szCs w:val="24"/>
        </w:rPr>
        <w:t>All diuretikabehandling kräver observation av elektrolyter och njurfunktion. Observera att basbehandling med SGLT2-hämmare, MRA och ARNI har diuretiska effekter i sig.</w:t>
      </w:r>
    </w:p>
    <w:p w14:paraId="40876D2F" w14:textId="77777777" w:rsidR="00A20158" w:rsidRPr="005D7BFE" w:rsidRDefault="00A20158" w:rsidP="00A20158">
      <w:pPr>
        <w:pStyle w:val="Rubrik2"/>
        <w:rPr>
          <w:sz w:val="24"/>
          <w:szCs w:val="24"/>
        </w:rPr>
      </w:pPr>
      <w:r w:rsidRPr="005D7BFE">
        <w:rPr>
          <w:sz w:val="24"/>
          <w:szCs w:val="24"/>
        </w:rPr>
        <w:lastRenderedPageBreak/>
        <w:t>ICD och/eller biventrikulär pacemaker</w:t>
      </w:r>
    </w:p>
    <w:p w14:paraId="26747F6A" w14:textId="77777777" w:rsidR="00A20158" w:rsidRPr="00305005" w:rsidRDefault="00A20158" w:rsidP="00A20158">
      <w:pPr>
        <w:rPr>
          <w:sz w:val="24"/>
          <w:szCs w:val="24"/>
        </w:rPr>
      </w:pPr>
      <w:r w:rsidRPr="0DC5D26D">
        <w:rPr>
          <w:sz w:val="24"/>
          <w:szCs w:val="24"/>
        </w:rPr>
        <w:t xml:space="preserve">En inopererad defibrillator (ICD) och/eller en biventrikulär pacemaker </w:t>
      </w:r>
      <w:r>
        <w:br/>
      </w:r>
      <w:r w:rsidRPr="0DC5D26D">
        <w:rPr>
          <w:sz w:val="24"/>
          <w:szCs w:val="24"/>
        </w:rPr>
        <w:t xml:space="preserve">(CRT; cardiac resynchronization therapy) utgör viktiga komplement till läkemedlen. </w:t>
      </w:r>
    </w:p>
    <w:p w14:paraId="5E48C917" w14:textId="77777777" w:rsidR="00A20158" w:rsidRPr="00305005" w:rsidRDefault="00A20158" w:rsidP="00A20158">
      <w:pPr>
        <w:rPr>
          <w:sz w:val="24"/>
          <w:szCs w:val="24"/>
        </w:rPr>
      </w:pPr>
    </w:p>
    <w:p w14:paraId="2957716A" w14:textId="77777777" w:rsidR="00A20158" w:rsidRPr="00305005" w:rsidRDefault="00A20158" w:rsidP="00A20158">
      <w:pPr>
        <w:rPr>
          <w:sz w:val="24"/>
          <w:szCs w:val="24"/>
        </w:rPr>
      </w:pPr>
      <w:r w:rsidRPr="7E0BD4B5">
        <w:rPr>
          <w:sz w:val="24"/>
          <w:szCs w:val="24"/>
        </w:rPr>
        <w:t xml:space="preserve">En ICD skyddar enbart mot plötslig död och lindrar inga symtom. Risken för plötslig död är högre om hjärtsvikten beror på kranskärlssjukdom än om den har andra orsaker. En ICD har ingenting att tillföra vid svår hjärtsvikt (NYHA IV) eller vid andra svåra sjukdomar. </w:t>
      </w:r>
    </w:p>
    <w:p w14:paraId="1AA6C53A" w14:textId="77777777" w:rsidR="00A20158" w:rsidRPr="00305005" w:rsidRDefault="00A20158" w:rsidP="00A20158">
      <w:pPr>
        <w:rPr>
          <w:sz w:val="24"/>
          <w:szCs w:val="24"/>
        </w:rPr>
      </w:pPr>
    </w:p>
    <w:p w14:paraId="0AE9141F" w14:textId="77777777" w:rsidR="00A20158" w:rsidRPr="00305005" w:rsidRDefault="00A20158" w:rsidP="00A20158">
      <w:pPr>
        <w:rPr>
          <w:sz w:val="24"/>
          <w:szCs w:val="24"/>
        </w:rPr>
      </w:pPr>
      <w:r w:rsidRPr="0DC5D26D">
        <w:rPr>
          <w:sz w:val="24"/>
          <w:szCs w:val="24"/>
        </w:rPr>
        <w:t xml:space="preserve">En CRT-D (defibrillator) är en kombinerad biventrikulär pacemaker och ICD, medan en </w:t>
      </w:r>
      <w:r>
        <w:rPr>
          <w:sz w:val="24"/>
          <w:szCs w:val="24"/>
        </w:rPr>
        <w:br/>
      </w:r>
      <w:r w:rsidRPr="0DC5D26D">
        <w:rPr>
          <w:sz w:val="24"/>
          <w:szCs w:val="24"/>
        </w:rPr>
        <w:t xml:space="preserve">CRT-P (pace) enbart är en biventrikulär pacemaker. CRT används vid HFrEF och ett vänstersidigt skänkelblock (LBBB) med en QRS-tid på 130 millisekunder eller mer. Ett sådant skänkelblock fördröjer impulsledningen och leder till en intraventrikulär asynkroni som ger en improduktiv kontraktion, ett så kallat ”skvalphjärta”. </w:t>
      </w:r>
      <w:r>
        <w:br/>
      </w:r>
    </w:p>
    <w:p w14:paraId="2AB598C5" w14:textId="77777777" w:rsidR="00A20158" w:rsidRDefault="00A20158" w:rsidP="00A20158">
      <w:pPr>
        <w:rPr>
          <w:sz w:val="24"/>
          <w:szCs w:val="24"/>
        </w:rPr>
      </w:pPr>
      <w:r w:rsidRPr="79F3EFC6">
        <w:rPr>
          <w:sz w:val="24"/>
          <w:szCs w:val="24"/>
        </w:rPr>
        <w:t>En annan anledning till intraventrikulär asynkroni är om en patient ständigt går med kammarpacad rytm med enbart en högerkammarelektrod. Det kan handla om en pacemaker som patienten fick för länge sedan för ett då mera låggradigt AV-block, men om han/hon sedan dess utvecklat ett totalt block blir det ogynnsamma kontraktionsmönstret påtagligt och kan både skapa och förvärra en HFrEF. Uppgradering till ett CRT-system är vägen ur denna problematik. Detta gäller för patienter med symtomgivande men inte terminal svikt.</w:t>
      </w:r>
    </w:p>
    <w:p w14:paraId="13B27730" w14:textId="77777777" w:rsidR="00A20158" w:rsidRDefault="00A20158" w:rsidP="00A20158">
      <w:pPr>
        <w:rPr>
          <w:sz w:val="24"/>
          <w:szCs w:val="24"/>
        </w:rPr>
      </w:pPr>
    </w:p>
    <w:p w14:paraId="6B27588B" w14:textId="266FCAFD" w:rsidR="00A20158" w:rsidRDefault="00A20158" w:rsidP="00E44C17">
      <w:pPr>
        <w:rPr>
          <w:sz w:val="24"/>
          <w:szCs w:val="24"/>
        </w:rPr>
      </w:pPr>
      <w:r w:rsidRPr="79F3EFC6">
        <w:rPr>
          <w:sz w:val="24"/>
          <w:szCs w:val="24"/>
        </w:rPr>
        <w:t>Således bör vänstergrenblock på EKG föranleda förfrågan om CRT, vid LVEF</w:t>
      </w:r>
      <w:r>
        <w:rPr>
          <w:sz w:val="24"/>
          <w:szCs w:val="24"/>
        </w:rPr>
        <w:t xml:space="preserve"> </w:t>
      </w:r>
      <w:r w:rsidRPr="79F3EFC6">
        <w:rPr>
          <w:sz w:val="24"/>
          <w:szCs w:val="24"/>
        </w:rPr>
        <w:t xml:space="preserve">&lt;35%, </w:t>
      </w:r>
      <w:r>
        <w:rPr>
          <w:sz w:val="24"/>
          <w:szCs w:val="24"/>
        </w:rPr>
        <w:br/>
      </w:r>
      <w:r w:rsidRPr="79F3EFC6">
        <w:rPr>
          <w:sz w:val="24"/>
          <w:szCs w:val="24"/>
        </w:rPr>
        <w:t>efter minst 3 månader med basbehandling.</w:t>
      </w:r>
    </w:p>
    <w:p w14:paraId="5F7CB971" w14:textId="77777777" w:rsidR="00A20158" w:rsidRPr="005D7BFE" w:rsidRDefault="00A20158" w:rsidP="00A20158">
      <w:pPr>
        <w:pStyle w:val="Rubrik2"/>
        <w:rPr>
          <w:sz w:val="24"/>
          <w:szCs w:val="24"/>
        </w:rPr>
      </w:pPr>
      <w:r w:rsidRPr="005D7BFE">
        <w:rPr>
          <w:sz w:val="24"/>
          <w:szCs w:val="24"/>
        </w:rPr>
        <w:t>Annan och främst symtomlindrande behandling</w:t>
      </w:r>
    </w:p>
    <w:p w14:paraId="4EE30216" w14:textId="77777777" w:rsidR="00A20158" w:rsidRPr="00305005" w:rsidRDefault="00A20158" w:rsidP="00A20158">
      <w:pPr>
        <w:rPr>
          <w:rFonts w:asciiTheme="minorHAnsi" w:hAnsiTheme="minorHAnsi"/>
          <w:sz w:val="24"/>
          <w:szCs w:val="24"/>
        </w:rPr>
      </w:pPr>
      <w:r w:rsidRPr="0DC5D26D">
        <w:rPr>
          <w:rFonts w:asciiTheme="minorHAnsi" w:hAnsiTheme="minorHAnsi"/>
          <w:sz w:val="24"/>
          <w:szCs w:val="24"/>
        </w:rPr>
        <w:t xml:space="preserve">Digoxin är främst av värde för att bromsa kammarfrekvensen vid förmaksflimmer. </w:t>
      </w:r>
      <w:r>
        <w:rPr>
          <w:rFonts w:asciiTheme="minorHAnsi" w:hAnsiTheme="minorHAnsi"/>
          <w:sz w:val="24"/>
          <w:szCs w:val="24"/>
        </w:rPr>
        <w:br/>
      </w:r>
      <w:r w:rsidRPr="0DC5D26D">
        <w:rPr>
          <w:rFonts w:asciiTheme="minorHAnsi" w:hAnsiTheme="minorHAnsi"/>
          <w:sz w:val="24"/>
          <w:szCs w:val="24"/>
        </w:rPr>
        <w:t xml:space="preserve">Digoxin kombineras då oftast med betablockad. </w:t>
      </w:r>
      <w:r>
        <w:br/>
      </w:r>
    </w:p>
    <w:p w14:paraId="75D3DE41" w14:textId="77777777" w:rsidR="00A20158" w:rsidRPr="00305005" w:rsidRDefault="00A20158" w:rsidP="00A20158">
      <w:pPr>
        <w:rPr>
          <w:rFonts w:asciiTheme="minorHAnsi" w:hAnsiTheme="minorHAnsi"/>
          <w:sz w:val="24"/>
          <w:szCs w:val="24"/>
        </w:rPr>
      </w:pPr>
      <w:r w:rsidRPr="0DC5D26D">
        <w:rPr>
          <w:rFonts w:asciiTheme="minorHAnsi" w:hAnsiTheme="minorHAnsi"/>
          <w:sz w:val="24"/>
          <w:szCs w:val="24"/>
        </w:rPr>
        <w:t xml:space="preserve">Sinusknutehämmare som ivabradin kan användas för att sänka sinusfrekvensen om betablockerare är kontraindicerade eller otillräckliga och kan övervägas efter specialistkonsultation. Ivabradin har visat effekt på dödlighet och sjukhusinläggningar. Ivabradin har ingen effekt vid förmaksflimmer. </w:t>
      </w:r>
    </w:p>
    <w:p w14:paraId="5C0262C4" w14:textId="77777777" w:rsidR="00A20158" w:rsidRPr="00305005" w:rsidRDefault="00A20158" w:rsidP="00A20158">
      <w:pPr>
        <w:rPr>
          <w:rFonts w:asciiTheme="minorHAnsi" w:hAnsiTheme="minorHAnsi"/>
          <w:sz w:val="24"/>
          <w:szCs w:val="24"/>
        </w:rPr>
      </w:pPr>
    </w:p>
    <w:p w14:paraId="6293DC7B" w14:textId="77777777" w:rsidR="00A20158" w:rsidRPr="00305005" w:rsidRDefault="00A20158" w:rsidP="00A20158">
      <w:pPr>
        <w:rPr>
          <w:rFonts w:asciiTheme="minorHAnsi" w:hAnsiTheme="minorHAnsi"/>
          <w:sz w:val="24"/>
          <w:szCs w:val="24"/>
        </w:rPr>
      </w:pPr>
      <w:r w:rsidRPr="0DC5D26D">
        <w:rPr>
          <w:rFonts w:asciiTheme="minorHAnsi" w:hAnsiTheme="minorHAnsi"/>
          <w:sz w:val="24"/>
          <w:szCs w:val="24"/>
        </w:rPr>
        <w:t xml:space="preserve">Järnbrist är vanligt vid hjärtsvikt och hjärtsviktspatienter bör screenas i samband med rutinkontrollerna. Enbart Hb återspeglar järnstatus dåligt. Vid ett S-ferritin &lt;100 ng/mL eller </w:t>
      </w:r>
      <w:r>
        <w:rPr>
          <w:rFonts w:asciiTheme="minorHAnsi" w:hAnsiTheme="minorHAnsi"/>
          <w:sz w:val="24"/>
          <w:szCs w:val="24"/>
        </w:rPr>
        <w:br/>
      </w:r>
      <w:r w:rsidRPr="0DC5D26D">
        <w:rPr>
          <w:rFonts w:asciiTheme="minorHAnsi" w:hAnsiTheme="minorHAnsi"/>
          <w:sz w:val="24"/>
          <w:szCs w:val="24"/>
        </w:rPr>
        <w:t>100</w:t>
      </w:r>
      <w:r>
        <w:rPr>
          <w:rFonts w:asciiTheme="minorHAnsi" w:hAnsiTheme="minorHAnsi"/>
          <w:sz w:val="24"/>
          <w:szCs w:val="24"/>
        </w:rPr>
        <w:t xml:space="preserve"> </w:t>
      </w:r>
      <w:r w:rsidRPr="0DC5D26D">
        <w:rPr>
          <w:rFonts w:asciiTheme="minorHAnsi" w:hAnsiTheme="minorHAnsi"/>
          <w:sz w:val="24"/>
          <w:szCs w:val="24"/>
        </w:rPr>
        <w:t>-</w:t>
      </w:r>
      <w:r>
        <w:rPr>
          <w:rFonts w:asciiTheme="minorHAnsi" w:hAnsiTheme="minorHAnsi"/>
          <w:sz w:val="24"/>
          <w:szCs w:val="24"/>
        </w:rPr>
        <w:t xml:space="preserve"> </w:t>
      </w:r>
      <w:r w:rsidRPr="0DC5D26D">
        <w:rPr>
          <w:rFonts w:asciiTheme="minorHAnsi" w:hAnsiTheme="minorHAnsi"/>
          <w:sz w:val="24"/>
          <w:szCs w:val="24"/>
        </w:rPr>
        <w:t xml:space="preserve">299 ng/mL med en transferrinmättnad &lt;20% rekommenderas intravenöst järn som järnkarboxymaltos (Ferinject®) eller järnderisomaltos (Monofer®). </w:t>
      </w:r>
      <w:r>
        <w:rPr>
          <w:rFonts w:asciiTheme="minorHAnsi" w:hAnsiTheme="minorHAnsi"/>
          <w:sz w:val="24"/>
          <w:szCs w:val="24"/>
        </w:rPr>
        <w:br/>
      </w:r>
      <w:r w:rsidRPr="0DC5D26D">
        <w:rPr>
          <w:rFonts w:asciiTheme="minorHAnsi" w:hAnsiTheme="minorHAnsi"/>
          <w:sz w:val="24"/>
          <w:szCs w:val="24"/>
        </w:rPr>
        <w:t>Detta gäller även vid normalt Hb.</w:t>
      </w:r>
    </w:p>
    <w:p w14:paraId="5D7E4E5F" w14:textId="77777777" w:rsidR="00A20158" w:rsidRDefault="00A20158" w:rsidP="00A20158">
      <w:pPr>
        <w:rPr>
          <w:rFonts w:asciiTheme="minorHAnsi" w:hAnsiTheme="minorHAnsi"/>
          <w:sz w:val="24"/>
          <w:szCs w:val="24"/>
        </w:rPr>
      </w:pPr>
      <w:r w:rsidRPr="0DC5D26D">
        <w:rPr>
          <w:rFonts w:asciiTheme="minorHAnsi" w:hAnsiTheme="minorHAnsi"/>
          <w:sz w:val="24"/>
          <w:szCs w:val="24"/>
        </w:rPr>
        <w:t xml:space="preserve">Den vanligaste dosen är 1 gram intravenöst under 30 minuter. Peroralt järn resorberas dåligt </w:t>
      </w:r>
      <w:r>
        <w:rPr>
          <w:rFonts w:asciiTheme="minorHAnsi" w:hAnsiTheme="minorHAnsi"/>
          <w:sz w:val="24"/>
          <w:szCs w:val="24"/>
        </w:rPr>
        <w:br/>
      </w:r>
      <w:r w:rsidRPr="0DC5D26D">
        <w:rPr>
          <w:rFonts w:asciiTheme="minorHAnsi" w:hAnsiTheme="minorHAnsi"/>
          <w:sz w:val="24"/>
          <w:szCs w:val="24"/>
        </w:rPr>
        <w:t xml:space="preserve">och är inget alternativ. Patienter med konstaterad järnbrist bör screenas för potentiellt allvarliga men botbara orsaker, främst gastrointestinala blödningskällor. </w:t>
      </w:r>
    </w:p>
    <w:p w14:paraId="51917DBC" w14:textId="77777777" w:rsidR="00A20158" w:rsidRPr="005D7BFE" w:rsidRDefault="00A20158" w:rsidP="00A20158">
      <w:pPr>
        <w:pStyle w:val="Rubrik2"/>
        <w:shd w:val="clear" w:color="auto" w:fill="FFFFFF" w:themeFill="background2"/>
        <w:spacing w:before="375" w:after="45" w:line="312" w:lineRule="atLeast"/>
        <w:rPr>
          <w:rFonts w:cs="Arial"/>
          <w:color w:val="000000" w:themeColor="text1"/>
          <w:sz w:val="24"/>
          <w:szCs w:val="24"/>
        </w:rPr>
      </w:pPr>
      <w:r w:rsidRPr="79F3EFC6">
        <w:rPr>
          <w:rFonts w:cs="Arial"/>
          <w:color w:val="000000" w:themeColor="text1"/>
          <w:sz w:val="24"/>
          <w:szCs w:val="24"/>
        </w:rPr>
        <w:t>Behandling vid hjärtsvikt med bevarad ejektionsfraktion (HFpEF)</w:t>
      </w:r>
    </w:p>
    <w:p w14:paraId="55916C5D" w14:textId="77777777" w:rsidR="00A20158" w:rsidRDefault="00A20158" w:rsidP="00A20158">
      <w:pPr>
        <w:rPr>
          <w:sz w:val="24"/>
          <w:szCs w:val="24"/>
        </w:rPr>
      </w:pPr>
      <w:r w:rsidRPr="00186651">
        <w:rPr>
          <w:sz w:val="24"/>
          <w:szCs w:val="24"/>
        </w:rPr>
        <w:t xml:space="preserve">SGLT2-hämmare har, som första läkemedelsgrupp visat positiv effekt hos patienter med HFpEF, </w:t>
      </w:r>
      <w:r w:rsidRPr="00186651">
        <w:rPr>
          <w:sz w:val="24"/>
          <w:szCs w:val="24"/>
        </w:rPr>
        <w:br/>
        <w:t xml:space="preserve">i två stora kontrollerade studier. Effekten låg huvudsakligen i att minska risken för återinläggning </w:t>
      </w:r>
      <w:r w:rsidRPr="00186651">
        <w:rPr>
          <w:sz w:val="24"/>
          <w:szCs w:val="24"/>
        </w:rPr>
        <w:lastRenderedPageBreak/>
        <w:t xml:space="preserve">på sjukhus på grund av hjärtsvikt. Vid sammanslagen analys, där även patienter med HFrEF och HFmrEF ingick, fanns trend till effekt på kardiovaskulär död, men inte på totalmortalitet. </w:t>
      </w:r>
      <w:r w:rsidRPr="00186651">
        <w:rPr>
          <w:sz w:val="24"/>
          <w:szCs w:val="24"/>
        </w:rPr>
        <w:br/>
        <w:t>Detta utgör underlaget till att de två SGLT2-hämmarna på marknaden har fått indikation för behandling av hjärtsvikt, oavsett LVEF. Dosering, och övriga överväganden, är desamma som vid behandling av HFrEF.</w:t>
      </w:r>
      <w:r>
        <w:rPr>
          <w:sz w:val="24"/>
          <w:szCs w:val="24"/>
        </w:rPr>
        <w:t xml:space="preserve"> </w:t>
      </w:r>
    </w:p>
    <w:p w14:paraId="46F7082C" w14:textId="77777777" w:rsidR="00A20158" w:rsidRPr="00186651" w:rsidRDefault="00A20158" w:rsidP="00A20158">
      <w:pPr>
        <w:rPr>
          <w:rFonts w:asciiTheme="minorHAnsi" w:hAnsiTheme="minorHAnsi"/>
          <w:sz w:val="24"/>
          <w:szCs w:val="24"/>
        </w:rPr>
      </w:pPr>
      <w:r w:rsidRPr="00186651">
        <w:rPr>
          <w:sz w:val="24"/>
          <w:szCs w:val="24"/>
        </w:rPr>
        <w:t xml:space="preserve">När det gäller övrig behandling vid HFpEF saknas stark evidens. Vid HFpEF behövs vanligen symtomlindrande behandling med diuretika. Det rekommenderas även att man behandlar riskfaktorer som högt blodtryck, övervikt, diabetes, nedsatt njurfunktion och förmaksflimmer så väl som möjligt. Till dessa hör också KOL och sömnapnéproblematik. Sekundär pulmonell hypertension med högerkammarpåverkan kan också vara bidragande i symtombilden. </w:t>
      </w:r>
      <w:r w:rsidRPr="00186651">
        <w:rPr>
          <w:sz w:val="24"/>
          <w:szCs w:val="24"/>
        </w:rPr>
        <w:br/>
        <w:t xml:space="preserve">Flera av dessa tillstånd behandlas med ACE-hämmare, BB, och MRA. Det finns inget som </w:t>
      </w:r>
      <w:r w:rsidRPr="00186651">
        <w:rPr>
          <w:sz w:val="24"/>
          <w:szCs w:val="24"/>
        </w:rPr>
        <w:br/>
        <w:t>antyder att detta skulle vara ogynnsamt för patientgruppen.</w:t>
      </w:r>
      <w:r w:rsidRPr="00186651">
        <w:rPr>
          <w:sz w:val="24"/>
          <w:szCs w:val="24"/>
        </w:rPr>
        <w:br/>
      </w:r>
      <w:r w:rsidRPr="00186651">
        <w:rPr>
          <w:sz w:val="24"/>
          <w:szCs w:val="24"/>
        </w:rPr>
        <w:br/>
        <w:t xml:space="preserve">Hjärtrehabilitering med individuellt anpassad och övervakad fysisk träning är värdefull för alla patienter med hjärtsvikt, även om studier inom gruppen HFpEF saknas. </w:t>
      </w:r>
    </w:p>
    <w:p w14:paraId="0E015867" w14:textId="77777777" w:rsidR="00A20158" w:rsidRPr="00186651" w:rsidRDefault="00A20158" w:rsidP="00A20158">
      <w:pPr>
        <w:rPr>
          <w:rFonts w:asciiTheme="minorHAnsi" w:hAnsiTheme="minorHAnsi"/>
          <w:sz w:val="24"/>
          <w:szCs w:val="24"/>
        </w:rPr>
      </w:pPr>
      <w:r w:rsidRPr="00186651">
        <w:rPr>
          <w:rFonts w:asciiTheme="minorHAnsi" w:hAnsiTheme="minorHAnsi"/>
          <w:sz w:val="24"/>
          <w:szCs w:val="24"/>
        </w:rPr>
        <w:t xml:space="preserve">Texten ovan är baserad på, och i stort samstämmig med, dokumentet "Läkemedelsbehandling vid kronisk hjärtsvikt" framtaget genom nätverket för Sveriges Läkemedelskommittéer (LOK) </w:t>
      </w:r>
    </w:p>
    <w:p w14:paraId="64A927C8" w14:textId="77777777" w:rsidR="00A20158" w:rsidRPr="00186651" w:rsidRDefault="00A20158" w:rsidP="00A20158">
      <w:pPr>
        <w:rPr>
          <w:rStyle w:val="Hyperlnk"/>
          <w:rFonts w:asciiTheme="minorHAnsi" w:hAnsiTheme="minorHAnsi"/>
          <w:color w:val="0070C0"/>
          <w:sz w:val="24"/>
          <w:szCs w:val="24"/>
        </w:rPr>
      </w:pPr>
      <w:r w:rsidRPr="00186651">
        <w:rPr>
          <w:color w:val="0070C0"/>
          <w:sz w:val="24"/>
          <w:szCs w:val="24"/>
        </w:rPr>
        <w:fldChar w:fldCharType="begin"/>
      </w:r>
      <w:r w:rsidRPr="00186651">
        <w:rPr>
          <w:color w:val="0070C0"/>
          <w:sz w:val="24"/>
          <w:szCs w:val="24"/>
        </w:rPr>
        <w:instrText>HYPERLINK "https://janusinfo.se/ntradet/samverkanlakemedelstartsida/natverketlok/artiklar/lakemedelsbehandlingvidkroniskhjartsvikt.5.1b5be9111890c091dbac5679.html"</w:instrText>
      </w:r>
      <w:r w:rsidRPr="00186651">
        <w:rPr>
          <w:color w:val="0070C0"/>
          <w:sz w:val="24"/>
          <w:szCs w:val="24"/>
        </w:rPr>
      </w:r>
      <w:r w:rsidRPr="00186651">
        <w:rPr>
          <w:color w:val="0070C0"/>
          <w:sz w:val="24"/>
          <w:szCs w:val="24"/>
        </w:rPr>
        <w:fldChar w:fldCharType="separate"/>
      </w:r>
      <w:r w:rsidRPr="00186651">
        <w:rPr>
          <w:rStyle w:val="Hyperlnk"/>
          <w:color w:val="0070C0"/>
          <w:sz w:val="24"/>
          <w:szCs w:val="24"/>
        </w:rPr>
        <w:t>Läkemedelsbehandling vid kronisk hjärtsvikt - Janusinfo.se</w:t>
      </w:r>
      <w:r>
        <w:rPr>
          <w:rStyle w:val="Hyperlnk"/>
          <w:color w:val="0070C0"/>
          <w:sz w:val="24"/>
          <w:szCs w:val="24"/>
        </w:rPr>
        <w:t xml:space="preserve"> </w:t>
      </w:r>
    </w:p>
    <w:p w14:paraId="4867FE9E" w14:textId="77777777" w:rsidR="00A20158" w:rsidRDefault="00A20158" w:rsidP="00A20158">
      <w:pPr>
        <w:rPr>
          <w:rStyle w:val="Rubrik2Char"/>
        </w:rPr>
      </w:pPr>
      <w:r w:rsidRPr="00186651">
        <w:rPr>
          <w:b/>
          <w:bCs/>
          <w:color w:val="0070C0"/>
          <w:sz w:val="24"/>
          <w:szCs w:val="24"/>
        </w:rPr>
        <w:fldChar w:fldCharType="end"/>
      </w:r>
      <w:r w:rsidRPr="00B37E6D">
        <w:rPr>
          <w:rStyle w:val="Rubrik2Char"/>
        </w:rPr>
        <w:t xml:space="preserve"> </w:t>
      </w:r>
    </w:p>
    <w:p w14:paraId="589FE0DE" w14:textId="77777777" w:rsidR="00A20158" w:rsidRDefault="00A20158" w:rsidP="00A20158">
      <w:r>
        <w:rPr>
          <w:rStyle w:val="Rubrik2Char"/>
        </w:rPr>
        <w:br/>
      </w:r>
      <w:r w:rsidRPr="7E0BD4B5">
        <w:rPr>
          <w:rStyle w:val="Rubrik2Char"/>
        </w:rPr>
        <w:t>Kronisk kranskärlssjukdom</w:t>
      </w:r>
      <w:r>
        <w:rPr>
          <w:rStyle w:val="Rubrik2Char"/>
        </w:rPr>
        <w:br/>
      </w:r>
    </w:p>
    <w:tbl>
      <w:tblPr>
        <w:tblStyle w:val="Professionelltabell1"/>
        <w:tblW w:w="9206" w:type="dxa"/>
        <w:tblLook w:val="0000" w:firstRow="0" w:lastRow="0" w:firstColumn="0" w:lastColumn="0" w:noHBand="0" w:noVBand="0"/>
      </w:tblPr>
      <w:tblGrid>
        <w:gridCol w:w="5379"/>
        <w:gridCol w:w="3827"/>
      </w:tblGrid>
      <w:tr w:rsidR="00A20158" w:rsidRPr="00305005" w14:paraId="13661A20" w14:textId="77777777" w:rsidTr="00632FCC">
        <w:tc>
          <w:tcPr>
            <w:tcW w:w="9206" w:type="dxa"/>
            <w:gridSpan w:val="2"/>
          </w:tcPr>
          <w:p w14:paraId="08828CF4" w14:textId="77777777" w:rsidR="00A20158" w:rsidRPr="00305005" w:rsidRDefault="00A20158" w:rsidP="00632FCC">
            <w:pPr>
              <w:rPr>
                <w:rFonts w:asciiTheme="minorHAnsi" w:eastAsiaTheme="minorEastAsia" w:hAnsiTheme="minorHAnsi"/>
                <w:b/>
                <w:bCs/>
                <w:sz w:val="28"/>
                <w:szCs w:val="28"/>
              </w:rPr>
            </w:pPr>
            <w:r w:rsidRPr="79F3EFC6">
              <w:rPr>
                <w:rFonts w:asciiTheme="minorHAnsi" w:eastAsiaTheme="minorEastAsia" w:hAnsiTheme="minorHAnsi"/>
                <w:b/>
                <w:bCs/>
                <w:sz w:val="28"/>
                <w:szCs w:val="28"/>
              </w:rPr>
              <w:t>Nitrater - långverkande</w:t>
            </w:r>
          </w:p>
        </w:tc>
      </w:tr>
      <w:tr w:rsidR="00A20158" w:rsidRPr="00305005" w14:paraId="59243BF7" w14:textId="77777777" w:rsidTr="00632FCC">
        <w:tc>
          <w:tcPr>
            <w:tcW w:w="5379" w:type="dxa"/>
          </w:tcPr>
          <w:p w14:paraId="4F04FAEA" w14:textId="77777777" w:rsidR="00A20158" w:rsidRPr="00305005" w:rsidRDefault="00A20158" w:rsidP="00632FCC">
            <w:pPr>
              <w:rPr>
                <w:rFonts w:asciiTheme="minorHAnsi" w:eastAsiaTheme="minorEastAsia" w:hAnsiTheme="minorHAnsi"/>
                <w:b/>
                <w:bCs/>
                <w:sz w:val="24"/>
                <w:szCs w:val="24"/>
              </w:rPr>
            </w:pPr>
            <w:r w:rsidRPr="0DC5D26D">
              <w:rPr>
                <w:rFonts w:asciiTheme="minorHAnsi" w:eastAsiaTheme="minorEastAsia" w:hAnsiTheme="minorHAnsi"/>
                <w:b/>
                <w:bCs/>
                <w:sz w:val="24"/>
                <w:szCs w:val="24"/>
              </w:rPr>
              <w:t>isosorbidmononitrat</w:t>
            </w:r>
          </w:p>
        </w:tc>
        <w:tc>
          <w:tcPr>
            <w:tcW w:w="3827" w:type="dxa"/>
          </w:tcPr>
          <w:p w14:paraId="0D1AD32E" w14:textId="77777777" w:rsidR="00A20158" w:rsidRPr="00305005" w:rsidRDefault="00A20158" w:rsidP="00632FCC">
            <w:pPr>
              <w:rPr>
                <w:rFonts w:asciiTheme="minorHAnsi" w:eastAsiaTheme="minorEastAsia" w:hAnsiTheme="minorHAnsi"/>
                <w:sz w:val="24"/>
                <w:szCs w:val="24"/>
              </w:rPr>
            </w:pPr>
            <w:r w:rsidRPr="0DC5D26D">
              <w:rPr>
                <w:rFonts w:asciiTheme="minorHAnsi" w:eastAsiaTheme="minorEastAsia" w:hAnsiTheme="minorHAnsi"/>
                <w:sz w:val="24"/>
                <w:szCs w:val="24"/>
              </w:rPr>
              <w:t>Imdur</w:t>
            </w:r>
          </w:p>
        </w:tc>
      </w:tr>
      <w:tr w:rsidR="00A20158" w:rsidRPr="00305005" w14:paraId="24ECD044" w14:textId="77777777" w:rsidTr="00632FCC">
        <w:trPr>
          <w:trHeight w:val="52"/>
        </w:trPr>
        <w:tc>
          <w:tcPr>
            <w:tcW w:w="9206" w:type="dxa"/>
            <w:gridSpan w:val="2"/>
          </w:tcPr>
          <w:p w14:paraId="5E1D4BAB" w14:textId="77777777" w:rsidR="00A20158" w:rsidRPr="00305005" w:rsidRDefault="00A20158" w:rsidP="00632FCC">
            <w:pPr>
              <w:rPr>
                <w:rFonts w:asciiTheme="minorHAnsi" w:eastAsiaTheme="minorEastAsia" w:hAnsiTheme="minorHAnsi"/>
                <w:b/>
                <w:bCs/>
                <w:sz w:val="24"/>
                <w:szCs w:val="24"/>
              </w:rPr>
            </w:pPr>
          </w:p>
        </w:tc>
      </w:tr>
      <w:tr w:rsidR="00A20158" w:rsidRPr="00305005" w14:paraId="5D540804" w14:textId="77777777" w:rsidTr="00632FCC">
        <w:tc>
          <w:tcPr>
            <w:tcW w:w="9206" w:type="dxa"/>
            <w:gridSpan w:val="2"/>
          </w:tcPr>
          <w:p w14:paraId="2BFE7ED2" w14:textId="77777777" w:rsidR="00A20158" w:rsidRPr="00305005" w:rsidRDefault="00A20158" w:rsidP="00632FCC">
            <w:pPr>
              <w:rPr>
                <w:rFonts w:asciiTheme="minorHAnsi" w:eastAsiaTheme="minorEastAsia" w:hAnsiTheme="minorHAnsi"/>
                <w:b/>
                <w:bCs/>
                <w:sz w:val="28"/>
                <w:szCs w:val="28"/>
              </w:rPr>
            </w:pPr>
            <w:r w:rsidRPr="79F3EFC6">
              <w:rPr>
                <w:rFonts w:asciiTheme="minorHAnsi" w:eastAsiaTheme="minorEastAsia" w:hAnsiTheme="minorHAnsi"/>
                <w:b/>
                <w:bCs/>
                <w:sz w:val="28"/>
                <w:szCs w:val="28"/>
              </w:rPr>
              <w:t>Nitrater – snabbverkande</w:t>
            </w:r>
          </w:p>
        </w:tc>
      </w:tr>
      <w:tr w:rsidR="00A20158" w:rsidRPr="00305005" w14:paraId="05C720CE" w14:textId="77777777" w:rsidTr="00632FCC">
        <w:tc>
          <w:tcPr>
            <w:tcW w:w="5379" w:type="dxa"/>
          </w:tcPr>
          <w:p w14:paraId="7BC47776" w14:textId="77777777" w:rsidR="00A20158" w:rsidRPr="00305005" w:rsidRDefault="00A20158" w:rsidP="00632FCC">
            <w:pPr>
              <w:rPr>
                <w:rFonts w:asciiTheme="minorHAnsi" w:eastAsiaTheme="minorEastAsia" w:hAnsiTheme="minorHAnsi"/>
                <w:b/>
                <w:bCs/>
                <w:sz w:val="24"/>
                <w:szCs w:val="24"/>
              </w:rPr>
            </w:pPr>
            <w:r w:rsidRPr="0DC5D26D">
              <w:rPr>
                <w:rFonts w:asciiTheme="minorHAnsi" w:eastAsiaTheme="minorEastAsia" w:hAnsiTheme="minorHAnsi"/>
                <w:b/>
                <w:bCs/>
                <w:sz w:val="24"/>
                <w:szCs w:val="24"/>
              </w:rPr>
              <w:t>glyceryltrinitrat</w:t>
            </w:r>
          </w:p>
        </w:tc>
        <w:tc>
          <w:tcPr>
            <w:tcW w:w="3827" w:type="dxa"/>
          </w:tcPr>
          <w:p w14:paraId="3B27ED4B" w14:textId="77777777" w:rsidR="00A20158" w:rsidRPr="00305005" w:rsidRDefault="00A20158" w:rsidP="00632FCC">
            <w:pPr>
              <w:rPr>
                <w:rFonts w:asciiTheme="minorHAnsi" w:eastAsiaTheme="minorEastAsia" w:hAnsiTheme="minorHAnsi"/>
                <w:sz w:val="24"/>
                <w:szCs w:val="24"/>
              </w:rPr>
            </w:pPr>
            <w:r w:rsidRPr="0DC5D26D">
              <w:rPr>
                <w:rFonts w:asciiTheme="minorHAnsi" w:eastAsiaTheme="minorEastAsia" w:hAnsiTheme="minorHAnsi"/>
                <w:sz w:val="24"/>
                <w:szCs w:val="24"/>
              </w:rPr>
              <w:t>Suscard</w:t>
            </w:r>
          </w:p>
        </w:tc>
      </w:tr>
      <w:tr w:rsidR="00A20158" w:rsidRPr="00305005" w14:paraId="51DFCB62" w14:textId="77777777" w:rsidTr="00632FCC">
        <w:tc>
          <w:tcPr>
            <w:tcW w:w="5379" w:type="dxa"/>
          </w:tcPr>
          <w:p w14:paraId="4342280C" w14:textId="77777777" w:rsidR="00A20158" w:rsidRPr="00305005" w:rsidRDefault="00A20158" w:rsidP="00632FCC">
            <w:pPr>
              <w:rPr>
                <w:rFonts w:asciiTheme="minorHAnsi" w:eastAsiaTheme="minorEastAsia" w:hAnsiTheme="minorHAnsi"/>
                <w:b/>
                <w:bCs/>
                <w:sz w:val="24"/>
                <w:szCs w:val="24"/>
              </w:rPr>
            </w:pPr>
            <w:r w:rsidRPr="7E0BD4B5">
              <w:rPr>
                <w:rFonts w:asciiTheme="minorHAnsi" w:eastAsiaTheme="minorEastAsia" w:hAnsiTheme="minorHAnsi"/>
                <w:b/>
                <w:bCs/>
                <w:sz w:val="24"/>
                <w:szCs w:val="24"/>
              </w:rPr>
              <w:t>nitroglycerin</w:t>
            </w:r>
          </w:p>
        </w:tc>
        <w:tc>
          <w:tcPr>
            <w:tcW w:w="3827" w:type="dxa"/>
          </w:tcPr>
          <w:p w14:paraId="5C072A73" w14:textId="77777777" w:rsidR="00A20158" w:rsidRDefault="00A20158" w:rsidP="00632FCC">
            <w:pPr>
              <w:rPr>
                <w:rFonts w:asciiTheme="minorHAnsi" w:eastAsiaTheme="minorEastAsia" w:hAnsiTheme="minorHAnsi"/>
                <w:sz w:val="24"/>
                <w:szCs w:val="24"/>
              </w:rPr>
            </w:pPr>
            <w:r w:rsidRPr="79F3EFC6">
              <w:rPr>
                <w:rFonts w:asciiTheme="minorHAnsi" w:eastAsiaTheme="minorEastAsia" w:hAnsiTheme="minorHAnsi"/>
                <w:sz w:val="24"/>
                <w:szCs w:val="24"/>
              </w:rPr>
              <w:t>Glytrin</w:t>
            </w:r>
          </w:p>
          <w:p w14:paraId="19F472AB" w14:textId="77777777" w:rsidR="00A20158" w:rsidRPr="00305005" w:rsidRDefault="00A20158" w:rsidP="00632FCC">
            <w:pPr>
              <w:rPr>
                <w:rFonts w:asciiTheme="minorHAnsi" w:eastAsiaTheme="minorEastAsia" w:hAnsiTheme="minorHAnsi"/>
                <w:sz w:val="24"/>
                <w:szCs w:val="24"/>
              </w:rPr>
            </w:pPr>
            <w:r w:rsidRPr="0DC5D26D">
              <w:rPr>
                <w:rFonts w:asciiTheme="minorHAnsi" w:eastAsiaTheme="minorEastAsia" w:hAnsiTheme="minorHAnsi"/>
                <w:sz w:val="24"/>
                <w:szCs w:val="24"/>
              </w:rPr>
              <w:t>Nitrolingual</w:t>
            </w:r>
          </w:p>
        </w:tc>
      </w:tr>
      <w:tr w:rsidR="00A20158" w:rsidRPr="00305005" w14:paraId="023D7AE4" w14:textId="77777777" w:rsidTr="00632FCC">
        <w:tc>
          <w:tcPr>
            <w:tcW w:w="9206" w:type="dxa"/>
            <w:gridSpan w:val="2"/>
          </w:tcPr>
          <w:p w14:paraId="118A5076" w14:textId="77777777" w:rsidR="00A20158" w:rsidRPr="00305005" w:rsidRDefault="00A20158" w:rsidP="00632FCC">
            <w:pPr>
              <w:rPr>
                <w:rFonts w:asciiTheme="minorHAnsi" w:eastAsiaTheme="minorEastAsia" w:hAnsiTheme="minorHAnsi"/>
                <w:b/>
                <w:bCs/>
                <w:sz w:val="24"/>
                <w:szCs w:val="24"/>
              </w:rPr>
            </w:pPr>
          </w:p>
        </w:tc>
      </w:tr>
      <w:tr w:rsidR="00A20158" w:rsidRPr="00305005" w14:paraId="18817382" w14:textId="77777777" w:rsidTr="00632FCC">
        <w:tc>
          <w:tcPr>
            <w:tcW w:w="9206" w:type="dxa"/>
            <w:gridSpan w:val="2"/>
          </w:tcPr>
          <w:p w14:paraId="0BA01CE7" w14:textId="77777777" w:rsidR="00A20158" w:rsidRPr="00305005" w:rsidRDefault="00A20158" w:rsidP="00632FCC">
            <w:pPr>
              <w:rPr>
                <w:rFonts w:asciiTheme="minorHAnsi" w:eastAsiaTheme="minorEastAsia" w:hAnsiTheme="minorHAnsi"/>
                <w:b/>
                <w:bCs/>
                <w:sz w:val="28"/>
                <w:szCs w:val="28"/>
              </w:rPr>
            </w:pPr>
            <w:r w:rsidRPr="79F3EFC6">
              <w:rPr>
                <w:rFonts w:asciiTheme="minorHAnsi" w:eastAsiaTheme="minorEastAsia" w:hAnsiTheme="minorHAnsi"/>
                <w:b/>
                <w:bCs/>
                <w:sz w:val="28"/>
                <w:szCs w:val="28"/>
              </w:rPr>
              <w:t>Betablockare</w:t>
            </w:r>
          </w:p>
        </w:tc>
      </w:tr>
      <w:tr w:rsidR="00A20158" w:rsidRPr="00305005" w14:paraId="0E39C708" w14:textId="77777777" w:rsidTr="00632FCC">
        <w:tc>
          <w:tcPr>
            <w:tcW w:w="5379" w:type="dxa"/>
          </w:tcPr>
          <w:p w14:paraId="3939056E" w14:textId="77777777" w:rsidR="00A20158" w:rsidRPr="00305005" w:rsidRDefault="00A20158" w:rsidP="00632FCC">
            <w:pPr>
              <w:rPr>
                <w:rFonts w:asciiTheme="minorHAnsi" w:eastAsiaTheme="minorEastAsia" w:hAnsiTheme="minorHAnsi"/>
                <w:b/>
                <w:bCs/>
                <w:sz w:val="24"/>
                <w:szCs w:val="24"/>
              </w:rPr>
            </w:pPr>
            <w:r w:rsidRPr="0DC5D26D">
              <w:rPr>
                <w:rFonts w:asciiTheme="minorHAnsi" w:eastAsiaTheme="minorEastAsia" w:hAnsiTheme="minorHAnsi"/>
                <w:b/>
                <w:bCs/>
                <w:sz w:val="24"/>
                <w:szCs w:val="24"/>
              </w:rPr>
              <w:t>bisoprolol</w:t>
            </w:r>
          </w:p>
        </w:tc>
        <w:tc>
          <w:tcPr>
            <w:tcW w:w="3827" w:type="dxa"/>
          </w:tcPr>
          <w:p w14:paraId="5B9214EE" w14:textId="77777777" w:rsidR="00A20158" w:rsidRPr="00305005" w:rsidRDefault="00A20158" w:rsidP="00632FCC">
            <w:pPr>
              <w:rPr>
                <w:rFonts w:asciiTheme="minorHAnsi" w:eastAsiaTheme="minorEastAsia" w:hAnsiTheme="minorHAnsi"/>
                <w:sz w:val="24"/>
                <w:szCs w:val="24"/>
              </w:rPr>
            </w:pPr>
            <w:r w:rsidRPr="0DC5D26D">
              <w:rPr>
                <w:rFonts w:asciiTheme="minorHAnsi" w:eastAsiaTheme="minorEastAsia" w:hAnsiTheme="minorHAnsi"/>
                <w:sz w:val="24"/>
                <w:szCs w:val="24"/>
              </w:rPr>
              <w:t>Bisoprolol</w:t>
            </w:r>
          </w:p>
        </w:tc>
      </w:tr>
      <w:tr w:rsidR="00A20158" w:rsidRPr="00305005" w14:paraId="3D2FF9A8" w14:textId="77777777" w:rsidTr="00632FCC">
        <w:tc>
          <w:tcPr>
            <w:tcW w:w="5379" w:type="dxa"/>
          </w:tcPr>
          <w:p w14:paraId="599525D8" w14:textId="77777777" w:rsidR="00A20158" w:rsidRPr="00305005" w:rsidRDefault="00A20158" w:rsidP="00632FCC">
            <w:pPr>
              <w:rPr>
                <w:rFonts w:asciiTheme="minorHAnsi" w:eastAsiaTheme="minorEastAsia" w:hAnsiTheme="minorHAnsi"/>
                <w:b/>
                <w:bCs/>
                <w:sz w:val="24"/>
                <w:szCs w:val="24"/>
              </w:rPr>
            </w:pPr>
            <w:r w:rsidRPr="0DC5D26D">
              <w:rPr>
                <w:rFonts w:asciiTheme="minorHAnsi" w:eastAsiaTheme="minorEastAsia" w:hAnsiTheme="minorHAnsi"/>
                <w:b/>
                <w:bCs/>
                <w:sz w:val="24"/>
                <w:szCs w:val="24"/>
              </w:rPr>
              <w:t>metoprolol</w:t>
            </w:r>
          </w:p>
        </w:tc>
        <w:tc>
          <w:tcPr>
            <w:tcW w:w="3827" w:type="dxa"/>
          </w:tcPr>
          <w:p w14:paraId="49D9A230" w14:textId="77777777" w:rsidR="00A20158" w:rsidRPr="00305005" w:rsidRDefault="00A20158" w:rsidP="00632FCC">
            <w:pPr>
              <w:rPr>
                <w:rFonts w:asciiTheme="minorHAnsi" w:eastAsiaTheme="minorEastAsia" w:hAnsiTheme="minorHAnsi"/>
                <w:sz w:val="24"/>
                <w:szCs w:val="24"/>
              </w:rPr>
            </w:pPr>
            <w:r w:rsidRPr="0DC5D26D">
              <w:rPr>
                <w:rFonts w:asciiTheme="minorHAnsi" w:eastAsiaTheme="minorEastAsia" w:hAnsiTheme="minorHAnsi"/>
                <w:sz w:val="24"/>
                <w:szCs w:val="24"/>
              </w:rPr>
              <w:t>Metoprolol</w:t>
            </w:r>
          </w:p>
        </w:tc>
      </w:tr>
      <w:tr w:rsidR="00A20158" w:rsidRPr="00305005" w14:paraId="5A7E7EE1" w14:textId="77777777" w:rsidTr="00632FCC">
        <w:tc>
          <w:tcPr>
            <w:tcW w:w="9206" w:type="dxa"/>
            <w:gridSpan w:val="2"/>
          </w:tcPr>
          <w:p w14:paraId="74898349" w14:textId="77777777" w:rsidR="00A20158" w:rsidRPr="00305005" w:rsidRDefault="00A20158" w:rsidP="00632FCC">
            <w:pPr>
              <w:rPr>
                <w:rFonts w:asciiTheme="minorHAnsi" w:eastAsiaTheme="minorEastAsia" w:hAnsiTheme="minorHAnsi"/>
                <w:b/>
                <w:bCs/>
                <w:sz w:val="24"/>
                <w:szCs w:val="24"/>
              </w:rPr>
            </w:pPr>
          </w:p>
        </w:tc>
      </w:tr>
      <w:tr w:rsidR="00A20158" w:rsidRPr="00305005" w14:paraId="58F5C2E6" w14:textId="77777777" w:rsidTr="00632FCC">
        <w:tc>
          <w:tcPr>
            <w:tcW w:w="9206" w:type="dxa"/>
            <w:gridSpan w:val="2"/>
          </w:tcPr>
          <w:p w14:paraId="41D66537" w14:textId="77777777" w:rsidR="00A20158" w:rsidRPr="00305005" w:rsidRDefault="00A20158" w:rsidP="00632FCC">
            <w:pPr>
              <w:rPr>
                <w:rFonts w:asciiTheme="minorHAnsi" w:eastAsiaTheme="minorEastAsia" w:hAnsiTheme="minorHAnsi"/>
                <w:b/>
                <w:bCs/>
                <w:sz w:val="28"/>
                <w:szCs w:val="28"/>
              </w:rPr>
            </w:pPr>
            <w:r w:rsidRPr="79F3EFC6">
              <w:rPr>
                <w:rFonts w:asciiTheme="minorHAnsi" w:eastAsiaTheme="minorEastAsia" w:hAnsiTheme="minorHAnsi"/>
                <w:b/>
                <w:bCs/>
                <w:sz w:val="28"/>
                <w:szCs w:val="28"/>
              </w:rPr>
              <w:t>Kalciumantagonister</w:t>
            </w:r>
          </w:p>
        </w:tc>
      </w:tr>
      <w:tr w:rsidR="00A20158" w:rsidRPr="00305005" w14:paraId="706777AE" w14:textId="77777777" w:rsidTr="00632FCC">
        <w:tc>
          <w:tcPr>
            <w:tcW w:w="5379" w:type="dxa"/>
          </w:tcPr>
          <w:p w14:paraId="6742DC2D" w14:textId="77777777" w:rsidR="00A20158" w:rsidRPr="00305005" w:rsidRDefault="00A20158" w:rsidP="00632FCC">
            <w:pPr>
              <w:rPr>
                <w:rFonts w:asciiTheme="minorHAnsi" w:eastAsiaTheme="minorEastAsia" w:hAnsiTheme="minorHAnsi"/>
                <w:b/>
                <w:bCs/>
                <w:sz w:val="24"/>
                <w:szCs w:val="24"/>
              </w:rPr>
            </w:pPr>
            <w:r w:rsidRPr="0DC5D26D">
              <w:rPr>
                <w:rFonts w:asciiTheme="minorHAnsi" w:eastAsiaTheme="minorEastAsia" w:hAnsiTheme="minorHAnsi"/>
                <w:b/>
                <w:bCs/>
                <w:sz w:val="24"/>
                <w:szCs w:val="24"/>
              </w:rPr>
              <w:t>amlodipin</w:t>
            </w:r>
          </w:p>
        </w:tc>
        <w:tc>
          <w:tcPr>
            <w:tcW w:w="3827" w:type="dxa"/>
          </w:tcPr>
          <w:p w14:paraId="0B059666" w14:textId="77777777" w:rsidR="00A20158" w:rsidRPr="00305005" w:rsidRDefault="00A20158" w:rsidP="00632FCC">
            <w:pPr>
              <w:rPr>
                <w:rFonts w:asciiTheme="minorHAnsi" w:eastAsiaTheme="minorEastAsia" w:hAnsiTheme="minorHAnsi"/>
                <w:sz w:val="24"/>
                <w:szCs w:val="24"/>
              </w:rPr>
            </w:pPr>
            <w:r w:rsidRPr="0DC5D26D">
              <w:rPr>
                <w:rFonts w:asciiTheme="minorHAnsi" w:eastAsiaTheme="minorEastAsia" w:hAnsiTheme="minorHAnsi"/>
                <w:sz w:val="24"/>
                <w:szCs w:val="24"/>
              </w:rPr>
              <w:t>Amlodipin</w:t>
            </w:r>
          </w:p>
        </w:tc>
      </w:tr>
      <w:tr w:rsidR="00A20158" w:rsidRPr="00305005" w14:paraId="40B0F88D" w14:textId="77777777" w:rsidTr="00632FCC">
        <w:tc>
          <w:tcPr>
            <w:tcW w:w="5379" w:type="dxa"/>
          </w:tcPr>
          <w:p w14:paraId="4C6749FE" w14:textId="77777777" w:rsidR="00A20158" w:rsidRPr="00305005" w:rsidRDefault="00A20158" w:rsidP="00632FCC">
            <w:pPr>
              <w:rPr>
                <w:rFonts w:asciiTheme="minorHAnsi" w:eastAsiaTheme="minorEastAsia" w:hAnsiTheme="minorHAnsi"/>
                <w:b/>
                <w:bCs/>
                <w:sz w:val="24"/>
                <w:szCs w:val="24"/>
              </w:rPr>
            </w:pPr>
          </w:p>
        </w:tc>
        <w:tc>
          <w:tcPr>
            <w:tcW w:w="3827" w:type="dxa"/>
          </w:tcPr>
          <w:p w14:paraId="318E71D0" w14:textId="77777777" w:rsidR="00A20158" w:rsidRPr="00305005" w:rsidRDefault="00A20158" w:rsidP="00632FCC">
            <w:pPr>
              <w:rPr>
                <w:rFonts w:asciiTheme="minorHAnsi" w:eastAsiaTheme="minorEastAsia" w:hAnsiTheme="minorHAnsi"/>
                <w:sz w:val="24"/>
                <w:szCs w:val="24"/>
              </w:rPr>
            </w:pPr>
          </w:p>
        </w:tc>
      </w:tr>
      <w:tr w:rsidR="00A20158" w:rsidRPr="00305005" w14:paraId="7C665676" w14:textId="77777777" w:rsidTr="00632FCC">
        <w:tc>
          <w:tcPr>
            <w:tcW w:w="9206" w:type="dxa"/>
            <w:gridSpan w:val="2"/>
          </w:tcPr>
          <w:p w14:paraId="603C17B5" w14:textId="77777777" w:rsidR="00A20158" w:rsidRPr="00305005" w:rsidRDefault="00A20158" w:rsidP="00632FCC">
            <w:pPr>
              <w:rPr>
                <w:rFonts w:asciiTheme="minorHAnsi" w:eastAsiaTheme="minorEastAsia" w:hAnsiTheme="minorHAnsi"/>
                <w:b/>
                <w:bCs/>
                <w:sz w:val="24"/>
                <w:szCs w:val="24"/>
              </w:rPr>
            </w:pPr>
            <w:r w:rsidRPr="79F3EFC6">
              <w:rPr>
                <w:rFonts w:asciiTheme="minorHAnsi" w:eastAsiaTheme="minorEastAsia" w:hAnsiTheme="minorHAnsi"/>
                <w:b/>
                <w:bCs/>
                <w:sz w:val="28"/>
                <w:szCs w:val="28"/>
              </w:rPr>
              <w:t>Lipidsänkare</w:t>
            </w:r>
            <w:r w:rsidRPr="79F3EFC6">
              <w:rPr>
                <w:rFonts w:asciiTheme="minorHAnsi" w:eastAsiaTheme="minorEastAsia" w:hAnsiTheme="minorHAnsi"/>
                <w:b/>
                <w:bCs/>
                <w:sz w:val="24"/>
                <w:szCs w:val="24"/>
              </w:rPr>
              <w:t xml:space="preserve"> – se hyperkolesterolemi</w:t>
            </w:r>
          </w:p>
        </w:tc>
      </w:tr>
    </w:tbl>
    <w:p w14:paraId="7D0FF9A7" w14:textId="77777777" w:rsidR="00A20158" w:rsidRDefault="00A20158" w:rsidP="00A20158">
      <w:r>
        <w:br w:type="page"/>
      </w:r>
    </w:p>
    <w:tbl>
      <w:tblPr>
        <w:tblStyle w:val="Professionelltabell1"/>
        <w:tblW w:w="9206" w:type="dxa"/>
        <w:tblLook w:val="0000" w:firstRow="0" w:lastRow="0" w:firstColumn="0" w:lastColumn="0" w:noHBand="0" w:noVBand="0"/>
      </w:tblPr>
      <w:tblGrid>
        <w:gridCol w:w="5379"/>
        <w:gridCol w:w="3827"/>
      </w:tblGrid>
      <w:tr w:rsidR="00A20158" w:rsidRPr="00305005" w14:paraId="62025795" w14:textId="77777777" w:rsidTr="00632FCC">
        <w:tc>
          <w:tcPr>
            <w:tcW w:w="9206" w:type="dxa"/>
            <w:gridSpan w:val="2"/>
          </w:tcPr>
          <w:p w14:paraId="68E9878F" w14:textId="77777777" w:rsidR="00A20158" w:rsidRPr="00305005" w:rsidRDefault="00A20158" w:rsidP="00632FCC">
            <w:pPr>
              <w:rPr>
                <w:rFonts w:asciiTheme="minorHAnsi" w:eastAsiaTheme="minorEastAsia" w:hAnsiTheme="minorHAnsi"/>
                <w:b/>
                <w:bCs/>
                <w:sz w:val="24"/>
                <w:szCs w:val="24"/>
              </w:rPr>
            </w:pPr>
          </w:p>
        </w:tc>
      </w:tr>
      <w:tr w:rsidR="00A20158" w:rsidRPr="00305005" w14:paraId="4917287A" w14:textId="77777777" w:rsidTr="00632FCC">
        <w:tc>
          <w:tcPr>
            <w:tcW w:w="9206" w:type="dxa"/>
            <w:gridSpan w:val="2"/>
          </w:tcPr>
          <w:p w14:paraId="0EE6D8C8" w14:textId="77777777" w:rsidR="00A20158" w:rsidRPr="00305005" w:rsidRDefault="00A20158" w:rsidP="00632FCC">
            <w:pPr>
              <w:rPr>
                <w:rFonts w:asciiTheme="minorHAnsi" w:eastAsiaTheme="minorEastAsia" w:hAnsiTheme="minorHAnsi"/>
                <w:b/>
                <w:bCs/>
                <w:sz w:val="28"/>
                <w:szCs w:val="28"/>
              </w:rPr>
            </w:pPr>
            <w:r w:rsidRPr="79F3EFC6">
              <w:rPr>
                <w:rFonts w:asciiTheme="minorHAnsi" w:eastAsiaTheme="minorEastAsia" w:hAnsiTheme="minorHAnsi"/>
                <w:b/>
                <w:bCs/>
                <w:sz w:val="28"/>
                <w:szCs w:val="28"/>
              </w:rPr>
              <w:t>Trombocythämmare</w:t>
            </w:r>
          </w:p>
        </w:tc>
      </w:tr>
      <w:tr w:rsidR="00A20158" w:rsidRPr="00305005" w14:paraId="617347DB" w14:textId="77777777" w:rsidTr="00632FCC">
        <w:tc>
          <w:tcPr>
            <w:tcW w:w="5379" w:type="dxa"/>
          </w:tcPr>
          <w:p w14:paraId="1878B686" w14:textId="77777777" w:rsidR="00A20158" w:rsidRPr="00305005" w:rsidRDefault="00A20158" w:rsidP="00632FCC">
            <w:pPr>
              <w:rPr>
                <w:rFonts w:asciiTheme="minorHAnsi" w:eastAsiaTheme="minorEastAsia" w:hAnsiTheme="minorHAnsi"/>
                <w:b/>
                <w:bCs/>
                <w:sz w:val="24"/>
                <w:szCs w:val="24"/>
              </w:rPr>
            </w:pPr>
            <w:r w:rsidRPr="7E0BD4B5">
              <w:rPr>
                <w:rFonts w:asciiTheme="minorHAnsi" w:eastAsiaTheme="minorEastAsia" w:hAnsiTheme="minorHAnsi"/>
                <w:b/>
                <w:bCs/>
                <w:sz w:val="24"/>
                <w:szCs w:val="24"/>
              </w:rPr>
              <w:t>Acetylsalicylsyra</w:t>
            </w:r>
          </w:p>
        </w:tc>
        <w:tc>
          <w:tcPr>
            <w:tcW w:w="3827" w:type="dxa"/>
          </w:tcPr>
          <w:p w14:paraId="69FF033A" w14:textId="77777777" w:rsidR="00A20158" w:rsidRPr="00305005" w:rsidRDefault="00A20158" w:rsidP="00632FCC">
            <w:pPr>
              <w:rPr>
                <w:rFonts w:asciiTheme="minorHAnsi" w:eastAsiaTheme="minorEastAsia" w:hAnsiTheme="minorHAnsi"/>
                <w:sz w:val="24"/>
                <w:szCs w:val="24"/>
              </w:rPr>
            </w:pPr>
            <w:r w:rsidRPr="0DC5D26D">
              <w:rPr>
                <w:rFonts w:asciiTheme="minorHAnsi" w:eastAsiaTheme="minorEastAsia" w:hAnsiTheme="minorHAnsi"/>
                <w:sz w:val="24"/>
                <w:szCs w:val="24"/>
              </w:rPr>
              <w:t>Trombyl</w:t>
            </w:r>
          </w:p>
          <w:p w14:paraId="772BAC06" w14:textId="77777777" w:rsidR="00A20158" w:rsidRPr="00305005" w:rsidRDefault="00A20158" w:rsidP="00632FCC">
            <w:pPr>
              <w:rPr>
                <w:rFonts w:asciiTheme="minorHAnsi" w:eastAsiaTheme="minorEastAsia" w:hAnsiTheme="minorHAnsi"/>
                <w:b/>
                <w:bCs/>
                <w:sz w:val="24"/>
                <w:szCs w:val="24"/>
              </w:rPr>
            </w:pPr>
            <w:r w:rsidRPr="7E0BD4B5">
              <w:rPr>
                <w:rFonts w:asciiTheme="minorHAnsi" w:eastAsiaTheme="minorEastAsia" w:hAnsiTheme="minorHAnsi"/>
                <w:sz w:val="24"/>
                <w:szCs w:val="24"/>
              </w:rPr>
              <w:t>Acetylsalicylsyra</w:t>
            </w:r>
          </w:p>
        </w:tc>
      </w:tr>
      <w:tr w:rsidR="00A20158" w:rsidRPr="00305005" w14:paraId="5CD19865" w14:textId="77777777" w:rsidTr="00632FCC">
        <w:tc>
          <w:tcPr>
            <w:tcW w:w="9206" w:type="dxa"/>
            <w:gridSpan w:val="2"/>
          </w:tcPr>
          <w:p w14:paraId="1E988922" w14:textId="77777777" w:rsidR="00A20158" w:rsidRPr="00305005" w:rsidRDefault="00A20158" w:rsidP="00632FCC">
            <w:pPr>
              <w:rPr>
                <w:rFonts w:asciiTheme="minorHAnsi" w:eastAsiaTheme="minorEastAsia" w:hAnsiTheme="minorHAnsi"/>
                <w:b/>
                <w:bCs/>
                <w:sz w:val="24"/>
                <w:szCs w:val="24"/>
              </w:rPr>
            </w:pPr>
          </w:p>
        </w:tc>
      </w:tr>
      <w:tr w:rsidR="00A20158" w:rsidRPr="00305005" w14:paraId="223F8E49" w14:textId="77777777" w:rsidTr="00632FCC">
        <w:tc>
          <w:tcPr>
            <w:tcW w:w="9206" w:type="dxa"/>
            <w:gridSpan w:val="2"/>
          </w:tcPr>
          <w:p w14:paraId="6FD0399F" w14:textId="77777777" w:rsidR="00A20158" w:rsidRPr="00305005" w:rsidRDefault="00A20158" w:rsidP="00632FCC">
            <w:pPr>
              <w:rPr>
                <w:rFonts w:asciiTheme="minorHAnsi" w:eastAsiaTheme="minorEastAsia" w:hAnsiTheme="minorHAnsi"/>
                <w:b/>
                <w:bCs/>
                <w:sz w:val="28"/>
                <w:szCs w:val="28"/>
              </w:rPr>
            </w:pPr>
            <w:r w:rsidRPr="79F3EFC6">
              <w:rPr>
                <w:rFonts w:asciiTheme="minorHAnsi" w:eastAsiaTheme="minorEastAsia" w:hAnsiTheme="minorHAnsi"/>
                <w:b/>
                <w:bCs/>
                <w:sz w:val="28"/>
                <w:szCs w:val="28"/>
              </w:rPr>
              <w:t>Vid intolerans mot acetylsalicylsyra</w:t>
            </w:r>
          </w:p>
        </w:tc>
      </w:tr>
      <w:tr w:rsidR="00A20158" w:rsidRPr="00305005" w14:paraId="62B7F2C0" w14:textId="77777777" w:rsidTr="00632FCC">
        <w:tc>
          <w:tcPr>
            <w:tcW w:w="5379" w:type="dxa"/>
          </w:tcPr>
          <w:p w14:paraId="7B42545E" w14:textId="77777777" w:rsidR="00A20158" w:rsidRPr="00305005" w:rsidRDefault="00A20158" w:rsidP="00632FCC">
            <w:pPr>
              <w:rPr>
                <w:rFonts w:asciiTheme="minorHAnsi" w:eastAsiaTheme="minorEastAsia" w:hAnsiTheme="minorHAnsi"/>
                <w:b/>
                <w:bCs/>
                <w:sz w:val="24"/>
                <w:szCs w:val="24"/>
              </w:rPr>
            </w:pPr>
            <w:r w:rsidRPr="0DC5D26D">
              <w:rPr>
                <w:rFonts w:asciiTheme="minorHAnsi" w:eastAsiaTheme="minorEastAsia" w:hAnsiTheme="minorHAnsi"/>
                <w:b/>
                <w:bCs/>
                <w:sz w:val="24"/>
                <w:szCs w:val="24"/>
              </w:rPr>
              <w:t>klopidogrel</w:t>
            </w:r>
          </w:p>
        </w:tc>
        <w:tc>
          <w:tcPr>
            <w:tcW w:w="3827" w:type="dxa"/>
          </w:tcPr>
          <w:p w14:paraId="3AAB8FC9" w14:textId="77777777" w:rsidR="00A20158" w:rsidRPr="00305005" w:rsidRDefault="00A20158" w:rsidP="00632FCC">
            <w:pPr>
              <w:rPr>
                <w:rFonts w:asciiTheme="minorHAnsi" w:eastAsiaTheme="minorEastAsia" w:hAnsiTheme="minorHAnsi"/>
                <w:sz w:val="24"/>
                <w:szCs w:val="24"/>
              </w:rPr>
            </w:pPr>
            <w:r w:rsidRPr="0DC5D26D">
              <w:rPr>
                <w:rFonts w:asciiTheme="minorHAnsi" w:eastAsiaTheme="minorEastAsia" w:hAnsiTheme="minorHAnsi"/>
                <w:sz w:val="24"/>
                <w:szCs w:val="24"/>
              </w:rPr>
              <w:t>Clopidogrel</w:t>
            </w:r>
          </w:p>
        </w:tc>
      </w:tr>
    </w:tbl>
    <w:p w14:paraId="45E89CB2" w14:textId="77777777" w:rsidR="00A20158" w:rsidRPr="00150C2A" w:rsidRDefault="00A20158" w:rsidP="00A20158">
      <w:pPr>
        <w:pStyle w:val="Rubrik3"/>
      </w:pPr>
      <w:r>
        <w:t>Risk- och skyddsfaktorer</w:t>
      </w:r>
    </w:p>
    <w:p w14:paraId="07D0368E" w14:textId="77777777" w:rsidR="00A20158" w:rsidRPr="00305005" w:rsidRDefault="00A20158" w:rsidP="00A20158">
      <w:pPr>
        <w:rPr>
          <w:rFonts w:asciiTheme="minorHAnsi" w:eastAsiaTheme="minorEastAsia" w:hAnsiTheme="minorHAnsi"/>
          <w:sz w:val="24"/>
          <w:szCs w:val="24"/>
        </w:rPr>
      </w:pPr>
      <w:r w:rsidRPr="7E0BD4B5">
        <w:rPr>
          <w:rFonts w:asciiTheme="minorHAnsi" w:eastAsiaTheme="minorEastAsia" w:hAnsiTheme="minorHAnsi"/>
          <w:sz w:val="24"/>
          <w:szCs w:val="24"/>
        </w:rPr>
        <w:t xml:space="preserve">Följande risk- och skyddsfaktorer har ett vetenskapligt underlag och är påverkbara. </w:t>
      </w:r>
      <w:r>
        <w:rPr>
          <w:rFonts w:asciiTheme="minorHAnsi" w:eastAsiaTheme="minorEastAsia" w:hAnsiTheme="minorHAnsi"/>
          <w:sz w:val="24"/>
          <w:szCs w:val="24"/>
        </w:rPr>
        <w:br/>
      </w:r>
      <w:r w:rsidRPr="7E0BD4B5">
        <w:rPr>
          <w:rFonts w:asciiTheme="minorHAnsi" w:eastAsiaTheme="minorEastAsia" w:hAnsiTheme="minorHAnsi"/>
          <w:sz w:val="24"/>
          <w:szCs w:val="24"/>
        </w:rPr>
        <w:t>De står för ca 90 % av risken att insjukna i en första hjärtinfarkt. Patientens levnadsvanor skall kartläggas och dokumenteras. Råd om förbättrade levnadsvanor skall ges.</w:t>
      </w:r>
    </w:p>
    <w:p w14:paraId="23AEC742" w14:textId="29CB126B" w:rsidR="00A20158" w:rsidRPr="00B95747" w:rsidRDefault="00A20158" w:rsidP="00E44C17">
      <w:pPr>
        <w:pStyle w:val="Rubrik3"/>
      </w:pPr>
      <w:r>
        <w:t>Riskfaktorer</w:t>
      </w:r>
    </w:p>
    <w:p w14:paraId="031EEB13" w14:textId="77777777" w:rsidR="00A20158" w:rsidRPr="00305005" w:rsidRDefault="00A20158" w:rsidP="00A20158">
      <w:pPr>
        <w:numPr>
          <w:ilvl w:val="0"/>
          <w:numId w:val="18"/>
        </w:numPr>
        <w:tabs>
          <w:tab w:val="clear" w:pos="284"/>
        </w:tabs>
        <w:spacing w:line="240" w:lineRule="auto"/>
        <w:rPr>
          <w:rFonts w:cs="Arial"/>
          <w:sz w:val="24"/>
          <w:szCs w:val="24"/>
        </w:rPr>
      </w:pPr>
      <w:r w:rsidRPr="7E0BD4B5">
        <w:rPr>
          <w:rFonts w:asciiTheme="minorHAnsi" w:eastAsiaTheme="minorEastAsia" w:hAnsiTheme="minorHAnsi"/>
          <w:sz w:val="24"/>
          <w:szCs w:val="24"/>
        </w:rPr>
        <w:t>Rökning</w:t>
      </w:r>
    </w:p>
    <w:p w14:paraId="542CDEF0" w14:textId="77777777" w:rsidR="00A20158" w:rsidRPr="00305005" w:rsidRDefault="00A20158" w:rsidP="00A20158">
      <w:pPr>
        <w:numPr>
          <w:ilvl w:val="0"/>
          <w:numId w:val="18"/>
        </w:numPr>
        <w:tabs>
          <w:tab w:val="clear" w:pos="284"/>
        </w:tabs>
        <w:spacing w:line="240" w:lineRule="auto"/>
        <w:rPr>
          <w:rFonts w:cs="Arial"/>
          <w:sz w:val="24"/>
          <w:szCs w:val="24"/>
        </w:rPr>
      </w:pPr>
      <w:r w:rsidRPr="7E0BD4B5">
        <w:rPr>
          <w:rFonts w:asciiTheme="minorHAnsi" w:eastAsiaTheme="minorEastAsia" w:hAnsiTheme="minorHAnsi"/>
          <w:sz w:val="24"/>
          <w:szCs w:val="24"/>
        </w:rPr>
        <w:t>Hypertoni</w:t>
      </w:r>
    </w:p>
    <w:p w14:paraId="58718F61" w14:textId="77777777" w:rsidR="00A20158" w:rsidRPr="00305005" w:rsidRDefault="00A20158" w:rsidP="00A20158">
      <w:pPr>
        <w:numPr>
          <w:ilvl w:val="0"/>
          <w:numId w:val="18"/>
        </w:numPr>
        <w:tabs>
          <w:tab w:val="clear" w:pos="284"/>
        </w:tabs>
        <w:spacing w:line="240" w:lineRule="auto"/>
        <w:rPr>
          <w:rFonts w:cs="Arial"/>
          <w:sz w:val="24"/>
          <w:szCs w:val="24"/>
        </w:rPr>
      </w:pPr>
      <w:r w:rsidRPr="7E0BD4B5">
        <w:rPr>
          <w:rFonts w:asciiTheme="minorHAnsi" w:eastAsiaTheme="minorEastAsia" w:hAnsiTheme="minorHAnsi"/>
          <w:sz w:val="24"/>
          <w:szCs w:val="24"/>
        </w:rPr>
        <w:t>Diabetes</w:t>
      </w:r>
    </w:p>
    <w:p w14:paraId="17966631" w14:textId="77777777" w:rsidR="00A20158" w:rsidRPr="00305005" w:rsidRDefault="00A20158" w:rsidP="00A20158">
      <w:pPr>
        <w:numPr>
          <w:ilvl w:val="0"/>
          <w:numId w:val="18"/>
        </w:numPr>
        <w:tabs>
          <w:tab w:val="clear" w:pos="284"/>
        </w:tabs>
        <w:spacing w:line="240" w:lineRule="auto"/>
        <w:rPr>
          <w:rFonts w:cs="Arial"/>
          <w:sz w:val="24"/>
          <w:szCs w:val="24"/>
        </w:rPr>
      </w:pPr>
      <w:r w:rsidRPr="7E0BD4B5">
        <w:rPr>
          <w:rFonts w:asciiTheme="minorHAnsi" w:eastAsiaTheme="minorEastAsia" w:hAnsiTheme="minorHAnsi"/>
          <w:sz w:val="24"/>
          <w:szCs w:val="24"/>
        </w:rPr>
        <w:t>Bukfetma</w:t>
      </w:r>
    </w:p>
    <w:p w14:paraId="7FDB1321" w14:textId="77777777" w:rsidR="00A20158" w:rsidRPr="00305005" w:rsidRDefault="00A20158" w:rsidP="00A20158">
      <w:pPr>
        <w:numPr>
          <w:ilvl w:val="0"/>
          <w:numId w:val="18"/>
        </w:numPr>
        <w:tabs>
          <w:tab w:val="clear" w:pos="284"/>
        </w:tabs>
        <w:spacing w:line="240" w:lineRule="auto"/>
        <w:rPr>
          <w:rFonts w:cs="Arial"/>
          <w:sz w:val="24"/>
          <w:szCs w:val="24"/>
        </w:rPr>
      </w:pPr>
      <w:r w:rsidRPr="7E0BD4B5">
        <w:rPr>
          <w:rFonts w:asciiTheme="minorHAnsi" w:eastAsiaTheme="minorEastAsia" w:hAnsiTheme="minorHAnsi"/>
          <w:sz w:val="24"/>
          <w:szCs w:val="24"/>
        </w:rPr>
        <w:t>Psykosocial belastning</w:t>
      </w:r>
    </w:p>
    <w:p w14:paraId="66EFE595" w14:textId="4D06A8B8" w:rsidR="00A20158" w:rsidRPr="00983DD5" w:rsidRDefault="00A20158" w:rsidP="00A20158">
      <w:pPr>
        <w:numPr>
          <w:ilvl w:val="0"/>
          <w:numId w:val="18"/>
        </w:numPr>
        <w:tabs>
          <w:tab w:val="clear" w:pos="284"/>
        </w:tabs>
        <w:spacing w:after="120" w:line="260" w:lineRule="atLeast"/>
        <w:rPr>
          <w:rFonts w:asciiTheme="majorHAnsi" w:eastAsiaTheme="majorEastAsia" w:hAnsiTheme="majorHAnsi"/>
          <w:b/>
          <w:bCs/>
          <w:sz w:val="24"/>
        </w:rPr>
      </w:pPr>
      <w:r w:rsidRPr="000A4EF8">
        <w:rPr>
          <w:rFonts w:asciiTheme="minorHAnsi" w:eastAsiaTheme="minorEastAsia" w:hAnsiTheme="minorHAnsi"/>
          <w:sz w:val="24"/>
          <w:szCs w:val="24"/>
        </w:rPr>
        <w:t>Höga blodfetter</w:t>
      </w:r>
      <w:r w:rsidRPr="000A4EF8">
        <w:rPr>
          <w:rFonts w:cs="Arial"/>
          <w:sz w:val="28"/>
          <w:szCs w:val="28"/>
        </w:rPr>
        <w:t xml:space="preserve"> </w:t>
      </w:r>
    </w:p>
    <w:p w14:paraId="1C47815D" w14:textId="77777777" w:rsidR="00A20158" w:rsidRPr="00533716" w:rsidRDefault="00A20158" w:rsidP="00A20158">
      <w:pPr>
        <w:pStyle w:val="Rubrik3"/>
      </w:pPr>
      <w:r>
        <w:t>Skyddsfaktorer</w:t>
      </w:r>
    </w:p>
    <w:p w14:paraId="7E3A8667" w14:textId="77777777" w:rsidR="00A20158" w:rsidRPr="000A4EF8" w:rsidRDefault="00A20158" w:rsidP="00A20158">
      <w:pPr>
        <w:numPr>
          <w:ilvl w:val="0"/>
          <w:numId w:val="19"/>
        </w:numPr>
        <w:tabs>
          <w:tab w:val="clear" w:pos="284"/>
        </w:tabs>
        <w:spacing w:line="240" w:lineRule="auto"/>
        <w:rPr>
          <w:rFonts w:cs="Arial"/>
          <w:sz w:val="24"/>
          <w:szCs w:val="24"/>
        </w:rPr>
      </w:pPr>
      <w:r w:rsidRPr="000A4EF8">
        <w:rPr>
          <w:rFonts w:asciiTheme="minorHAnsi" w:eastAsiaTheme="minorEastAsia" w:hAnsiTheme="minorHAnsi"/>
          <w:sz w:val="24"/>
          <w:szCs w:val="24"/>
        </w:rPr>
        <w:t>Hög grad av fysisk aktivitet</w:t>
      </w:r>
    </w:p>
    <w:p w14:paraId="26431169" w14:textId="77777777" w:rsidR="00A20158" w:rsidRPr="000A4EF8" w:rsidRDefault="00A20158" w:rsidP="00A20158">
      <w:pPr>
        <w:numPr>
          <w:ilvl w:val="0"/>
          <w:numId w:val="19"/>
        </w:numPr>
        <w:tabs>
          <w:tab w:val="clear" w:pos="284"/>
        </w:tabs>
        <w:spacing w:line="240" w:lineRule="auto"/>
        <w:rPr>
          <w:rFonts w:cs="Arial"/>
          <w:sz w:val="24"/>
          <w:szCs w:val="24"/>
        </w:rPr>
      </w:pPr>
      <w:r w:rsidRPr="000A4EF8">
        <w:rPr>
          <w:rFonts w:asciiTheme="minorHAnsi" w:eastAsiaTheme="minorEastAsia" w:hAnsiTheme="minorHAnsi"/>
          <w:sz w:val="24"/>
          <w:szCs w:val="24"/>
        </w:rPr>
        <w:t>Högt intag av frukt och grönt</w:t>
      </w:r>
    </w:p>
    <w:p w14:paraId="75FFA383" w14:textId="77777777" w:rsidR="00A20158" w:rsidRPr="00305005" w:rsidRDefault="00A20158" w:rsidP="00A20158">
      <w:pPr>
        <w:numPr>
          <w:ilvl w:val="0"/>
          <w:numId w:val="19"/>
        </w:numPr>
        <w:tabs>
          <w:tab w:val="clear" w:pos="284"/>
        </w:tabs>
        <w:spacing w:line="240" w:lineRule="auto"/>
        <w:rPr>
          <w:rFonts w:cs="Arial"/>
          <w:sz w:val="24"/>
          <w:szCs w:val="24"/>
        </w:rPr>
      </w:pPr>
      <w:r w:rsidRPr="7E0BD4B5">
        <w:rPr>
          <w:rFonts w:asciiTheme="minorHAnsi" w:eastAsiaTheme="minorEastAsia" w:hAnsiTheme="minorHAnsi"/>
          <w:sz w:val="24"/>
          <w:szCs w:val="24"/>
        </w:rPr>
        <w:t>Måttlighet avseende alkohol</w:t>
      </w:r>
    </w:p>
    <w:p w14:paraId="6B30C589" w14:textId="77777777" w:rsidR="00A20158" w:rsidRPr="00BF1680" w:rsidRDefault="00A20158" w:rsidP="00A20158">
      <w:pPr>
        <w:ind w:left="720"/>
        <w:rPr>
          <w:rFonts w:cs="Arial"/>
          <w:sz w:val="24"/>
          <w:szCs w:val="24"/>
        </w:rPr>
      </w:pPr>
    </w:p>
    <w:p w14:paraId="4916F6CE" w14:textId="77777777" w:rsidR="00A20158" w:rsidRPr="00305005" w:rsidRDefault="00A20158" w:rsidP="00A20158">
      <w:pPr>
        <w:rPr>
          <w:rFonts w:cs="Arial"/>
          <w:sz w:val="24"/>
          <w:szCs w:val="24"/>
        </w:rPr>
      </w:pPr>
      <w:r w:rsidRPr="0DC5D26D">
        <w:rPr>
          <w:rFonts w:asciiTheme="minorHAnsi" w:eastAsiaTheme="minorEastAsia" w:hAnsiTheme="minorHAnsi"/>
          <w:sz w:val="24"/>
          <w:szCs w:val="24"/>
        </w:rPr>
        <w:t xml:space="preserve">Om farmakologisk behandling och livsstilsförändringar genomförts och patienten har oacceptabla symptom föreligger indikation för invasiv intervention. Om patienten har samtidig hjärtsvikt och/ eller diabetes kan indikation för invasiv behandling föreligga även vid lindriga symptom. </w:t>
      </w:r>
      <w:r>
        <w:rPr>
          <w:rFonts w:asciiTheme="minorHAnsi" w:eastAsiaTheme="minorEastAsia" w:hAnsiTheme="minorHAnsi"/>
          <w:sz w:val="24"/>
          <w:szCs w:val="24"/>
        </w:rPr>
        <w:br/>
      </w:r>
      <w:r w:rsidRPr="0DC5D26D">
        <w:rPr>
          <w:rFonts w:asciiTheme="minorHAnsi" w:eastAsiaTheme="minorEastAsia" w:hAnsiTheme="minorHAnsi"/>
          <w:sz w:val="24"/>
          <w:szCs w:val="24"/>
        </w:rPr>
        <w:t>Gravt patologiskt myocardscintigrafi som indikerar utbredd ischemi (&gt; 10 %) bör utredas vidare invasivt. Val av metod är en kardiologisk angelägenhet.</w:t>
      </w:r>
    </w:p>
    <w:p w14:paraId="1107152E" w14:textId="77777777" w:rsidR="00A20158" w:rsidRPr="00533716" w:rsidRDefault="00A20158" w:rsidP="00A20158">
      <w:pPr>
        <w:pStyle w:val="Rubrik2"/>
        <w:rPr>
          <w:sz w:val="24"/>
          <w:szCs w:val="24"/>
        </w:rPr>
      </w:pPr>
      <w:r w:rsidRPr="7E0BD4B5">
        <w:rPr>
          <w:sz w:val="24"/>
          <w:szCs w:val="24"/>
        </w:rPr>
        <w:t>Farmakologisk behandling</w:t>
      </w:r>
    </w:p>
    <w:p w14:paraId="57C43F1B" w14:textId="77777777" w:rsidR="00A20158" w:rsidRPr="00305005" w:rsidRDefault="00A20158" w:rsidP="00A20158">
      <w:pPr>
        <w:rPr>
          <w:rFonts w:asciiTheme="minorHAnsi" w:eastAsiaTheme="minorEastAsia" w:hAnsiTheme="minorHAnsi"/>
          <w:sz w:val="24"/>
          <w:szCs w:val="24"/>
        </w:rPr>
      </w:pPr>
      <w:r w:rsidRPr="0DC5D26D">
        <w:rPr>
          <w:rFonts w:asciiTheme="minorHAnsi" w:eastAsiaTheme="minorEastAsia" w:hAnsiTheme="minorHAnsi"/>
          <w:sz w:val="24"/>
          <w:szCs w:val="24"/>
        </w:rPr>
        <w:t xml:space="preserve">Nitrater, betablockerare och kalciumantagonister minskar symptom men har ingen eller liten effekt på morbiditet eller mortalitet. Avgörande skillnader mellan preparat inom samma läkemedelsgrupp saknas. Kortverkande nitrater skall ges till alla som behandling av anginösa besvär eller som situationsprofylax. Betablockad tillhör basbehandlingen, de ger minskat energibehov i myokardiet. Vid kombinationsbehandling är långverkande nitrater ofta att föredra till patienter med samtidig hjärtsvikt, betablockerare till patienter med genomgången hjärtinfarkt i anamnesen hjärtsvikt eller strikt ansträngningsutlöst angina, medan kalciumantagonister kan rekommenderas till patienter med kontraindikation mot betablockerare eller inslag av spasmangina. Vid det senare finns det gynnsam klinisk erfarenhet av diltiazem och nifedipin i retardberedningar. Kombination av två preparat från var sin huvudgrupp kan ibland öka den antianginösa effekten. Behov av tillägg finns ofta, </w:t>
      </w:r>
      <w:r w:rsidRPr="0DC5D26D">
        <w:rPr>
          <w:rFonts w:asciiTheme="minorHAnsi" w:eastAsiaTheme="minorEastAsia" w:hAnsiTheme="minorHAnsi"/>
          <w:sz w:val="24"/>
          <w:szCs w:val="24"/>
        </w:rPr>
        <w:lastRenderedPageBreak/>
        <w:t>betablockerare och kalciumantagonister anses tämligen likvärda, men betablockerare föredras.</w:t>
      </w:r>
      <w:r w:rsidRPr="0DC5D26D">
        <w:rPr>
          <w:rFonts w:asciiTheme="minorHAnsi" w:eastAsiaTheme="minorEastAsia" w:hAnsiTheme="minorHAnsi"/>
          <w:color w:val="D7007E"/>
          <w:sz w:val="24"/>
          <w:szCs w:val="24"/>
        </w:rPr>
        <w:t xml:space="preserve"> </w:t>
      </w:r>
      <w:r w:rsidRPr="0DC5D26D">
        <w:rPr>
          <w:rFonts w:asciiTheme="minorHAnsi" w:eastAsiaTheme="minorEastAsia" w:hAnsiTheme="minorHAnsi"/>
          <w:sz w:val="24"/>
          <w:szCs w:val="24"/>
        </w:rPr>
        <w:t xml:space="preserve">Betablockerare och kalciumantagonister kan liberalt kombineras med långtidsverkande nitrater. </w:t>
      </w:r>
      <w:r>
        <w:br/>
      </w:r>
      <w:r w:rsidRPr="0DC5D26D">
        <w:rPr>
          <w:rFonts w:asciiTheme="minorHAnsi" w:eastAsiaTheme="minorEastAsia" w:hAnsiTheme="minorHAnsi"/>
          <w:sz w:val="24"/>
          <w:szCs w:val="24"/>
        </w:rPr>
        <w:t xml:space="preserve">Vid kombination skall man undvika att kombinera betablockerare och kalciumantagonisterna diltiazem eller verapamil på grund av effekterna på retledningssystemet. </w:t>
      </w:r>
      <w:r>
        <w:rPr>
          <w:rFonts w:asciiTheme="minorHAnsi" w:eastAsiaTheme="minorEastAsia" w:hAnsiTheme="minorHAnsi"/>
          <w:sz w:val="24"/>
          <w:szCs w:val="24"/>
        </w:rPr>
        <w:br/>
      </w:r>
      <w:r w:rsidRPr="0DC5D26D">
        <w:rPr>
          <w:rFonts w:asciiTheme="minorHAnsi" w:eastAsiaTheme="minorEastAsia" w:hAnsiTheme="minorHAnsi"/>
          <w:sz w:val="24"/>
          <w:szCs w:val="24"/>
        </w:rPr>
        <w:t>Kom ihåg att kombinationsbehandling med betablockad och kalciumflödeshämmare kan leda till paradoxalt ökad angina pectoris på grund av sänkt perfusionstryck.</w:t>
      </w:r>
      <w:r>
        <w:br/>
      </w:r>
    </w:p>
    <w:p w14:paraId="1EB5CDE5" w14:textId="13838804" w:rsidR="00A20158" w:rsidRDefault="00A20158" w:rsidP="00A20158">
      <w:pPr>
        <w:rPr>
          <w:rFonts w:cs="Arial"/>
          <w:sz w:val="24"/>
          <w:szCs w:val="24"/>
        </w:rPr>
      </w:pPr>
      <w:r w:rsidRPr="0DC5D26D">
        <w:rPr>
          <w:rFonts w:asciiTheme="minorHAnsi" w:eastAsiaTheme="minorEastAsia" w:hAnsiTheme="minorHAnsi"/>
          <w:sz w:val="24"/>
          <w:szCs w:val="24"/>
        </w:rPr>
        <w:t>I de fall där två läkemedel inte ger tillräcklig effekt bör möjligheten av ett revaskulariserande ingrepp beaktas och patienten hänvisas till hjärtspecialist för bedömning. Trombocythämmande behandling är en mycket viktig basbehandling vid ischemisk hjärtsjukdom. Lågdos acetylsalicylsyra/ASA (75 mg) skall därför ges till alla. Vid dokumenterad intolerans mot ASA skall klopidogrel ges. Patient som tidigare haft gastrointestinala blödningsbesvär av lågdos ASA kan ges omeprazol som skydd</w:t>
      </w:r>
      <w:r w:rsidRPr="0DC5D26D">
        <w:rPr>
          <w:rFonts w:cs="Arial"/>
          <w:sz w:val="24"/>
          <w:szCs w:val="24"/>
        </w:rPr>
        <w:t>.</w:t>
      </w:r>
    </w:p>
    <w:p w14:paraId="3FA890ED" w14:textId="77777777" w:rsidR="00A20158" w:rsidRPr="00AB3901" w:rsidRDefault="00A20158" w:rsidP="00A20158">
      <w:pPr>
        <w:pStyle w:val="Rubrik2"/>
        <w:rPr>
          <w:sz w:val="24"/>
          <w:szCs w:val="24"/>
        </w:rPr>
      </w:pPr>
      <w:r w:rsidRPr="00AB3901">
        <w:rPr>
          <w:sz w:val="24"/>
          <w:szCs w:val="24"/>
        </w:rPr>
        <w:t xml:space="preserve">Behandling efter PCI (Percutaneous coronary intervention) hos </w:t>
      </w:r>
      <w:r w:rsidRPr="00AB3901">
        <w:rPr>
          <w:sz w:val="24"/>
          <w:szCs w:val="24"/>
        </w:rPr>
        <w:br/>
        <w:t>patient med stabil angina pectoris</w:t>
      </w:r>
    </w:p>
    <w:p w14:paraId="40CC998E" w14:textId="77777777" w:rsidR="00A20158" w:rsidRDefault="00A20158" w:rsidP="00A20158">
      <w:pPr>
        <w:rPr>
          <w:rFonts w:asciiTheme="minorHAnsi" w:eastAsiaTheme="minorEastAsia" w:hAnsiTheme="minorHAnsi"/>
          <w:sz w:val="24"/>
          <w:szCs w:val="24"/>
        </w:rPr>
      </w:pPr>
      <w:r w:rsidRPr="79F3EFC6">
        <w:rPr>
          <w:rFonts w:asciiTheme="minorHAnsi" w:eastAsiaTheme="minorEastAsia" w:hAnsiTheme="minorHAnsi"/>
          <w:sz w:val="24"/>
          <w:szCs w:val="24"/>
        </w:rPr>
        <w:t>Efter PCI behandling med läkemedelsavgivande stent rekommenderas vanligen 6 månaders behandling med klopidogrel och ASA. Dubbel trombocythämmning (DAPT) ordineras av kardiolog och behandlingstid skall anges i slutanteckning, vanligen 6(</w:t>
      </w:r>
      <w:r w:rsidRPr="79F3EFC6">
        <w:rPr>
          <w:rFonts w:asciiTheme="minorHAnsi" w:eastAsiaTheme="minorEastAsia" w:hAnsiTheme="minorHAnsi"/>
          <w:color w:val="D7007E"/>
          <w:sz w:val="24"/>
          <w:szCs w:val="24"/>
        </w:rPr>
        <w:t>-</w:t>
      </w:r>
      <w:r w:rsidRPr="79F3EFC6">
        <w:rPr>
          <w:rFonts w:asciiTheme="minorHAnsi" w:eastAsiaTheme="minorEastAsia" w:hAnsiTheme="minorHAnsi"/>
          <w:sz w:val="24"/>
          <w:szCs w:val="24"/>
        </w:rPr>
        <w:t>12) månader.</w:t>
      </w:r>
      <w:r w:rsidRPr="79F3EFC6">
        <w:rPr>
          <w:rFonts w:cs="Arial"/>
          <w:sz w:val="28"/>
          <w:szCs w:val="28"/>
        </w:rPr>
        <w:t xml:space="preserve"> </w:t>
      </w:r>
      <w:r w:rsidRPr="79F3EFC6">
        <w:rPr>
          <w:rFonts w:asciiTheme="minorHAnsi" w:eastAsiaTheme="minorEastAsia" w:hAnsiTheme="minorHAnsi"/>
          <w:sz w:val="24"/>
          <w:szCs w:val="24"/>
        </w:rPr>
        <w:t>Tillägg med PPI rekommenderas vid ökad blödningsbenägenhet.</w:t>
      </w:r>
    </w:p>
    <w:p w14:paraId="51B81511" w14:textId="77777777" w:rsidR="00983DD5" w:rsidRDefault="00983DD5" w:rsidP="00A20158">
      <w:pPr>
        <w:rPr>
          <w:rFonts w:asciiTheme="minorHAnsi" w:eastAsiaTheme="minorEastAsia" w:hAnsiTheme="minorHAnsi"/>
          <w:sz w:val="24"/>
          <w:szCs w:val="24"/>
        </w:rPr>
      </w:pPr>
    </w:p>
    <w:p w14:paraId="042BC50A" w14:textId="77777777" w:rsidR="00A20158" w:rsidRPr="0025625B" w:rsidRDefault="00A20158" w:rsidP="00A20158">
      <w:r w:rsidRPr="79F3EFC6">
        <w:rPr>
          <w:rFonts w:asciiTheme="majorHAnsi" w:eastAsiaTheme="majorEastAsia" w:hAnsiTheme="majorHAnsi" w:cstheme="majorBidi"/>
          <w:b/>
          <w:bCs/>
          <w:sz w:val="28"/>
          <w:szCs w:val="28"/>
        </w:rPr>
        <w:t>Sekundärprevention efter hjärtinfarkt</w:t>
      </w:r>
      <w:r>
        <w:br/>
      </w:r>
    </w:p>
    <w:tbl>
      <w:tblPr>
        <w:tblStyle w:val="Professionelltabell1"/>
        <w:tblW w:w="0" w:type="auto"/>
        <w:tblLook w:val="0000" w:firstRow="0" w:lastRow="0" w:firstColumn="0" w:lastColumn="0" w:noHBand="0" w:noVBand="0"/>
      </w:tblPr>
      <w:tblGrid>
        <w:gridCol w:w="5521"/>
        <w:gridCol w:w="3260"/>
      </w:tblGrid>
      <w:tr w:rsidR="00A20158" w:rsidRPr="00305005" w14:paraId="1DCAEA23" w14:textId="77777777" w:rsidTr="00632FCC">
        <w:tc>
          <w:tcPr>
            <w:tcW w:w="8781" w:type="dxa"/>
            <w:gridSpan w:val="2"/>
          </w:tcPr>
          <w:p w14:paraId="1E32CC0E" w14:textId="77777777" w:rsidR="00A20158" w:rsidRPr="002D0186" w:rsidRDefault="00A20158" w:rsidP="00632FCC">
            <w:pPr>
              <w:rPr>
                <w:rFonts w:asciiTheme="minorHAnsi" w:eastAsiaTheme="minorEastAsia" w:hAnsiTheme="minorHAnsi"/>
                <w:sz w:val="28"/>
                <w:szCs w:val="28"/>
              </w:rPr>
            </w:pPr>
            <w:r w:rsidRPr="79F3EFC6">
              <w:rPr>
                <w:rFonts w:asciiTheme="minorHAnsi" w:eastAsiaTheme="minorEastAsia" w:hAnsiTheme="minorHAnsi"/>
                <w:b/>
                <w:bCs/>
                <w:sz w:val="28"/>
                <w:szCs w:val="28"/>
              </w:rPr>
              <w:t>Betablockerare</w:t>
            </w:r>
          </w:p>
        </w:tc>
      </w:tr>
      <w:tr w:rsidR="00A20158" w:rsidRPr="00305005" w14:paraId="24C6DAAC" w14:textId="77777777" w:rsidTr="00632FCC">
        <w:tc>
          <w:tcPr>
            <w:tcW w:w="5521" w:type="dxa"/>
          </w:tcPr>
          <w:p w14:paraId="0C850B46" w14:textId="77777777" w:rsidR="00A20158" w:rsidRPr="00305005" w:rsidRDefault="00A20158" w:rsidP="00632FCC">
            <w:pPr>
              <w:rPr>
                <w:rFonts w:asciiTheme="minorHAnsi" w:eastAsiaTheme="minorEastAsia" w:hAnsiTheme="minorHAnsi"/>
                <w:b/>
                <w:bCs/>
                <w:sz w:val="24"/>
                <w:szCs w:val="24"/>
              </w:rPr>
            </w:pPr>
            <w:r w:rsidRPr="0DC5D26D">
              <w:rPr>
                <w:rFonts w:asciiTheme="minorHAnsi" w:eastAsiaTheme="minorEastAsia" w:hAnsiTheme="minorHAnsi"/>
                <w:b/>
                <w:bCs/>
                <w:sz w:val="24"/>
                <w:szCs w:val="24"/>
              </w:rPr>
              <w:t>metoprolol</w:t>
            </w:r>
          </w:p>
        </w:tc>
        <w:tc>
          <w:tcPr>
            <w:tcW w:w="3260" w:type="dxa"/>
          </w:tcPr>
          <w:p w14:paraId="670E25A3" w14:textId="77777777" w:rsidR="00A20158" w:rsidRPr="00305005" w:rsidRDefault="00A20158" w:rsidP="00632FCC">
            <w:pPr>
              <w:rPr>
                <w:rFonts w:asciiTheme="minorHAnsi" w:eastAsiaTheme="minorEastAsia" w:hAnsiTheme="minorHAnsi"/>
                <w:sz w:val="24"/>
                <w:szCs w:val="24"/>
              </w:rPr>
            </w:pPr>
            <w:r w:rsidRPr="0DC5D26D">
              <w:rPr>
                <w:rFonts w:asciiTheme="minorHAnsi" w:eastAsiaTheme="minorEastAsia" w:hAnsiTheme="minorHAnsi"/>
                <w:sz w:val="24"/>
                <w:szCs w:val="24"/>
              </w:rPr>
              <w:t>Metoprolol</w:t>
            </w:r>
          </w:p>
        </w:tc>
      </w:tr>
      <w:tr w:rsidR="00A20158" w:rsidRPr="00305005" w14:paraId="07427F5B" w14:textId="77777777" w:rsidTr="00632FCC">
        <w:tc>
          <w:tcPr>
            <w:tcW w:w="8781" w:type="dxa"/>
            <w:gridSpan w:val="2"/>
          </w:tcPr>
          <w:p w14:paraId="7BBFC702" w14:textId="77777777" w:rsidR="00A20158" w:rsidRPr="00305005" w:rsidRDefault="00A20158" w:rsidP="00632FCC">
            <w:pPr>
              <w:rPr>
                <w:rFonts w:asciiTheme="minorHAnsi" w:eastAsiaTheme="minorEastAsia" w:hAnsiTheme="minorHAnsi"/>
                <w:sz w:val="24"/>
                <w:szCs w:val="24"/>
              </w:rPr>
            </w:pPr>
          </w:p>
        </w:tc>
      </w:tr>
      <w:tr w:rsidR="00A20158" w:rsidRPr="00305005" w14:paraId="69A5C079" w14:textId="77777777" w:rsidTr="00632FCC">
        <w:tc>
          <w:tcPr>
            <w:tcW w:w="8781" w:type="dxa"/>
            <w:gridSpan w:val="2"/>
          </w:tcPr>
          <w:p w14:paraId="1D1C81A1" w14:textId="77777777" w:rsidR="00A20158" w:rsidRPr="002D0186" w:rsidRDefault="00A20158" w:rsidP="00632FCC">
            <w:pPr>
              <w:rPr>
                <w:rFonts w:eastAsiaTheme="minorEastAsia"/>
                <w:sz w:val="28"/>
                <w:szCs w:val="28"/>
              </w:rPr>
            </w:pPr>
            <w:r w:rsidRPr="002D0186">
              <w:rPr>
                <w:rFonts w:eastAsiaTheme="minorEastAsia"/>
                <w:b/>
                <w:bCs/>
                <w:sz w:val="28"/>
                <w:szCs w:val="28"/>
              </w:rPr>
              <w:t>ACE-hämmare</w:t>
            </w:r>
          </w:p>
        </w:tc>
      </w:tr>
      <w:tr w:rsidR="00A20158" w:rsidRPr="00305005" w14:paraId="72F48265" w14:textId="77777777" w:rsidTr="00632FCC">
        <w:tc>
          <w:tcPr>
            <w:tcW w:w="5521" w:type="dxa"/>
          </w:tcPr>
          <w:p w14:paraId="16D5CAA2" w14:textId="77777777" w:rsidR="00A20158" w:rsidRPr="00305005" w:rsidRDefault="00A20158" w:rsidP="00632FCC">
            <w:pPr>
              <w:rPr>
                <w:rFonts w:asciiTheme="minorHAnsi" w:eastAsiaTheme="minorEastAsia" w:hAnsiTheme="minorHAnsi"/>
                <w:b/>
                <w:bCs/>
                <w:sz w:val="24"/>
                <w:szCs w:val="24"/>
              </w:rPr>
            </w:pPr>
            <w:r w:rsidRPr="0DC5D26D">
              <w:rPr>
                <w:rFonts w:asciiTheme="minorHAnsi" w:eastAsiaTheme="minorEastAsia" w:hAnsiTheme="minorHAnsi"/>
                <w:b/>
                <w:bCs/>
                <w:sz w:val="24"/>
                <w:szCs w:val="24"/>
              </w:rPr>
              <w:t>ramipril</w:t>
            </w:r>
          </w:p>
        </w:tc>
        <w:tc>
          <w:tcPr>
            <w:tcW w:w="3260" w:type="dxa"/>
          </w:tcPr>
          <w:p w14:paraId="22CB792D" w14:textId="77777777" w:rsidR="00A20158" w:rsidRPr="00305005" w:rsidRDefault="00A20158" w:rsidP="00632FCC">
            <w:pPr>
              <w:rPr>
                <w:rFonts w:asciiTheme="minorHAnsi" w:eastAsiaTheme="minorEastAsia" w:hAnsiTheme="minorHAnsi"/>
                <w:sz w:val="24"/>
                <w:szCs w:val="24"/>
              </w:rPr>
            </w:pPr>
            <w:r w:rsidRPr="0DC5D26D">
              <w:rPr>
                <w:rFonts w:asciiTheme="minorHAnsi" w:eastAsiaTheme="minorEastAsia" w:hAnsiTheme="minorHAnsi"/>
                <w:sz w:val="24"/>
                <w:szCs w:val="24"/>
              </w:rPr>
              <w:t>Ramipril</w:t>
            </w:r>
          </w:p>
        </w:tc>
      </w:tr>
      <w:tr w:rsidR="00A20158" w:rsidRPr="00305005" w14:paraId="63484774" w14:textId="77777777" w:rsidTr="00632FCC">
        <w:tc>
          <w:tcPr>
            <w:tcW w:w="8781" w:type="dxa"/>
            <w:gridSpan w:val="2"/>
          </w:tcPr>
          <w:p w14:paraId="293B4EBC" w14:textId="77777777" w:rsidR="00A20158" w:rsidRPr="00305005" w:rsidRDefault="00A20158" w:rsidP="00632FCC">
            <w:pPr>
              <w:rPr>
                <w:rFonts w:asciiTheme="minorHAnsi" w:eastAsiaTheme="minorEastAsia" w:hAnsiTheme="minorHAnsi"/>
                <w:sz w:val="24"/>
                <w:szCs w:val="24"/>
              </w:rPr>
            </w:pPr>
          </w:p>
        </w:tc>
      </w:tr>
      <w:tr w:rsidR="00A20158" w:rsidRPr="00305005" w14:paraId="3EDD9188" w14:textId="77777777" w:rsidTr="00632FCC">
        <w:tc>
          <w:tcPr>
            <w:tcW w:w="8781" w:type="dxa"/>
            <w:gridSpan w:val="2"/>
          </w:tcPr>
          <w:p w14:paraId="66EA2014" w14:textId="77777777" w:rsidR="00A20158" w:rsidRPr="002D0186" w:rsidRDefault="00A20158" w:rsidP="00632FCC">
            <w:pPr>
              <w:rPr>
                <w:rFonts w:eastAsiaTheme="minorEastAsia"/>
                <w:sz w:val="28"/>
                <w:szCs w:val="28"/>
              </w:rPr>
            </w:pPr>
            <w:r w:rsidRPr="002D0186">
              <w:rPr>
                <w:rFonts w:eastAsiaTheme="minorEastAsia"/>
                <w:b/>
                <w:bCs/>
                <w:sz w:val="28"/>
                <w:szCs w:val="28"/>
              </w:rPr>
              <w:t>Trombocythämmare</w:t>
            </w:r>
          </w:p>
        </w:tc>
      </w:tr>
      <w:tr w:rsidR="00A20158" w:rsidRPr="00305005" w14:paraId="38904D09" w14:textId="77777777" w:rsidTr="00632FCC">
        <w:tc>
          <w:tcPr>
            <w:tcW w:w="5521" w:type="dxa"/>
          </w:tcPr>
          <w:p w14:paraId="5524E852" w14:textId="77777777" w:rsidR="00A20158" w:rsidRPr="00305005" w:rsidRDefault="00A20158" w:rsidP="00632FCC">
            <w:pPr>
              <w:rPr>
                <w:rFonts w:asciiTheme="minorHAnsi" w:eastAsiaTheme="minorEastAsia" w:hAnsiTheme="minorHAnsi"/>
                <w:b/>
                <w:bCs/>
                <w:sz w:val="24"/>
                <w:szCs w:val="24"/>
              </w:rPr>
            </w:pPr>
            <w:r w:rsidRPr="7E0BD4B5">
              <w:rPr>
                <w:rFonts w:asciiTheme="minorHAnsi" w:eastAsiaTheme="minorEastAsia" w:hAnsiTheme="minorHAnsi"/>
                <w:b/>
                <w:bCs/>
                <w:sz w:val="24"/>
                <w:szCs w:val="24"/>
              </w:rPr>
              <w:t>acetylsalicylsyra</w:t>
            </w:r>
          </w:p>
        </w:tc>
        <w:tc>
          <w:tcPr>
            <w:tcW w:w="3260" w:type="dxa"/>
          </w:tcPr>
          <w:p w14:paraId="03F16A6F" w14:textId="77777777" w:rsidR="00A20158" w:rsidRPr="00305005" w:rsidRDefault="00A20158" w:rsidP="00632FCC">
            <w:pPr>
              <w:rPr>
                <w:rFonts w:asciiTheme="minorHAnsi" w:eastAsiaTheme="minorEastAsia" w:hAnsiTheme="minorHAnsi"/>
                <w:sz w:val="24"/>
                <w:szCs w:val="24"/>
              </w:rPr>
            </w:pPr>
            <w:r w:rsidRPr="0DC5D26D">
              <w:rPr>
                <w:rFonts w:asciiTheme="minorHAnsi" w:eastAsiaTheme="minorEastAsia" w:hAnsiTheme="minorHAnsi"/>
                <w:sz w:val="24"/>
                <w:szCs w:val="24"/>
              </w:rPr>
              <w:t>Trombyl,</w:t>
            </w:r>
          </w:p>
          <w:p w14:paraId="5F8CD33A" w14:textId="77777777" w:rsidR="00A20158" w:rsidRPr="00305005" w:rsidRDefault="00A20158" w:rsidP="00632FCC">
            <w:pPr>
              <w:rPr>
                <w:rFonts w:asciiTheme="minorHAnsi" w:eastAsiaTheme="minorEastAsia" w:hAnsiTheme="minorHAnsi"/>
                <w:sz w:val="24"/>
                <w:szCs w:val="24"/>
              </w:rPr>
            </w:pPr>
            <w:r w:rsidRPr="7E0BD4B5">
              <w:rPr>
                <w:rFonts w:asciiTheme="minorHAnsi" w:eastAsiaTheme="minorEastAsia" w:hAnsiTheme="minorHAnsi"/>
                <w:sz w:val="24"/>
                <w:szCs w:val="24"/>
              </w:rPr>
              <w:t>Acetylsalicylsyra</w:t>
            </w:r>
          </w:p>
        </w:tc>
      </w:tr>
      <w:tr w:rsidR="00A20158" w:rsidRPr="00305005" w14:paraId="6D4D7E3C" w14:textId="77777777" w:rsidTr="00632FCC">
        <w:tc>
          <w:tcPr>
            <w:tcW w:w="8781" w:type="dxa"/>
            <w:gridSpan w:val="2"/>
          </w:tcPr>
          <w:p w14:paraId="12E81A81" w14:textId="77777777" w:rsidR="00A20158" w:rsidRPr="00305005" w:rsidRDefault="00A20158" w:rsidP="00632FCC">
            <w:pPr>
              <w:rPr>
                <w:rFonts w:asciiTheme="minorHAnsi" w:eastAsiaTheme="minorEastAsia" w:hAnsiTheme="minorHAnsi"/>
                <w:sz w:val="24"/>
                <w:szCs w:val="24"/>
              </w:rPr>
            </w:pPr>
          </w:p>
        </w:tc>
      </w:tr>
      <w:tr w:rsidR="00A20158" w:rsidRPr="00305005" w14:paraId="3B3258A6" w14:textId="77777777" w:rsidTr="00632FCC">
        <w:tc>
          <w:tcPr>
            <w:tcW w:w="8781" w:type="dxa"/>
            <w:gridSpan w:val="2"/>
          </w:tcPr>
          <w:p w14:paraId="50F0A68D" w14:textId="77777777" w:rsidR="00A20158" w:rsidRPr="002D0186" w:rsidRDefault="00A20158" w:rsidP="00632FCC">
            <w:pPr>
              <w:rPr>
                <w:rFonts w:eastAsiaTheme="minorEastAsia"/>
                <w:sz w:val="28"/>
                <w:szCs w:val="28"/>
              </w:rPr>
            </w:pPr>
            <w:r w:rsidRPr="002D0186">
              <w:rPr>
                <w:rFonts w:eastAsiaTheme="minorEastAsia"/>
                <w:b/>
                <w:bCs/>
                <w:sz w:val="28"/>
                <w:szCs w:val="28"/>
              </w:rPr>
              <w:t>Vid intolerans mot acetylsalicylsyra</w:t>
            </w:r>
          </w:p>
        </w:tc>
      </w:tr>
      <w:tr w:rsidR="00A20158" w:rsidRPr="00305005" w14:paraId="6D6E5316" w14:textId="77777777" w:rsidTr="00632FCC">
        <w:tc>
          <w:tcPr>
            <w:tcW w:w="5521" w:type="dxa"/>
          </w:tcPr>
          <w:p w14:paraId="157FA196" w14:textId="77777777" w:rsidR="00A20158" w:rsidRPr="00305005" w:rsidRDefault="00A20158" w:rsidP="00632FCC">
            <w:pPr>
              <w:rPr>
                <w:rFonts w:asciiTheme="minorHAnsi" w:eastAsiaTheme="minorEastAsia" w:hAnsiTheme="minorHAnsi"/>
                <w:b/>
                <w:bCs/>
                <w:sz w:val="24"/>
                <w:szCs w:val="24"/>
              </w:rPr>
            </w:pPr>
            <w:r w:rsidRPr="0DC5D26D">
              <w:rPr>
                <w:rFonts w:asciiTheme="minorHAnsi" w:eastAsiaTheme="minorEastAsia" w:hAnsiTheme="minorHAnsi"/>
                <w:b/>
                <w:bCs/>
                <w:sz w:val="24"/>
                <w:szCs w:val="24"/>
              </w:rPr>
              <w:t>klopidogrel</w:t>
            </w:r>
          </w:p>
        </w:tc>
        <w:tc>
          <w:tcPr>
            <w:tcW w:w="3260" w:type="dxa"/>
          </w:tcPr>
          <w:p w14:paraId="5C66C3B1" w14:textId="77777777" w:rsidR="00A20158" w:rsidRPr="00305005" w:rsidRDefault="00A20158" w:rsidP="00632FCC">
            <w:pPr>
              <w:rPr>
                <w:rFonts w:asciiTheme="minorHAnsi" w:eastAsiaTheme="minorEastAsia" w:hAnsiTheme="minorHAnsi"/>
                <w:sz w:val="24"/>
                <w:szCs w:val="24"/>
              </w:rPr>
            </w:pPr>
            <w:r w:rsidRPr="0DC5D26D">
              <w:rPr>
                <w:rFonts w:asciiTheme="minorHAnsi" w:eastAsiaTheme="minorEastAsia" w:hAnsiTheme="minorHAnsi"/>
                <w:sz w:val="24"/>
                <w:szCs w:val="24"/>
              </w:rPr>
              <w:t>Clopidogrel</w:t>
            </w:r>
          </w:p>
        </w:tc>
      </w:tr>
      <w:tr w:rsidR="00A20158" w:rsidRPr="00305005" w14:paraId="2487B56F" w14:textId="77777777" w:rsidTr="00632FCC">
        <w:tc>
          <w:tcPr>
            <w:tcW w:w="8781" w:type="dxa"/>
            <w:gridSpan w:val="2"/>
          </w:tcPr>
          <w:p w14:paraId="3C766183" w14:textId="77777777" w:rsidR="00A20158" w:rsidRPr="00305005" w:rsidRDefault="00A20158" w:rsidP="00632FCC">
            <w:pPr>
              <w:rPr>
                <w:rFonts w:asciiTheme="minorHAnsi" w:eastAsiaTheme="minorEastAsia" w:hAnsiTheme="minorHAnsi"/>
                <w:sz w:val="24"/>
                <w:szCs w:val="24"/>
              </w:rPr>
            </w:pPr>
          </w:p>
        </w:tc>
      </w:tr>
      <w:tr w:rsidR="00A20158" w:rsidRPr="00305005" w14:paraId="3BA73DA3" w14:textId="77777777" w:rsidTr="00632FCC">
        <w:tc>
          <w:tcPr>
            <w:tcW w:w="8781" w:type="dxa"/>
            <w:gridSpan w:val="2"/>
          </w:tcPr>
          <w:p w14:paraId="05482ACF" w14:textId="77777777" w:rsidR="00A20158" w:rsidRDefault="00A20158" w:rsidP="00632FCC">
            <w:pPr>
              <w:rPr>
                <w:rFonts w:asciiTheme="minorHAnsi" w:eastAsiaTheme="minorEastAsia" w:hAnsiTheme="minorHAnsi"/>
                <w:b/>
                <w:bCs/>
                <w:sz w:val="28"/>
                <w:szCs w:val="28"/>
              </w:rPr>
            </w:pPr>
            <w:r w:rsidRPr="002D0186">
              <w:rPr>
                <w:rFonts w:asciiTheme="minorHAnsi" w:eastAsiaTheme="minorEastAsia" w:hAnsiTheme="minorHAnsi"/>
                <w:b/>
                <w:bCs/>
                <w:sz w:val="28"/>
                <w:szCs w:val="28"/>
              </w:rPr>
              <w:t>Lipidsänkare</w:t>
            </w:r>
          </w:p>
          <w:p w14:paraId="3C9F059D" w14:textId="77777777" w:rsidR="00A20158" w:rsidRPr="00305005" w:rsidRDefault="00A20158" w:rsidP="00632FCC">
            <w:pPr>
              <w:rPr>
                <w:rFonts w:asciiTheme="minorHAnsi" w:eastAsiaTheme="minorEastAsia" w:hAnsiTheme="minorHAnsi"/>
                <w:sz w:val="24"/>
                <w:szCs w:val="24"/>
              </w:rPr>
            </w:pPr>
            <w:r>
              <w:rPr>
                <w:rFonts w:asciiTheme="minorHAnsi" w:eastAsiaTheme="minorEastAsia" w:hAnsiTheme="minorHAnsi"/>
                <w:sz w:val="24"/>
                <w:szCs w:val="24"/>
              </w:rPr>
              <w:t>S</w:t>
            </w:r>
            <w:r w:rsidRPr="0DC5D26D">
              <w:rPr>
                <w:rFonts w:asciiTheme="minorHAnsi" w:eastAsiaTheme="minorEastAsia" w:hAnsiTheme="minorHAnsi"/>
                <w:sz w:val="24"/>
                <w:szCs w:val="24"/>
              </w:rPr>
              <w:t>e hyperkolesterolemi</w:t>
            </w:r>
          </w:p>
        </w:tc>
      </w:tr>
    </w:tbl>
    <w:p w14:paraId="2CC0ECE1" w14:textId="77777777" w:rsidR="00983DD5" w:rsidRDefault="00983DD5" w:rsidP="00A20158">
      <w:pPr>
        <w:pStyle w:val="Rubrik3"/>
      </w:pPr>
    </w:p>
    <w:p w14:paraId="090706ED" w14:textId="77777777" w:rsidR="00983DD5" w:rsidRDefault="00983DD5" w:rsidP="00A20158">
      <w:pPr>
        <w:pStyle w:val="Rubrik3"/>
      </w:pPr>
    </w:p>
    <w:p w14:paraId="19F47BBF" w14:textId="004C4531" w:rsidR="00A20158" w:rsidRPr="000D6683" w:rsidRDefault="00A20158" w:rsidP="00A20158">
      <w:pPr>
        <w:pStyle w:val="Rubrik3"/>
      </w:pPr>
      <w:r>
        <w:t>Behandling</w:t>
      </w:r>
    </w:p>
    <w:p w14:paraId="40D564CF" w14:textId="1E0D0F56" w:rsidR="00A20158" w:rsidRPr="00186651" w:rsidRDefault="00A20158" w:rsidP="00A20158">
      <w:pPr>
        <w:rPr>
          <w:sz w:val="24"/>
          <w:szCs w:val="24"/>
        </w:rPr>
      </w:pPr>
      <w:r w:rsidRPr="00186651">
        <w:rPr>
          <w:sz w:val="24"/>
          <w:szCs w:val="24"/>
        </w:rPr>
        <w:t xml:space="preserve">Initialt ges ASA i kombination med ticagrelor eller prasugrel. </w:t>
      </w:r>
    </w:p>
    <w:p w14:paraId="55893B81" w14:textId="77777777" w:rsidR="00A20158" w:rsidRPr="00186651" w:rsidRDefault="00A20158" w:rsidP="00A20158">
      <w:pPr>
        <w:rPr>
          <w:sz w:val="24"/>
          <w:szCs w:val="24"/>
        </w:rPr>
      </w:pPr>
      <w:r w:rsidRPr="00186651">
        <w:rPr>
          <w:sz w:val="24"/>
          <w:szCs w:val="24"/>
        </w:rPr>
        <w:t>Rutinmässig behandling med ACE-hämmare efter hjärtinfarkt rekommenderas.</w:t>
      </w:r>
    </w:p>
    <w:p w14:paraId="0CBCA9B2" w14:textId="77777777" w:rsidR="00A20158" w:rsidRPr="00186651" w:rsidRDefault="00A20158" w:rsidP="00A20158">
      <w:pPr>
        <w:rPr>
          <w:sz w:val="24"/>
          <w:szCs w:val="24"/>
        </w:rPr>
      </w:pPr>
      <w:r w:rsidRPr="00186651">
        <w:rPr>
          <w:sz w:val="24"/>
          <w:szCs w:val="24"/>
        </w:rPr>
        <w:t>Hos patienter med hjärtsvikt eller nedsatt vänsterkammarfunktion efter hjärtinfarkt ger långtidsbehandling med ACE-hämmare en betydande minskning av både morbiditet och mortalitet. Vid ACE-hämmarintolerans ges en angiotensinreceptorblockare (ARB).</w:t>
      </w:r>
    </w:p>
    <w:p w14:paraId="3CC6BF5F" w14:textId="77777777" w:rsidR="00A20158" w:rsidRPr="00186651" w:rsidRDefault="00A20158" w:rsidP="00A20158">
      <w:pPr>
        <w:rPr>
          <w:sz w:val="24"/>
          <w:szCs w:val="24"/>
        </w:rPr>
      </w:pPr>
    </w:p>
    <w:p w14:paraId="2FA871B6" w14:textId="77777777" w:rsidR="00A20158" w:rsidRPr="00186651" w:rsidRDefault="00A20158" w:rsidP="00A20158">
      <w:pPr>
        <w:rPr>
          <w:sz w:val="24"/>
          <w:szCs w:val="24"/>
        </w:rPr>
      </w:pPr>
      <w:r w:rsidRPr="00186651">
        <w:rPr>
          <w:sz w:val="24"/>
          <w:szCs w:val="24"/>
        </w:rPr>
        <w:t>Långtidsbehandling med betablockare minskar förekomsten av död och reinfarkt, medan endast korttidsbehandling inte ger någon mortalitetsvinst. Depotberedning av metoprolol rekommenderas.</w:t>
      </w:r>
    </w:p>
    <w:p w14:paraId="6C1F108E" w14:textId="77777777" w:rsidR="00A20158" w:rsidRPr="00186651" w:rsidRDefault="00A20158" w:rsidP="00A20158">
      <w:pPr>
        <w:rPr>
          <w:sz w:val="24"/>
          <w:szCs w:val="24"/>
        </w:rPr>
      </w:pPr>
      <w:r w:rsidRPr="00186651">
        <w:rPr>
          <w:sz w:val="24"/>
          <w:szCs w:val="24"/>
        </w:rPr>
        <w:t>Lipidsänkande behandling skall ges, se ”Hyperkolesterolemi”. Behandlingsmål enligt ESC Guidelines kardiovaskulär sekundärprevention från 2021.</w:t>
      </w:r>
    </w:p>
    <w:p w14:paraId="7ECB15B0" w14:textId="77777777" w:rsidR="00A20158" w:rsidRPr="00186651" w:rsidRDefault="00A20158" w:rsidP="00A20158">
      <w:pPr>
        <w:rPr>
          <w:rStyle w:val="Hyperlnk"/>
          <w:rFonts w:asciiTheme="minorHAnsi" w:eastAsiaTheme="minorEastAsia" w:hAnsiTheme="minorHAnsi"/>
          <w:color w:val="0070C0"/>
          <w:sz w:val="28"/>
          <w:szCs w:val="28"/>
          <w:lang w:val="en-US"/>
        </w:rPr>
      </w:pPr>
      <w:r w:rsidRPr="00186651">
        <w:rPr>
          <w:sz w:val="24"/>
          <w:szCs w:val="24"/>
          <w:lang w:val="en-US"/>
        </w:rPr>
        <w:fldChar w:fldCharType="begin"/>
      </w:r>
      <w:r w:rsidRPr="00186651">
        <w:rPr>
          <w:sz w:val="24"/>
          <w:szCs w:val="24"/>
          <w:lang w:val="en-US"/>
        </w:rPr>
        <w:instrText>HYPERLINK "https://www.escardio.org/Guidelines/Clinical-Practice-Guidelines/CVD-Prevention-Guidelines"</w:instrText>
      </w:r>
      <w:r w:rsidRPr="00186651">
        <w:rPr>
          <w:sz w:val="24"/>
          <w:szCs w:val="24"/>
          <w:lang w:val="en-US"/>
        </w:rPr>
      </w:r>
      <w:r w:rsidRPr="00186651">
        <w:rPr>
          <w:sz w:val="24"/>
          <w:szCs w:val="24"/>
          <w:lang w:val="en-US"/>
        </w:rPr>
        <w:fldChar w:fldCharType="separate"/>
      </w:r>
      <w:r w:rsidRPr="00186651">
        <w:rPr>
          <w:rStyle w:val="Hyperlnk"/>
          <w:color w:val="0070C0"/>
          <w:sz w:val="24"/>
          <w:szCs w:val="24"/>
          <w:lang w:val="en-US"/>
        </w:rPr>
        <w:t>2021 ESC Guidelines on cardiovascular disease prevention in clinical practice (escardio.org)</w:t>
      </w:r>
    </w:p>
    <w:p w14:paraId="500BF5C0" w14:textId="77777777" w:rsidR="00A20158" w:rsidRPr="00280C5D" w:rsidRDefault="00A20158" w:rsidP="00A20158">
      <w:pPr>
        <w:rPr>
          <w:rFonts w:cs="Arial"/>
          <w:sz w:val="28"/>
          <w:szCs w:val="28"/>
          <w:lang w:val="en-US"/>
        </w:rPr>
      </w:pPr>
      <w:r w:rsidRPr="00186651">
        <w:rPr>
          <w:sz w:val="24"/>
          <w:szCs w:val="24"/>
          <w:lang w:val="en-US"/>
        </w:rPr>
        <w:fldChar w:fldCharType="end"/>
      </w:r>
    </w:p>
    <w:p w14:paraId="75DFA77B" w14:textId="77777777" w:rsidR="00A20158" w:rsidRPr="00305005" w:rsidRDefault="00A20158" w:rsidP="00A20158">
      <w:pPr>
        <w:rPr>
          <w:sz w:val="24"/>
          <w:szCs w:val="24"/>
        </w:rPr>
      </w:pPr>
      <w:r w:rsidRPr="0DC5D26D">
        <w:rPr>
          <w:sz w:val="24"/>
          <w:szCs w:val="24"/>
        </w:rPr>
        <w:t xml:space="preserve">SGLT-2 hämmare ingår numer i behandlingsarsenalen av hjärt-kärlsjuka patienter. </w:t>
      </w:r>
      <w:r>
        <w:rPr>
          <w:sz w:val="24"/>
          <w:szCs w:val="24"/>
        </w:rPr>
        <w:br/>
      </w:r>
      <w:r w:rsidRPr="0DC5D26D">
        <w:rPr>
          <w:sz w:val="24"/>
          <w:szCs w:val="24"/>
        </w:rPr>
        <w:t xml:space="preserve">I EMPA-REG studien behandlades patienter med typ 2-diabetes som tidigare haft någon forma av hjärt-kärlsjukdom med empagliflozin (Jardiance). Resultatet visade på minskad kardiovaskulär död. </w:t>
      </w:r>
    </w:p>
    <w:p w14:paraId="202906A2" w14:textId="77777777" w:rsidR="00A20158" w:rsidRPr="00305005" w:rsidRDefault="00A20158" w:rsidP="00A20158">
      <w:pPr>
        <w:rPr>
          <w:color w:val="FF0000"/>
          <w:sz w:val="24"/>
          <w:szCs w:val="24"/>
        </w:rPr>
      </w:pPr>
      <w:r w:rsidRPr="0DC5D26D">
        <w:rPr>
          <w:sz w:val="24"/>
          <w:szCs w:val="24"/>
        </w:rPr>
        <w:t xml:space="preserve">Svensk Kardiologförening och svensk förening för Diabetologi har utarbetat ett konsensusdokument där man förordar att patienter med typ 2 diabetes och samtidig etablerad kardiovaskulär sjukdom behandlas med SGLT-2 hämmare oavsett HbA1c-nivå. </w:t>
      </w:r>
      <w:r>
        <w:rPr>
          <w:sz w:val="24"/>
          <w:szCs w:val="24"/>
        </w:rPr>
        <w:br/>
      </w:r>
      <w:r w:rsidRPr="0DC5D26D">
        <w:rPr>
          <w:sz w:val="24"/>
          <w:szCs w:val="24"/>
        </w:rPr>
        <w:t>Se även kapitel Endokrinologi.</w:t>
      </w:r>
      <w:r w:rsidRPr="0DC5D26D">
        <w:rPr>
          <w:color w:val="C00000"/>
          <w:sz w:val="24"/>
          <w:szCs w:val="24"/>
        </w:rPr>
        <w:t xml:space="preserve"> </w:t>
      </w:r>
    </w:p>
    <w:p w14:paraId="60F02C86" w14:textId="77777777" w:rsidR="00A20158" w:rsidRPr="00305005" w:rsidRDefault="00A20158" w:rsidP="00A20158">
      <w:pPr>
        <w:tabs>
          <w:tab w:val="clear" w:pos="284"/>
        </w:tabs>
        <w:spacing w:line="240" w:lineRule="auto"/>
        <w:rPr>
          <w:rFonts w:asciiTheme="minorHAnsi" w:eastAsiaTheme="minorEastAsia" w:hAnsiTheme="minorHAnsi"/>
          <w:color w:val="FF0000"/>
          <w:sz w:val="24"/>
          <w:szCs w:val="24"/>
        </w:rPr>
      </w:pPr>
    </w:p>
    <w:p w14:paraId="78E8E8F1" w14:textId="77777777" w:rsidR="00A20158" w:rsidRDefault="00A20158" w:rsidP="00A20158">
      <w:pPr>
        <w:rPr>
          <w:sz w:val="24"/>
          <w:szCs w:val="24"/>
        </w:rPr>
      </w:pPr>
      <w:r w:rsidRPr="79F3EFC6">
        <w:rPr>
          <w:sz w:val="24"/>
          <w:szCs w:val="24"/>
        </w:rPr>
        <w:t xml:space="preserve">Långtidsbehandling med ticagrelor, i dosen 60 mg X 2, kan vara aktuellt till patienter med hög ischemisk risk (diabetes, njurinsufficiens, recidivierande hjärtinfarkt). Denna behandling initieras hos kardiolog. </w:t>
      </w:r>
    </w:p>
    <w:p w14:paraId="1A3D64B5" w14:textId="77777777" w:rsidR="00A20158" w:rsidRPr="0033512D" w:rsidRDefault="00A20158" w:rsidP="00A20158">
      <w:pPr>
        <w:pStyle w:val="Liststycke"/>
        <w:tabs>
          <w:tab w:val="clear" w:pos="284"/>
        </w:tabs>
        <w:spacing w:line="240" w:lineRule="auto"/>
        <w:rPr>
          <w:rFonts w:cs="Arial"/>
          <w:szCs w:val="24"/>
        </w:rPr>
      </w:pPr>
    </w:p>
    <w:p w14:paraId="404D30AC" w14:textId="77777777" w:rsidR="00A20158" w:rsidRDefault="00A20158" w:rsidP="00A20158">
      <w:r w:rsidRPr="008B729D">
        <w:lastRenderedPageBreak/>
        <w:t xml:space="preserve"> </w:t>
      </w:r>
      <w:r>
        <w:rPr>
          <w:noProof/>
        </w:rPr>
        <w:drawing>
          <wp:inline distT="0" distB="0" distL="0" distR="0" wp14:anchorId="6ECD13D1" wp14:editId="4FFFCEEE">
            <wp:extent cx="5054600" cy="3562580"/>
            <wp:effectExtent l="0" t="0" r="0" b="0"/>
            <wp:docPr id="7" name="Bildobjekt 7"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text, skärmbild, Teckensnitt, nummer&#10;&#10;AI-genererat innehåll kan vara felaktig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20868" cy="3679769"/>
                    </a:xfrm>
                    <a:prstGeom prst="rect">
                      <a:avLst/>
                    </a:prstGeom>
                    <a:noFill/>
                    <a:ln>
                      <a:noFill/>
                    </a:ln>
                  </pic:spPr>
                </pic:pic>
              </a:graphicData>
            </a:graphic>
          </wp:inline>
        </w:drawing>
      </w:r>
      <w:r>
        <w:br/>
        <w:t>Bild hämtad från ESC Guidelines kardiovaskulär sekundärprevention 2021.</w:t>
      </w:r>
    </w:p>
    <w:p w14:paraId="7B0C076B" w14:textId="77777777" w:rsidR="00A20158" w:rsidRPr="000D6683" w:rsidRDefault="00A20158" w:rsidP="00A20158">
      <w:pPr>
        <w:pStyle w:val="Rubrik2"/>
        <w:rPr>
          <w:szCs w:val="24"/>
        </w:rPr>
      </w:pPr>
      <w:r>
        <w:t>Sekundära preventiva behandlingsmål</w:t>
      </w:r>
    </w:p>
    <w:p w14:paraId="17859161" w14:textId="77777777" w:rsidR="00A20158" w:rsidRPr="000D6683" w:rsidRDefault="00A20158" w:rsidP="00A20158">
      <w:pPr>
        <w:pStyle w:val="Rubrik3"/>
      </w:pPr>
      <w:r>
        <w:t>Mål för sekundärprevention</w:t>
      </w:r>
    </w:p>
    <w:p w14:paraId="7A26F34D" w14:textId="77777777" w:rsidR="00A20158" w:rsidRPr="00305005" w:rsidRDefault="00A20158" w:rsidP="00A20158">
      <w:pPr>
        <w:pStyle w:val="Liststycke"/>
        <w:numPr>
          <w:ilvl w:val="0"/>
          <w:numId w:val="24"/>
        </w:numPr>
        <w:tabs>
          <w:tab w:val="clear" w:pos="284"/>
        </w:tabs>
        <w:spacing w:line="240" w:lineRule="auto"/>
        <w:contextualSpacing/>
        <w:rPr>
          <w:rFonts w:cs="Arial"/>
          <w:sz w:val="24"/>
          <w:szCs w:val="24"/>
        </w:rPr>
      </w:pPr>
      <w:r w:rsidRPr="7E0BD4B5">
        <w:rPr>
          <w:rFonts w:asciiTheme="minorHAnsi" w:eastAsiaTheme="minorEastAsia" w:hAnsiTheme="minorHAnsi"/>
          <w:sz w:val="24"/>
          <w:szCs w:val="24"/>
        </w:rPr>
        <w:t>Blodtryck lägre eller lika med 130/80</w:t>
      </w:r>
    </w:p>
    <w:p w14:paraId="4350D299" w14:textId="77777777" w:rsidR="00A20158" w:rsidRPr="00305005" w:rsidRDefault="00A20158" w:rsidP="00A20158">
      <w:pPr>
        <w:pStyle w:val="Liststycke"/>
        <w:numPr>
          <w:ilvl w:val="0"/>
          <w:numId w:val="24"/>
        </w:numPr>
        <w:tabs>
          <w:tab w:val="clear" w:pos="284"/>
        </w:tabs>
        <w:spacing w:line="240" w:lineRule="auto"/>
        <w:contextualSpacing/>
        <w:rPr>
          <w:rFonts w:cs="Arial"/>
          <w:sz w:val="24"/>
          <w:szCs w:val="24"/>
        </w:rPr>
      </w:pPr>
      <w:r w:rsidRPr="7E0BD4B5">
        <w:rPr>
          <w:rFonts w:asciiTheme="minorHAnsi" w:eastAsiaTheme="minorEastAsia" w:hAnsiTheme="minorHAnsi"/>
          <w:sz w:val="24"/>
          <w:szCs w:val="24"/>
        </w:rPr>
        <w:t>Bukomfång &lt;80 cm för kvinnor och &lt;94 cm för män</w:t>
      </w:r>
    </w:p>
    <w:p w14:paraId="0EAC1AB7" w14:textId="77777777" w:rsidR="00A20158" w:rsidRPr="00305005" w:rsidRDefault="00A20158" w:rsidP="00A20158">
      <w:pPr>
        <w:pStyle w:val="Liststycke"/>
        <w:numPr>
          <w:ilvl w:val="0"/>
          <w:numId w:val="24"/>
        </w:numPr>
        <w:tabs>
          <w:tab w:val="clear" w:pos="284"/>
        </w:tabs>
        <w:spacing w:line="240" w:lineRule="auto"/>
        <w:contextualSpacing/>
        <w:rPr>
          <w:rFonts w:cs="Arial"/>
          <w:strike/>
          <w:sz w:val="24"/>
          <w:szCs w:val="24"/>
        </w:rPr>
      </w:pPr>
      <w:r w:rsidRPr="0DC5D26D">
        <w:rPr>
          <w:rFonts w:asciiTheme="minorHAnsi" w:eastAsiaTheme="minorEastAsia" w:hAnsiTheme="minorHAnsi"/>
          <w:sz w:val="24"/>
          <w:szCs w:val="24"/>
        </w:rPr>
        <w:t xml:space="preserve">Blodfett: LDL &lt;1,4 mmol/L </w:t>
      </w:r>
    </w:p>
    <w:p w14:paraId="7B899DDE" w14:textId="77777777" w:rsidR="00A20158" w:rsidRPr="00305005" w:rsidRDefault="00A20158" w:rsidP="00A20158">
      <w:pPr>
        <w:pStyle w:val="Liststycke"/>
        <w:numPr>
          <w:ilvl w:val="0"/>
          <w:numId w:val="24"/>
        </w:numPr>
        <w:tabs>
          <w:tab w:val="clear" w:pos="284"/>
        </w:tabs>
        <w:spacing w:line="240" w:lineRule="auto"/>
        <w:contextualSpacing/>
        <w:rPr>
          <w:rFonts w:cs="Arial"/>
          <w:sz w:val="24"/>
          <w:szCs w:val="24"/>
        </w:rPr>
      </w:pPr>
      <w:r w:rsidRPr="0DC5D26D">
        <w:rPr>
          <w:rFonts w:asciiTheme="minorHAnsi" w:eastAsiaTheme="minorEastAsia" w:hAnsiTheme="minorHAnsi"/>
          <w:sz w:val="24"/>
          <w:szCs w:val="24"/>
        </w:rPr>
        <w:t>HbA1c &lt;64 mmol/mol på typ 2 diabetiker (8,0 %)</w:t>
      </w:r>
    </w:p>
    <w:p w14:paraId="697A411C" w14:textId="77777777" w:rsidR="00A20158" w:rsidRPr="00305005" w:rsidRDefault="00A20158" w:rsidP="00A20158">
      <w:pPr>
        <w:pStyle w:val="Liststycke"/>
        <w:numPr>
          <w:ilvl w:val="0"/>
          <w:numId w:val="24"/>
        </w:numPr>
        <w:tabs>
          <w:tab w:val="clear" w:pos="284"/>
        </w:tabs>
        <w:spacing w:line="240" w:lineRule="auto"/>
        <w:contextualSpacing/>
        <w:rPr>
          <w:rFonts w:cs="Arial"/>
          <w:sz w:val="24"/>
          <w:szCs w:val="24"/>
        </w:rPr>
      </w:pPr>
      <w:r w:rsidRPr="7E0BD4B5">
        <w:rPr>
          <w:rFonts w:asciiTheme="minorHAnsi" w:eastAsiaTheme="minorEastAsia" w:hAnsiTheme="minorHAnsi"/>
          <w:sz w:val="24"/>
          <w:szCs w:val="24"/>
        </w:rPr>
        <w:t xml:space="preserve">I arbete eller aktivitet  </w:t>
      </w:r>
    </w:p>
    <w:p w14:paraId="1220CBEE" w14:textId="77777777" w:rsidR="00A20158" w:rsidRPr="00305005" w:rsidRDefault="00A20158" w:rsidP="00A20158">
      <w:pPr>
        <w:pStyle w:val="Liststycke"/>
        <w:numPr>
          <w:ilvl w:val="0"/>
          <w:numId w:val="24"/>
        </w:numPr>
        <w:tabs>
          <w:tab w:val="clear" w:pos="284"/>
        </w:tabs>
        <w:spacing w:line="240" w:lineRule="auto"/>
        <w:contextualSpacing/>
        <w:rPr>
          <w:rFonts w:cs="Arial"/>
          <w:sz w:val="24"/>
          <w:szCs w:val="24"/>
        </w:rPr>
      </w:pPr>
      <w:r w:rsidRPr="0DC5D26D">
        <w:rPr>
          <w:rFonts w:asciiTheme="minorHAnsi" w:eastAsiaTheme="minorEastAsia" w:hAnsiTheme="minorHAnsi"/>
          <w:sz w:val="24"/>
          <w:szCs w:val="24"/>
        </w:rPr>
        <w:t>Orosfri i förhållande till hjärtsjukdom</w:t>
      </w:r>
    </w:p>
    <w:p w14:paraId="0F3C2D80" w14:textId="77777777" w:rsidR="00A20158" w:rsidRPr="00305005" w:rsidRDefault="00A20158" w:rsidP="00A20158">
      <w:pPr>
        <w:pStyle w:val="Liststycke"/>
        <w:numPr>
          <w:ilvl w:val="0"/>
          <w:numId w:val="24"/>
        </w:numPr>
        <w:tabs>
          <w:tab w:val="clear" w:pos="284"/>
        </w:tabs>
        <w:spacing w:line="240" w:lineRule="auto"/>
        <w:contextualSpacing/>
        <w:rPr>
          <w:rFonts w:cs="Arial"/>
          <w:sz w:val="24"/>
          <w:szCs w:val="24"/>
        </w:rPr>
      </w:pPr>
      <w:r w:rsidRPr="7E0BD4B5">
        <w:rPr>
          <w:rFonts w:asciiTheme="minorHAnsi" w:eastAsiaTheme="minorEastAsia" w:hAnsiTheme="minorHAnsi"/>
          <w:sz w:val="24"/>
          <w:szCs w:val="24"/>
        </w:rPr>
        <w:t>Hanterbar stressnivå</w:t>
      </w:r>
    </w:p>
    <w:p w14:paraId="12AA3848" w14:textId="77777777" w:rsidR="00A20158" w:rsidRPr="00305005" w:rsidRDefault="00A20158" w:rsidP="00A20158">
      <w:pPr>
        <w:pStyle w:val="Liststycke"/>
        <w:numPr>
          <w:ilvl w:val="0"/>
          <w:numId w:val="24"/>
        </w:numPr>
        <w:tabs>
          <w:tab w:val="clear" w:pos="284"/>
        </w:tabs>
        <w:spacing w:line="240" w:lineRule="auto"/>
        <w:contextualSpacing/>
        <w:rPr>
          <w:rFonts w:cs="Arial"/>
          <w:sz w:val="24"/>
          <w:szCs w:val="24"/>
        </w:rPr>
      </w:pPr>
      <w:r w:rsidRPr="7E0BD4B5">
        <w:rPr>
          <w:rFonts w:asciiTheme="minorHAnsi" w:eastAsiaTheme="minorEastAsia" w:hAnsiTheme="minorHAnsi"/>
          <w:sz w:val="24"/>
          <w:szCs w:val="24"/>
        </w:rPr>
        <w:t>Rökstopp och tobaksavvänjning</w:t>
      </w:r>
    </w:p>
    <w:p w14:paraId="0BA6891A" w14:textId="6AEFD5D0" w:rsidR="00A20158" w:rsidRPr="00983DD5" w:rsidRDefault="00A20158" w:rsidP="00A20158">
      <w:pPr>
        <w:pStyle w:val="Liststycke"/>
        <w:numPr>
          <w:ilvl w:val="0"/>
          <w:numId w:val="24"/>
        </w:numPr>
        <w:tabs>
          <w:tab w:val="clear" w:pos="284"/>
        </w:tabs>
        <w:spacing w:line="240" w:lineRule="auto"/>
        <w:contextualSpacing/>
        <w:rPr>
          <w:rFonts w:cs="Arial"/>
          <w:sz w:val="24"/>
          <w:szCs w:val="24"/>
        </w:rPr>
      </w:pPr>
      <w:r w:rsidRPr="7E0BD4B5">
        <w:rPr>
          <w:rFonts w:asciiTheme="minorHAnsi" w:eastAsiaTheme="minorEastAsia" w:hAnsiTheme="minorHAnsi"/>
          <w:sz w:val="24"/>
          <w:szCs w:val="24"/>
        </w:rPr>
        <w:t>Smärtfri i förhållande till hjärtsjukdom.</w:t>
      </w:r>
    </w:p>
    <w:p w14:paraId="0EE66B30" w14:textId="77777777" w:rsidR="00A20158" w:rsidRPr="000D6683" w:rsidRDefault="00A20158" w:rsidP="00A20158">
      <w:pPr>
        <w:pStyle w:val="Rubrik3"/>
      </w:pPr>
      <w:r>
        <w:t>Träning och fysisk aktivitet</w:t>
      </w:r>
    </w:p>
    <w:p w14:paraId="3B8A7113" w14:textId="77777777" w:rsidR="00E44C17" w:rsidRDefault="00A20158" w:rsidP="00E44C17">
      <w:pPr>
        <w:rPr>
          <w:rFonts w:asciiTheme="minorHAnsi" w:eastAsiaTheme="minorEastAsia" w:hAnsiTheme="minorHAnsi"/>
          <w:sz w:val="24"/>
          <w:szCs w:val="24"/>
        </w:rPr>
      </w:pPr>
      <w:r w:rsidRPr="7E0BD4B5">
        <w:rPr>
          <w:rFonts w:asciiTheme="minorHAnsi" w:eastAsiaTheme="minorEastAsia" w:hAnsiTheme="minorHAnsi"/>
          <w:sz w:val="24"/>
          <w:szCs w:val="24"/>
        </w:rPr>
        <w:t xml:space="preserve">Hjärtpatienter bör ordineras konditionsträning intervall eller distansträning, 20–60 minuter </w:t>
      </w:r>
      <w:r>
        <w:br/>
      </w:r>
      <w:r w:rsidRPr="7E0BD4B5">
        <w:rPr>
          <w:rFonts w:asciiTheme="minorHAnsi" w:eastAsiaTheme="minorEastAsia" w:hAnsiTheme="minorHAnsi"/>
          <w:sz w:val="24"/>
          <w:szCs w:val="24"/>
        </w:rPr>
        <w:t xml:space="preserve">3–5 gånger/vecka på en nivå av (40) 60–80 % av VO2 max (Borg 13–15). </w:t>
      </w:r>
      <w:r>
        <w:br/>
      </w:r>
      <w:r w:rsidRPr="7E0BD4B5">
        <w:rPr>
          <w:rFonts w:asciiTheme="minorHAnsi" w:eastAsiaTheme="minorEastAsia" w:hAnsiTheme="minorHAnsi"/>
          <w:sz w:val="24"/>
          <w:szCs w:val="24"/>
        </w:rPr>
        <w:t xml:space="preserve">Muskulär motståndsträning 2 ggr/vecka med minst ett set av 10 - 15 RM i 8–10 muskelgrupper. </w:t>
      </w:r>
      <w:r>
        <w:br/>
      </w:r>
      <w:r w:rsidRPr="7E0BD4B5">
        <w:rPr>
          <w:rFonts w:asciiTheme="minorHAnsi" w:eastAsiaTheme="minorEastAsia" w:hAnsiTheme="minorHAnsi"/>
          <w:sz w:val="24"/>
          <w:szCs w:val="24"/>
        </w:rPr>
        <w:t>Fysisk aktivitet övriga dagar sammanlagt 30 minuter/dag [12, 13]</w:t>
      </w:r>
    </w:p>
    <w:p w14:paraId="0865CDD4" w14:textId="77777777" w:rsidR="00E44C17" w:rsidRDefault="00E44C17" w:rsidP="00E44C17">
      <w:pPr>
        <w:rPr>
          <w:rFonts w:asciiTheme="minorHAnsi" w:eastAsiaTheme="minorEastAsia" w:hAnsiTheme="minorHAnsi"/>
          <w:sz w:val="24"/>
          <w:szCs w:val="24"/>
        </w:rPr>
      </w:pPr>
    </w:p>
    <w:p w14:paraId="5B54E519" w14:textId="4920BFAB" w:rsidR="00A20158" w:rsidRPr="00E44C17" w:rsidRDefault="00A20158" w:rsidP="00E44C17">
      <w:pPr>
        <w:rPr>
          <w:rFonts w:asciiTheme="majorHAnsi" w:eastAsiaTheme="minorEastAsia" w:hAnsiTheme="majorHAnsi"/>
          <w:b/>
          <w:bCs/>
          <w:sz w:val="24"/>
          <w:szCs w:val="24"/>
        </w:rPr>
      </w:pPr>
      <w:r w:rsidRPr="00E44C17">
        <w:rPr>
          <w:rFonts w:asciiTheme="majorHAnsi" w:hAnsiTheme="majorHAnsi"/>
          <w:b/>
          <w:bCs/>
          <w:sz w:val="24"/>
          <w:szCs w:val="24"/>
        </w:rPr>
        <w:t>Förväntade effekter av fysisk träning efter hjärtinfar</w:t>
      </w:r>
      <w:r w:rsidR="00E44C17" w:rsidRPr="00E44C17">
        <w:rPr>
          <w:rFonts w:asciiTheme="majorHAnsi" w:hAnsiTheme="majorHAnsi"/>
          <w:b/>
          <w:bCs/>
          <w:sz w:val="24"/>
          <w:szCs w:val="24"/>
        </w:rPr>
        <w:t>kt</w:t>
      </w:r>
    </w:p>
    <w:p w14:paraId="62E5D8AE" w14:textId="77777777" w:rsidR="00A20158" w:rsidRPr="00305005" w:rsidRDefault="00A20158" w:rsidP="00A20158">
      <w:pPr>
        <w:numPr>
          <w:ilvl w:val="0"/>
          <w:numId w:val="20"/>
        </w:numPr>
        <w:tabs>
          <w:tab w:val="clear" w:pos="284"/>
        </w:tabs>
        <w:spacing w:line="240" w:lineRule="auto"/>
        <w:rPr>
          <w:rFonts w:cs="Arial"/>
          <w:sz w:val="24"/>
          <w:szCs w:val="24"/>
        </w:rPr>
      </w:pPr>
      <w:r w:rsidRPr="0DC5D26D">
        <w:rPr>
          <w:rFonts w:asciiTheme="minorHAnsi" w:eastAsiaTheme="minorEastAsia" w:hAnsiTheme="minorHAnsi"/>
          <w:sz w:val="24"/>
          <w:szCs w:val="24"/>
        </w:rPr>
        <w:t xml:space="preserve">Mortlitetssänkning 26 % </w:t>
      </w:r>
    </w:p>
    <w:p w14:paraId="26B67AEE" w14:textId="77777777" w:rsidR="00A20158" w:rsidRPr="00305005" w:rsidRDefault="00A20158" w:rsidP="00A20158">
      <w:pPr>
        <w:numPr>
          <w:ilvl w:val="0"/>
          <w:numId w:val="20"/>
        </w:numPr>
        <w:tabs>
          <w:tab w:val="clear" w:pos="284"/>
        </w:tabs>
        <w:spacing w:line="240" w:lineRule="auto"/>
        <w:rPr>
          <w:rFonts w:cs="Arial"/>
          <w:sz w:val="24"/>
          <w:szCs w:val="24"/>
        </w:rPr>
      </w:pPr>
      <w:r w:rsidRPr="7E0BD4B5">
        <w:rPr>
          <w:rFonts w:asciiTheme="minorHAnsi" w:eastAsiaTheme="minorEastAsia" w:hAnsiTheme="minorHAnsi"/>
          <w:sz w:val="24"/>
          <w:szCs w:val="24"/>
        </w:rPr>
        <w:t xml:space="preserve">VO2max höjning 22 %. </w:t>
      </w:r>
    </w:p>
    <w:p w14:paraId="4196CFA2" w14:textId="77777777" w:rsidR="00A20158" w:rsidRPr="00305005" w:rsidRDefault="00A20158" w:rsidP="00A20158">
      <w:pPr>
        <w:numPr>
          <w:ilvl w:val="0"/>
          <w:numId w:val="20"/>
        </w:numPr>
        <w:tabs>
          <w:tab w:val="clear" w:pos="284"/>
        </w:tabs>
        <w:spacing w:line="240" w:lineRule="auto"/>
        <w:rPr>
          <w:rFonts w:cs="Arial"/>
          <w:sz w:val="24"/>
          <w:szCs w:val="24"/>
        </w:rPr>
      </w:pPr>
      <w:r w:rsidRPr="7E0BD4B5">
        <w:rPr>
          <w:rFonts w:asciiTheme="minorHAnsi" w:eastAsiaTheme="minorEastAsia" w:hAnsiTheme="minorHAnsi"/>
          <w:sz w:val="24"/>
          <w:szCs w:val="24"/>
        </w:rPr>
        <w:t xml:space="preserve">Total kolesterol (viktad medelskillnad -0.37mmol/L). </w:t>
      </w:r>
    </w:p>
    <w:p w14:paraId="51A84527" w14:textId="77777777" w:rsidR="00A20158" w:rsidRPr="00305005" w:rsidRDefault="00A20158" w:rsidP="00A20158">
      <w:pPr>
        <w:numPr>
          <w:ilvl w:val="0"/>
          <w:numId w:val="20"/>
        </w:numPr>
        <w:tabs>
          <w:tab w:val="clear" w:pos="284"/>
        </w:tabs>
        <w:spacing w:line="240" w:lineRule="auto"/>
        <w:rPr>
          <w:rFonts w:cs="Arial"/>
          <w:sz w:val="24"/>
          <w:szCs w:val="24"/>
        </w:rPr>
      </w:pPr>
      <w:r w:rsidRPr="7E0BD4B5">
        <w:rPr>
          <w:rFonts w:asciiTheme="minorHAnsi" w:eastAsiaTheme="minorEastAsia" w:hAnsiTheme="minorHAnsi"/>
          <w:sz w:val="24"/>
          <w:szCs w:val="24"/>
        </w:rPr>
        <w:lastRenderedPageBreak/>
        <w:t xml:space="preserve">Triglycerid nivå (viktad medelskillnad -0.23mmol/L). </w:t>
      </w:r>
    </w:p>
    <w:p w14:paraId="3F71D810" w14:textId="77777777" w:rsidR="00A20158" w:rsidRPr="00305005" w:rsidRDefault="00A20158" w:rsidP="00A20158">
      <w:pPr>
        <w:numPr>
          <w:ilvl w:val="0"/>
          <w:numId w:val="20"/>
        </w:numPr>
        <w:tabs>
          <w:tab w:val="clear" w:pos="284"/>
        </w:tabs>
        <w:spacing w:line="240" w:lineRule="auto"/>
        <w:rPr>
          <w:rFonts w:cs="Arial"/>
          <w:sz w:val="24"/>
          <w:szCs w:val="24"/>
        </w:rPr>
      </w:pPr>
      <w:r w:rsidRPr="7E0BD4B5">
        <w:rPr>
          <w:rFonts w:asciiTheme="minorHAnsi" w:eastAsiaTheme="minorEastAsia" w:hAnsiTheme="minorHAnsi"/>
          <w:sz w:val="24"/>
          <w:szCs w:val="24"/>
        </w:rPr>
        <w:t xml:space="preserve">Systoliskt blodtryck (viktad medelskillnad -3.2mm Hg). </w:t>
      </w:r>
    </w:p>
    <w:p w14:paraId="0D7AB110" w14:textId="77777777" w:rsidR="00A20158" w:rsidRPr="00186651" w:rsidRDefault="00A20158" w:rsidP="00A20158">
      <w:pPr>
        <w:numPr>
          <w:ilvl w:val="0"/>
          <w:numId w:val="20"/>
        </w:numPr>
        <w:tabs>
          <w:tab w:val="clear" w:pos="284"/>
        </w:tabs>
        <w:spacing w:line="240" w:lineRule="auto"/>
        <w:rPr>
          <w:rFonts w:cs="Arial"/>
          <w:sz w:val="24"/>
          <w:szCs w:val="24"/>
        </w:rPr>
      </w:pPr>
      <w:r w:rsidRPr="00186651">
        <w:rPr>
          <w:rFonts w:asciiTheme="minorHAnsi" w:eastAsiaTheme="minorEastAsia" w:hAnsiTheme="minorHAnsi"/>
          <w:sz w:val="24"/>
          <w:szCs w:val="24"/>
        </w:rPr>
        <w:t>Lägre nivåer av självrapporterad rökning</w:t>
      </w:r>
    </w:p>
    <w:p w14:paraId="36E75EB9" w14:textId="77777777" w:rsidR="00A20158" w:rsidRDefault="00A20158" w:rsidP="00A20158">
      <w:pPr>
        <w:pStyle w:val="Rubrik2"/>
      </w:pPr>
      <w:r w:rsidRPr="009F5E07">
        <w:t>Hyperkolesterolemi</w:t>
      </w:r>
    </w:p>
    <w:tbl>
      <w:tblPr>
        <w:tblW w:w="9305" w:type="dxa"/>
        <w:tblCellMar>
          <w:top w:w="15" w:type="dxa"/>
          <w:left w:w="15" w:type="dxa"/>
          <w:bottom w:w="15" w:type="dxa"/>
          <w:right w:w="15" w:type="dxa"/>
        </w:tblCellMar>
        <w:tblLook w:val="04A0" w:firstRow="1" w:lastRow="0" w:firstColumn="1" w:lastColumn="0" w:noHBand="0" w:noVBand="1"/>
      </w:tblPr>
      <w:tblGrid>
        <w:gridCol w:w="4728"/>
        <w:gridCol w:w="4577"/>
      </w:tblGrid>
      <w:tr w:rsidR="00A20158" w:rsidRPr="005406D3" w14:paraId="0976B806" w14:textId="77777777" w:rsidTr="00632FCC">
        <w:trPr>
          <w:trHeight w:val="479"/>
          <w:tblHeader/>
        </w:trPr>
        <w:tc>
          <w:tcPr>
            <w:tcW w:w="0" w:type="auto"/>
            <w:gridSpan w:val="2"/>
            <w:tcBorders>
              <w:top w:val="nil"/>
              <w:left w:val="nil"/>
              <w:bottom w:val="nil"/>
              <w:right w:val="nil"/>
            </w:tcBorders>
            <w:shd w:val="clear" w:color="auto" w:fill="auto"/>
            <w:vAlign w:val="center"/>
            <w:hideMark/>
          </w:tcPr>
          <w:p w14:paraId="6529A39D" w14:textId="77777777" w:rsidR="00A20158" w:rsidRPr="005406D3" w:rsidRDefault="00A20158" w:rsidP="00632FCC">
            <w:pPr>
              <w:tabs>
                <w:tab w:val="clear" w:pos="284"/>
              </w:tabs>
              <w:spacing w:after="168" w:line="240" w:lineRule="auto"/>
              <w:rPr>
                <w:rFonts w:asciiTheme="minorHAnsi" w:eastAsiaTheme="minorEastAsia" w:hAnsiTheme="minorHAnsi"/>
                <w:b/>
                <w:bCs/>
                <w:color w:val="404040" w:themeColor="text1" w:themeTint="BF"/>
                <w:sz w:val="28"/>
                <w:szCs w:val="28"/>
                <w:lang w:eastAsia="sv-SE"/>
              </w:rPr>
            </w:pPr>
            <w:r w:rsidRPr="79F3EFC6">
              <w:rPr>
                <w:rFonts w:asciiTheme="minorHAnsi" w:eastAsiaTheme="minorEastAsia" w:hAnsiTheme="minorHAnsi"/>
                <w:b/>
                <w:bCs/>
                <w:color w:val="404040" w:themeColor="text1" w:themeTint="BF"/>
                <w:sz w:val="28"/>
                <w:szCs w:val="28"/>
                <w:lang w:eastAsia="sv-SE"/>
              </w:rPr>
              <w:t>Statin</w:t>
            </w:r>
          </w:p>
        </w:tc>
      </w:tr>
      <w:tr w:rsidR="00A20158" w:rsidRPr="005406D3" w14:paraId="60A799F6" w14:textId="77777777" w:rsidTr="00632FCC">
        <w:trPr>
          <w:trHeight w:val="507"/>
          <w:tblHead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A7E6691" w14:textId="77777777" w:rsidR="00A20158" w:rsidRPr="005406D3"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b/>
                <w:bCs/>
                <w:color w:val="404040" w:themeColor="text1" w:themeTint="BF"/>
                <w:sz w:val="24"/>
                <w:szCs w:val="24"/>
                <w:lang w:eastAsia="sv-SE"/>
              </w:rPr>
              <w:t>atorvastatin</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E319ED8" w14:textId="77777777" w:rsidR="00A20158" w:rsidRPr="005406D3"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color w:val="404040" w:themeColor="text1" w:themeTint="BF"/>
                <w:sz w:val="24"/>
                <w:szCs w:val="24"/>
                <w:lang w:eastAsia="sv-SE"/>
              </w:rPr>
              <w:t>Atorvastatin</w:t>
            </w:r>
          </w:p>
        </w:tc>
      </w:tr>
      <w:tr w:rsidR="00A20158" w:rsidRPr="005406D3" w14:paraId="1CF3DF63" w14:textId="77777777" w:rsidTr="00632FCC">
        <w:trPr>
          <w:trHeight w:val="516"/>
          <w:tblHead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8CA55E0" w14:textId="77777777" w:rsidR="00A20158" w:rsidRPr="005406D3"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b/>
                <w:bCs/>
                <w:color w:val="404040" w:themeColor="text1" w:themeTint="BF"/>
                <w:sz w:val="24"/>
                <w:szCs w:val="24"/>
                <w:lang w:eastAsia="sv-SE"/>
              </w:rPr>
              <w:t>rosuvastatin</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54D2E3F" w14:textId="77777777" w:rsidR="00A20158" w:rsidRPr="005406D3"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color w:val="404040" w:themeColor="text1" w:themeTint="BF"/>
                <w:sz w:val="24"/>
                <w:szCs w:val="24"/>
                <w:lang w:eastAsia="sv-SE"/>
              </w:rPr>
              <w:t>Rosuvastatin</w:t>
            </w:r>
          </w:p>
        </w:tc>
      </w:tr>
      <w:tr w:rsidR="00A20158" w:rsidRPr="005406D3" w14:paraId="32525F92" w14:textId="77777777" w:rsidTr="00632FCC">
        <w:trPr>
          <w:trHeight w:val="724"/>
          <w:tblHeader/>
        </w:trPr>
        <w:tc>
          <w:tcPr>
            <w:tcW w:w="0" w:type="auto"/>
            <w:gridSpan w:val="2"/>
            <w:tcBorders>
              <w:top w:val="nil"/>
              <w:left w:val="nil"/>
              <w:bottom w:val="nil"/>
              <w:right w:val="nil"/>
            </w:tcBorders>
            <w:shd w:val="clear" w:color="auto" w:fill="auto"/>
            <w:vAlign w:val="center"/>
            <w:hideMark/>
          </w:tcPr>
          <w:p w14:paraId="52CD8ACB" w14:textId="77777777" w:rsidR="00A20158" w:rsidRPr="005406D3" w:rsidRDefault="00A20158" w:rsidP="00632FCC">
            <w:pPr>
              <w:tabs>
                <w:tab w:val="clear" w:pos="284"/>
              </w:tabs>
              <w:spacing w:after="168" w:line="240" w:lineRule="auto"/>
              <w:rPr>
                <w:rFonts w:asciiTheme="minorHAnsi" w:eastAsiaTheme="minorEastAsia" w:hAnsiTheme="minorHAnsi"/>
                <w:b/>
                <w:bCs/>
                <w:color w:val="404040" w:themeColor="text1" w:themeTint="BF"/>
                <w:sz w:val="24"/>
                <w:szCs w:val="24"/>
                <w:lang w:eastAsia="sv-SE"/>
              </w:rPr>
            </w:pPr>
            <w:r>
              <w:br/>
            </w:r>
            <w:r w:rsidRPr="79F3EFC6">
              <w:rPr>
                <w:rFonts w:asciiTheme="minorHAnsi" w:eastAsiaTheme="minorEastAsia" w:hAnsiTheme="minorHAnsi"/>
                <w:b/>
                <w:bCs/>
                <w:color w:val="404040" w:themeColor="text1" w:themeTint="BF"/>
                <w:sz w:val="28"/>
                <w:szCs w:val="28"/>
                <w:lang w:eastAsia="sv-SE"/>
              </w:rPr>
              <w:t>Tilläggsbehandling</w:t>
            </w:r>
          </w:p>
        </w:tc>
      </w:tr>
      <w:tr w:rsidR="00A20158" w:rsidRPr="005406D3" w14:paraId="3A72EBD6" w14:textId="77777777" w:rsidTr="00632FCC">
        <w:trPr>
          <w:trHeight w:val="517"/>
          <w:tblHead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D292501" w14:textId="77777777" w:rsidR="00A20158" w:rsidRPr="005406D3" w:rsidRDefault="00A20158" w:rsidP="00632FCC">
            <w:pPr>
              <w:tabs>
                <w:tab w:val="clear" w:pos="284"/>
              </w:tabs>
              <w:spacing w:line="240" w:lineRule="auto"/>
              <w:rPr>
                <w:rFonts w:asciiTheme="minorHAnsi" w:eastAsiaTheme="minorEastAsia" w:hAnsiTheme="minorHAnsi"/>
                <w:b/>
                <w:bCs/>
                <w:sz w:val="24"/>
                <w:szCs w:val="24"/>
                <w:lang w:eastAsia="sv-SE"/>
              </w:rPr>
            </w:pPr>
            <w:r w:rsidRPr="79F3EFC6">
              <w:rPr>
                <w:rFonts w:asciiTheme="minorHAnsi" w:eastAsiaTheme="minorEastAsia" w:hAnsiTheme="minorHAnsi"/>
                <w:b/>
                <w:bCs/>
                <w:sz w:val="24"/>
                <w:szCs w:val="24"/>
                <w:lang w:eastAsia="sv-SE"/>
              </w:rPr>
              <w:t>ezetimib</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E7D5D59" w14:textId="77777777" w:rsidR="00A20158" w:rsidRPr="005406D3"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color w:val="404040" w:themeColor="text1" w:themeTint="BF"/>
                <w:sz w:val="24"/>
                <w:szCs w:val="24"/>
                <w:lang w:eastAsia="sv-SE"/>
              </w:rPr>
              <w:t>Ezetimib</w:t>
            </w:r>
          </w:p>
        </w:tc>
      </w:tr>
    </w:tbl>
    <w:p w14:paraId="2C0D77F2" w14:textId="77777777" w:rsidR="00E44C17" w:rsidRDefault="00E44C17" w:rsidP="00A20158">
      <w:pPr>
        <w:rPr>
          <w:rFonts w:asciiTheme="majorHAnsi" w:hAnsiTheme="majorHAnsi"/>
          <w:b/>
          <w:bCs/>
          <w:sz w:val="28"/>
          <w:szCs w:val="28"/>
        </w:rPr>
      </w:pPr>
    </w:p>
    <w:p w14:paraId="32EE0BE2" w14:textId="5658E9C8" w:rsidR="00A20158" w:rsidRPr="0025625B" w:rsidRDefault="00A20158" w:rsidP="00A20158">
      <w:pPr>
        <w:rPr>
          <w:rFonts w:asciiTheme="majorHAnsi" w:hAnsiTheme="majorHAnsi"/>
          <w:b/>
          <w:bCs/>
          <w:sz w:val="28"/>
          <w:szCs w:val="28"/>
        </w:rPr>
      </w:pPr>
      <w:r w:rsidRPr="0025625B">
        <w:rPr>
          <w:rFonts w:asciiTheme="majorHAnsi" w:hAnsiTheme="majorHAnsi"/>
          <w:b/>
          <w:bCs/>
          <w:sz w:val="28"/>
          <w:szCs w:val="28"/>
        </w:rPr>
        <w:t>Primär och sekundär behandling av kolesterol för prevention av kardiovaskulär sjukdom</w:t>
      </w:r>
    </w:p>
    <w:p w14:paraId="714AB55D" w14:textId="77777777" w:rsidR="00A20158" w:rsidRDefault="00A20158" w:rsidP="00A20158">
      <w:pPr>
        <w:rPr>
          <w:sz w:val="24"/>
          <w:szCs w:val="24"/>
        </w:rPr>
      </w:pPr>
      <w:r w:rsidRPr="2269F901">
        <w:rPr>
          <w:sz w:val="24"/>
          <w:szCs w:val="24"/>
        </w:rPr>
        <w:t>Det vetenskapliga stödet för att ett dosberoende samband föreligger mellan LDL-nivåer och risk för arterosklerotisk kardiovaskulär morbiditet är mycket starkt. Det anses även att exponeringstiden för LDL-nivåerna är av betydelse (1). Data visar att följsamheten till statinbehandling minskar med förfluten tid efter insättande (2) och estimeringar i svenska och internationella populationer har visat att om följsamheten kunde förbättras och fler nå aktuella målvärden skulle en betydande reduktion av kardiovaskulär sjuklighet uppnås (3,4).</w:t>
      </w:r>
    </w:p>
    <w:p w14:paraId="5A1CAFF0" w14:textId="77777777" w:rsidR="00A20158" w:rsidRDefault="00A20158" w:rsidP="00A20158">
      <w:pPr>
        <w:tabs>
          <w:tab w:val="clear" w:pos="284"/>
        </w:tabs>
        <w:spacing w:after="120" w:line="260" w:lineRule="atLeast"/>
        <w:rPr>
          <w:sz w:val="24"/>
          <w:szCs w:val="24"/>
        </w:rPr>
      </w:pPr>
    </w:p>
    <w:p w14:paraId="19966D78" w14:textId="77777777" w:rsidR="00A20158" w:rsidRPr="00186651" w:rsidRDefault="00A20158" w:rsidP="00A20158">
      <w:pPr>
        <w:rPr>
          <w:sz w:val="28"/>
          <w:szCs w:val="28"/>
        </w:rPr>
      </w:pPr>
      <w:r w:rsidRPr="0025625B">
        <w:rPr>
          <w:rFonts w:asciiTheme="majorHAnsi" w:hAnsiTheme="majorHAnsi"/>
          <w:b/>
          <w:bCs/>
          <w:sz w:val="24"/>
          <w:szCs w:val="24"/>
        </w:rPr>
        <w:t>Primärprevention</w:t>
      </w:r>
      <w:r>
        <w:rPr>
          <w:rFonts w:asciiTheme="majorHAnsi" w:hAnsiTheme="majorHAnsi"/>
          <w:b/>
          <w:bCs/>
          <w:sz w:val="24"/>
          <w:szCs w:val="24"/>
        </w:rPr>
        <w:t xml:space="preserve"> </w:t>
      </w:r>
      <w:r w:rsidRPr="00186651">
        <w:rPr>
          <w:rFonts w:asciiTheme="majorHAnsi" w:hAnsiTheme="majorHAnsi"/>
          <w:sz w:val="24"/>
          <w:szCs w:val="24"/>
        </w:rPr>
        <w:t>(5</w:t>
      </w:r>
      <w:r w:rsidRPr="00186651">
        <w:rPr>
          <w:sz w:val="28"/>
          <w:szCs w:val="28"/>
        </w:rPr>
        <w:t>)</w:t>
      </w:r>
    </w:p>
    <w:p w14:paraId="3AF261EC" w14:textId="77777777" w:rsidR="00A20158" w:rsidRPr="00460AA7" w:rsidRDefault="00A20158" w:rsidP="00A20158">
      <w:pPr>
        <w:rPr>
          <w:sz w:val="24"/>
          <w:szCs w:val="24"/>
        </w:rPr>
      </w:pPr>
      <w:r w:rsidRPr="0DC5D26D">
        <w:rPr>
          <w:sz w:val="24"/>
          <w:szCs w:val="24"/>
        </w:rPr>
        <w:t xml:space="preserve">Systematisk total riskvärdering rekommenderas för alla patienter med någon form av betydande vaskulär riskfaktor (ärftlighet, familjär hyperkolesterolemi, rökning, hypertension, </w:t>
      </w:r>
      <w:r>
        <w:rPr>
          <w:sz w:val="24"/>
          <w:szCs w:val="24"/>
        </w:rPr>
        <w:t>d</w:t>
      </w:r>
      <w:r w:rsidRPr="0DC5D26D">
        <w:rPr>
          <w:sz w:val="24"/>
          <w:szCs w:val="24"/>
        </w:rPr>
        <w:t>iabetes, höga lipider, fetma eller komorbiditet som ökar risk för kardiovaskulär sjukdom).</w:t>
      </w:r>
    </w:p>
    <w:p w14:paraId="7FA35F97" w14:textId="77777777" w:rsidR="00A20158" w:rsidRPr="00942768" w:rsidRDefault="00A20158" w:rsidP="00A20158">
      <w:pPr>
        <w:rPr>
          <w:rStyle w:val="Hyperlnk"/>
          <w:sz w:val="24"/>
          <w:szCs w:val="24"/>
        </w:rPr>
      </w:pPr>
      <w:r w:rsidRPr="79F3EFC6">
        <w:rPr>
          <w:sz w:val="24"/>
          <w:szCs w:val="24"/>
        </w:rPr>
        <w:t xml:space="preserve">Använd SCORE2/SCORE2-OP för riskvärdering av friska patienter. Utmärkta kalkylatorer finns på u-prevent.com/calculators, </w:t>
      </w:r>
      <w:hyperlink r:id="rId80">
        <w:r w:rsidRPr="00942768">
          <w:rPr>
            <w:rStyle w:val="Hyperlnk"/>
            <w:color w:val="0070C0"/>
          </w:rPr>
          <w:t>U-prevent</w:t>
        </w:r>
      </w:hyperlink>
      <w:r w:rsidRPr="79F3EFC6">
        <w:rPr>
          <w:sz w:val="24"/>
          <w:szCs w:val="24"/>
        </w:rPr>
        <w:t xml:space="preserve"> eller </w:t>
      </w:r>
      <w:hyperlink r:id="rId81" w:history="1">
        <w:r w:rsidRPr="00942768">
          <w:rPr>
            <w:rStyle w:val="Hyperlnk"/>
            <w:color w:val="0070C0"/>
            <w:sz w:val="24"/>
            <w:szCs w:val="24"/>
          </w:rPr>
          <w:t>www.heartscore.org,</w:t>
        </w:r>
      </w:hyperlink>
      <w:r w:rsidRPr="79F3EFC6">
        <w:rPr>
          <w:sz w:val="24"/>
          <w:szCs w:val="24"/>
        </w:rPr>
        <w:t xml:space="preserve"> </w:t>
      </w:r>
      <w:r>
        <w:fldChar w:fldCharType="begin"/>
      </w:r>
      <w:r>
        <w:instrText>HYPERLINK "https://www.heartscore.org/en_GB"</w:instrText>
      </w:r>
      <w:r>
        <w:fldChar w:fldCharType="separate"/>
      </w:r>
      <w:r w:rsidRPr="00942768">
        <w:rPr>
          <w:rStyle w:val="Hyperlnk"/>
          <w:color w:val="0070C0"/>
        </w:rPr>
        <w:t>HeartScore</w:t>
      </w:r>
    </w:p>
    <w:p w14:paraId="39972149" w14:textId="77777777" w:rsidR="00A20158" w:rsidRPr="00460AA7" w:rsidRDefault="00A20158" w:rsidP="00A20158">
      <w:pPr>
        <w:rPr>
          <w:sz w:val="24"/>
          <w:szCs w:val="24"/>
        </w:rPr>
      </w:pPr>
      <w:r>
        <w:fldChar w:fldCharType="end"/>
      </w:r>
      <w:r w:rsidRPr="2269F901">
        <w:rPr>
          <w:sz w:val="24"/>
          <w:szCs w:val="24"/>
        </w:rPr>
        <w:t xml:space="preserve">Vid högre åldrar ökar dödligheten av andra skäl än kardiovaskulära och traditionella riskmodeller som ej tar hänsyn till detta kommer att tendera att överskatta nyttan av behandling. Därför accepteras en högre 10-årsrisk hos äldre än yngre. Vid låg till moderat risk rekommenderas behandling ej generellt. Vid hög risk kan behandling övervägas och vid mycket hög risk rekommenderas behandling trots sämre vetenskapligt stöd än hos yngre. </w:t>
      </w:r>
    </w:p>
    <w:p w14:paraId="75E4CA0E" w14:textId="77777777" w:rsidR="00A20158" w:rsidRPr="00460AA7" w:rsidRDefault="00A20158" w:rsidP="00A20158">
      <w:pPr>
        <w:rPr>
          <w:sz w:val="24"/>
          <w:szCs w:val="24"/>
        </w:rPr>
      </w:pPr>
      <w:r w:rsidRPr="79F3EFC6">
        <w:rPr>
          <w:sz w:val="24"/>
          <w:szCs w:val="24"/>
        </w:rPr>
        <w:t>Målvärde LDL &lt;2,6 mmol/</w:t>
      </w:r>
      <w:r>
        <w:rPr>
          <w:sz w:val="24"/>
          <w:szCs w:val="24"/>
        </w:rPr>
        <w:t>L.</w:t>
      </w:r>
    </w:p>
    <w:p w14:paraId="65286170" w14:textId="77777777" w:rsidR="00A20158" w:rsidRDefault="00A20158" w:rsidP="00A20158">
      <w:pPr>
        <w:rPr>
          <w:sz w:val="24"/>
          <w:szCs w:val="24"/>
        </w:rPr>
      </w:pPr>
    </w:p>
    <w:p w14:paraId="592EE452" w14:textId="77777777" w:rsidR="00A20158" w:rsidRDefault="00A20158" w:rsidP="00A20158">
      <w:pPr>
        <w:rPr>
          <w:sz w:val="24"/>
          <w:szCs w:val="24"/>
        </w:rPr>
      </w:pPr>
    </w:p>
    <w:p w14:paraId="76FA076F" w14:textId="77777777" w:rsidR="00A20158" w:rsidRDefault="00A20158" w:rsidP="00A20158">
      <w:pPr>
        <w:rPr>
          <w:sz w:val="24"/>
          <w:szCs w:val="24"/>
        </w:rPr>
      </w:pPr>
      <w:r>
        <w:rPr>
          <w:noProof/>
        </w:rPr>
        <w:lastRenderedPageBreak/>
        <w:drawing>
          <wp:anchor distT="0" distB="0" distL="114300" distR="114300" simplePos="0" relativeHeight="251781120" behindDoc="0" locked="0" layoutInCell="1" allowOverlap="1" wp14:anchorId="1F125361" wp14:editId="64DF9BF4">
            <wp:simplePos x="0" y="0"/>
            <wp:positionH relativeFrom="margin">
              <wp:align>left</wp:align>
            </wp:positionH>
            <wp:positionV relativeFrom="paragraph">
              <wp:posOffset>495</wp:posOffset>
            </wp:positionV>
            <wp:extent cx="4827270" cy="4575810"/>
            <wp:effectExtent l="0" t="0" r="0" b="0"/>
            <wp:wrapSquare wrapText="bothSides"/>
            <wp:docPr id="11718303" name="picture" descr="En bild som visar text, skärmbild, diagram, Graf&#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303" name="picture" descr="En bild som visar text, skärmbild, diagram, Graf&#10;&#10;AI-genererat innehåll kan vara felaktigt."/>
                    <pic:cNvPicPr/>
                  </pic:nvPicPr>
                  <pic:blipFill>
                    <a:blip r:embed="rId82">
                      <a:extLst>
                        <a:ext uri="{28A0092B-C50C-407E-A947-70E740481C1C}">
                          <a14:useLocalDpi xmlns:a14="http://schemas.microsoft.com/office/drawing/2010/main" val="0"/>
                        </a:ext>
                      </a:extLst>
                    </a:blip>
                    <a:stretch>
                      <a:fillRect/>
                    </a:stretch>
                  </pic:blipFill>
                  <pic:spPr>
                    <a:xfrm>
                      <a:off x="0" y="0"/>
                      <a:ext cx="4833582" cy="4581833"/>
                    </a:xfrm>
                    <a:prstGeom prst="rect">
                      <a:avLst/>
                    </a:prstGeom>
                  </pic:spPr>
                </pic:pic>
              </a:graphicData>
            </a:graphic>
            <wp14:sizeRelH relativeFrom="margin">
              <wp14:pctWidth>0</wp14:pctWidth>
            </wp14:sizeRelH>
            <wp14:sizeRelV relativeFrom="margin">
              <wp14:pctHeight>0</wp14:pctHeight>
            </wp14:sizeRelV>
          </wp:anchor>
        </w:drawing>
      </w:r>
    </w:p>
    <w:p w14:paraId="70FC31DF" w14:textId="77777777" w:rsidR="00A20158" w:rsidRDefault="00A20158" w:rsidP="00A20158">
      <w:pPr>
        <w:rPr>
          <w:sz w:val="24"/>
          <w:szCs w:val="24"/>
        </w:rPr>
      </w:pPr>
      <w:r w:rsidRPr="2269F901">
        <w:rPr>
          <w:sz w:val="24"/>
          <w:szCs w:val="24"/>
        </w:rPr>
        <w:t xml:space="preserve"> </w:t>
      </w:r>
    </w:p>
    <w:p w14:paraId="16121E4B" w14:textId="77777777" w:rsidR="00A20158" w:rsidRPr="000A4EF8" w:rsidRDefault="00A20158" w:rsidP="00A20158">
      <w:pPr>
        <w:rPr>
          <w:sz w:val="24"/>
          <w:szCs w:val="24"/>
        </w:rPr>
      </w:pPr>
    </w:p>
    <w:p w14:paraId="5020D479" w14:textId="77777777" w:rsidR="00A20158" w:rsidRDefault="00A20158" w:rsidP="00A20158">
      <w:pPr>
        <w:rPr>
          <w:sz w:val="24"/>
          <w:szCs w:val="24"/>
        </w:rPr>
      </w:pPr>
    </w:p>
    <w:p w14:paraId="16840CC3" w14:textId="77777777" w:rsidR="00A20158" w:rsidRPr="000A4EF8" w:rsidRDefault="00A20158" w:rsidP="00A20158">
      <w:pPr>
        <w:rPr>
          <w:sz w:val="24"/>
          <w:szCs w:val="24"/>
        </w:rPr>
      </w:pPr>
    </w:p>
    <w:p w14:paraId="62EA5068" w14:textId="77777777" w:rsidR="00A20158" w:rsidRDefault="00A20158" w:rsidP="00A20158">
      <w:pPr>
        <w:tabs>
          <w:tab w:val="clear" w:pos="284"/>
        </w:tabs>
        <w:spacing w:after="120" w:line="260" w:lineRule="atLeast"/>
        <w:rPr>
          <w:sz w:val="24"/>
          <w:szCs w:val="24"/>
        </w:rPr>
      </w:pPr>
      <w:r w:rsidRPr="00297E52">
        <w:rPr>
          <w:rFonts w:asciiTheme="majorHAnsi" w:hAnsiTheme="majorHAnsi"/>
          <w:b/>
          <w:bCs/>
          <w:sz w:val="24"/>
          <w:szCs w:val="24"/>
        </w:rPr>
        <w:t>Sekundärprevention</w:t>
      </w:r>
      <w:r>
        <w:rPr>
          <w:rFonts w:asciiTheme="majorHAnsi" w:hAnsiTheme="majorHAnsi"/>
          <w:b/>
          <w:bCs/>
          <w:sz w:val="24"/>
          <w:szCs w:val="24"/>
        </w:rPr>
        <w:t xml:space="preserve"> </w:t>
      </w:r>
      <w:r w:rsidRPr="00186651">
        <w:rPr>
          <w:rFonts w:asciiTheme="majorHAnsi" w:hAnsiTheme="majorHAnsi"/>
          <w:sz w:val="24"/>
          <w:szCs w:val="24"/>
        </w:rPr>
        <w:t>(5)</w:t>
      </w:r>
    </w:p>
    <w:p w14:paraId="521B8F21" w14:textId="77777777" w:rsidR="00A20158" w:rsidRPr="00297E52" w:rsidRDefault="00A20158" w:rsidP="00A20158">
      <w:pPr>
        <w:rPr>
          <w:b/>
          <w:bCs/>
          <w:sz w:val="24"/>
          <w:szCs w:val="24"/>
        </w:rPr>
      </w:pPr>
      <w:r w:rsidRPr="00297E52">
        <w:rPr>
          <w:b/>
          <w:bCs/>
          <w:sz w:val="24"/>
          <w:szCs w:val="24"/>
        </w:rPr>
        <w:t xml:space="preserve">Mycket hög risk </w:t>
      </w:r>
    </w:p>
    <w:p w14:paraId="064ECDAB" w14:textId="77777777" w:rsidR="00A20158" w:rsidRPr="00460AA7" w:rsidRDefault="00A20158" w:rsidP="00A20158">
      <w:pPr>
        <w:rPr>
          <w:sz w:val="24"/>
          <w:szCs w:val="24"/>
        </w:rPr>
      </w:pPr>
      <w:r w:rsidRPr="2269F901">
        <w:rPr>
          <w:sz w:val="24"/>
          <w:szCs w:val="24"/>
        </w:rPr>
        <w:t xml:space="preserve">Behandlingsmål LDL-reduktion med &gt;50% från utgångsvärde samt LDL-koncentration </w:t>
      </w:r>
      <w:r>
        <w:rPr>
          <w:sz w:val="24"/>
          <w:szCs w:val="24"/>
        </w:rPr>
        <w:br/>
      </w:r>
      <w:r w:rsidRPr="2269F901">
        <w:rPr>
          <w:sz w:val="24"/>
          <w:szCs w:val="24"/>
        </w:rPr>
        <w:t>&lt;1,4 mmol/L.</w:t>
      </w:r>
      <w:r>
        <w:rPr>
          <w:sz w:val="24"/>
          <w:szCs w:val="24"/>
        </w:rPr>
        <w:t xml:space="preserve"> </w:t>
      </w:r>
      <w:r w:rsidRPr="2269F901">
        <w:rPr>
          <w:sz w:val="24"/>
          <w:szCs w:val="24"/>
        </w:rPr>
        <w:t xml:space="preserve">Alla patienter med dokumenterad arterosklerotisk kardiovaskulär sjukdom, </w:t>
      </w:r>
      <w:r>
        <w:rPr>
          <w:sz w:val="24"/>
          <w:szCs w:val="24"/>
        </w:rPr>
        <w:br/>
      </w:r>
      <w:r w:rsidRPr="2269F901">
        <w:rPr>
          <w:sz w:val="24"/>
          <w:szCs w:val="24"/>
        </w:rPr>
        <w:t>oavsett ålder.</w:t>
      </w:r>
      <w:r>
        <w:rPr>
          <w:sz w:val="24"/>
          <w:szCs w:val="24"/>
        </w:rPr>
        <w:t xml:space="preserve"> </w:t>
      </w:r>
      <w:r w:rsidRPr="0DC5D26D">
        <w:rPr>
          <w:sz w:val="24"/>
          <w:szCs w:val="24"/>
        </w:rPr>
        <w:t xml:space="preserve">Patienter med uttalad njursvikt (eGFR &lt;30mL/min/1,73m2 eller </w:t>
      </w:r>
      <w:r>
        <w:rPr>
          <w:sz w:val="24"/>
          <w:szCs w:val="24"/>
        </w:rPr>
        <w:br/>
      </w:r>
      <w:r w:rsidRPr="0DC5D26D">
        <w:rPr>
          <w:sz w:val="24"/>
          <w:szCs w:val="24"/>
        </w:rPr>
        <w:t xml:space="preserve">eGFR 30-44 </w:t>
      </w:r>
      <w:r w:rsidRPr="003617B3">
        <w:rPr>
          <w:sz w:val="24"/>
          <w:szCs w:val="24"/>
        </w:rPr>
        <w:t>mL/min/1,73m2 och albumin/kreatin-index&gt;30.</w:t>
      </w:r>
    </w:p>
    <w:p w14:paraId="1834C315" w14:textId="77777777" w:rsidR="00A20158" w:rsidRPr="00460AA7" w:rsidRDefault="00A20158" w:rsidP="00A20158">
      <w:pPr>
        <w:rPr>
          <w:sz w:val="24"/>
          <w:szCs w:val="24"/>
        </w:rPr>
      </w:pPr>
    </w:p>
    <w:p w14:paraId="3B2CCBAE" w14:textId="77777777" w:rsidR="00A20158" w:rsidRPr="00297E52" w:rsidRDefault="00A20158" w:rsidP="00A20158">
      <w:pPr>
        <w:rPr>
          <w:b/>
          <w:bCs/>
          <w:sz w:val="24"/>
          <w:szCs w:val="24"/>
        </w:rPr>
      </w:pPr>
      <w:r w:rsidRPr="00297E52">
        <w:rPr>
          <w:b/>
          <w:bCs/>
          <w:sz w:val="24"/>
          <w:szCs w:val="24"/>
        </w:rPr>
        <w:t>Hög risk</w:t>
      </w:r>
    </w:p>
    <w:p w14:paraId="408E9DE4" w14:textId="77777777" w:rsidR="00A20158" w:rsidRPr="00460AA7" w:rsidRDefault="00A20158" w:rsidP="00A20158">
      <w:pPr>
        <w:rPr>
          <w:sz w:val="24"/>
          <w:szCs w:val="24"/>
        </w:rPr>
      </w:pPr>
      <w:r w:rsidRPr="2269F901">
        <w:rPr>
          <w:sz w:val="24"/>
          <w:szCs w:val="24"/>
        </w:rPr>
        <w:t xml:space="preserve">Behandlingsmål LDL-reduktion med &gt;50% från utgångsvärde samt LDL-koncentration </w:t>
      </w:r>
      <w:r>
        <w:rPr>
          <w:sz w:val="24"/>
          <w:szCs w:val="24"/>
        </w:rPr>
        <w:br/>
      </w:r>
      <w:r w:rsidRPr="2269F901">
        <w:rPr>
          <w:sz w:val="24"/>
          <w:szCs w:val="24"/>
        </w:rPr>
        <w:t>&lt;</w:t>
      </w:r>
      <w:r>
        <w:rPr>
          <w:sz w:val="24"/>
          <w:szCs w:val="24"/>
        </w:rPr>
        <w:t>1,8</w:t>
      </w:r>
      <w:r w:rsidRPr="2269F901">
        <w:rPr>
          <w:sz w:val="24"/>
          <w:szCs w:val="24"/>
        </w:rPr>
        <w:t xml:space="preserve"> mmol/L</w:t>
      </w:r>
      <w:r>
        <w:rPr>
          <w:sz w:val="24"/>
          <w:szCs w:val="24"/>
        </w:rPr>
        <w:t xml:space="preserve"> </w:t>
      </w:r>
      <w:r w:rsidRPr="0DC5D26D">
        <w:rPr>
          <w:sz w:val="24"/>
          <w:szCs w:val="24"/>
        </w:rPr>
        <w:t xml:space="preserve">Måttlig njursvikt (eGFR 30-44 och albumin/kreatinin-index &lt;30 eller </w:t>
      </w:r>
      <w:r>
        <w:rPr>
          <w:sz w:val="24"/>
          <w:szCs w:val="24"/>
        </w:rPr>
        <w:br/>
      </w:r>
      <w:r w:rsidRPr="0DC5D26D">
        <w:rPr>
          <w:sz w:val="24"/>
          <w:szCs w:val="24"/>
        </w:rPr>
        <w:t>eGFR 45-59 och albumin/kreatinin-index 30-300 eller eGFR&gt;60 och albumin/</w:t>
      </w:r>
      <w:r>
        <w:rPr>
          <w:sz w:val="24"/>
          <w:szCs w:val="24"/>
        </w:rPr>
        <w:br/>
      </w:r>
      <w:r w:rsidRPr="0DC5D26D">
        <w:rPr>
          <w:sz w:val="24"/>
          <w:szCs w:val="24"/>
        </w:rPr>
        <w:t>kreatinin-index &gt;300).</w:t>
      </w:r>
      <w:r>
        <w:rPr>
          <w:sz w:val="24"/>
          <w:szCs w:val="24"/>
        </w:rPr>
        <w:t xml:space="preserve"> </w:t>
      </w:r>
      <w:r w:rsidRPr="0DC5D26D">
        <w:rPr>
          <w:sz w:val="24"/>
          <w:szCs w:val="24"/>
        </w:rPr>
        <w:t>Familjär hyperkolesterolemi med uttalat förhöjda kolesterolnivåer</w:t>
      </w:r>
      <w:r>
        <w:rPr>
          <w:sz w:val="24"/>
          <w:szCs w:val="24"/>
        </w:rPr>
        <w:t>.</w:t>
      </w:r>
    </w:p>
    <w:p w14:paraId="3A4BF8D6" w14:textId="77777777" w:rsidR="00A20158" w:rsidRPr="00460AA7" w:rsidRDefault="00A20158" w:rsidP="00A20158">
      <w:pPr>
        <w:rPr>
          <w:sz w:val="24"/>
          <w:szCs w:val="24"/>
        </w:rPr>
      </w:pPr>
    </w:p>
    <w:p w14:paraId="0F960EC0" w14:textId="77777777" w:rsidR="00A20158" w:rsidRPr="00297E52" w:rsidRDefault="00A20158" w:rsidP="00A20158">
      <w:pPr>
        <w:rPr>
          <w:b/>
          <w:bCs/>
          <w:sz w:val="24"/>
          <w:szCs w:val="24"/>
        </w:rPr>
      </w:pPr>
      <w:r w:rsidRPr="00297E52">
        <w:rPr>
          <w:b/>
          <w:bCs/>
          <w:sz w:val="24"/>
          <w:szCs w:val="24"/>
        </w:rPr>
        <w:t>Måttlig risk</w:t>
      </w:r>
    </w:p>
    <w:p w14:paraId="0AC08989" w14:textId="77777777" w:rsidR="00A20158" w:rsidRPr="00460AA7" w:rsidRDefault="00A20158" w:rsidP="00A20158">
      <w:pPr>
        <w:rPr>
          <w:sz w:val="24"/>
          <w:szCs w:val="24"/>
        </w:rPr>
      </w:pPr>
      <w:r w:rsidRPr="2269F901">
        <w:rPr>
          <w:sz w:val="24"/>
          <w:szCs w:val="24"/>
        </w:rPr>
        <w:t>Behandlingsmål LDL-koncentration &lt;2,6 mmol/L kan övervägas</w:t>
      </w:r>
      <w:r>
        <w:rPr>
          <w:sz w:val="24"/>
          <w:szCs w:val="24"/>
        </w:rPr>
        <w:t>.</w:t>
      </w:r>
    </w:p>
    <w:p w14:paraId="1768FF93" w14:textId="77777777" w:rsidR="00A20158" w:rsidRPr="00460AA7" w:rsidRDefault="00A20158" w:rsidP="00A20158">
      <w:pPr>
        <w:rPr>
          <w:sz w:val="24"/>
          <w:szCs w:val="24"/>
        </w:rPr>
      </w:pPr>
    </w:p>
    <w:p w14:paraId="322163B9" w14:textId="77777777" w:rsidR="00A20158" w:rsidRDefault="00A20158" w:rsidP="00A20158">
      <w:pPr>
        <w:rPr>
          <w:sz w:val="24"/>
          <w:szCs w:val="24"/>
        </w:rPr>
      </w:pPr>
      <w:r w:rsidRPr="00297E52">
        <w:rPr>
          <w:b/>
          <w:bCs/>
          <w:sz w:val="24"/>
          <w:szCs w:val="24"/>
        </w:rPr>
        <w:t>Låg risk</w:t>
      </w:r>
      <w:r>
        <w:rPr>
          <w:b/>
          <w:bCs/>
          <w:sz w:val="24"/>
          <w:szCs w:val="24"/>
        </w:rPr>
        <w:br/>
      </w:r>
      <w:r w:rsidRPr="2269F901">
        <w:rPr>
          <w:sz w:val="24"/>
          <w:szCs w:val="24"/>
        </w:rPr>
        <w:t>Behandlingsmål LDL-koncentration &lt;3,0 mmol/L kan övervägas</w:t>
      </w:r>
      <w:r>
        <w:rPr>
          <w:sz w:val="24"/>
          <w:szCs w:val="24"/>
        </w:rPr>
        <w:t>.</w:t>
      </w:r>
    </w:p>
    <w:p w14:paraId="45FB8853" w14:textId="77777777" w:rsidR="00A20158" w:rsidRDefault="00A20158" w:rsidP="00A20158">
      <w:pPr>
        <w:rPr>
          <w:sz w:val="24"/>
          <w:szCs w:val="24"/>
        </w:rPr>
      </w:pPr>
    </w:p>
    <w:p w14:paraId="5DA9A301" w14:textId="77777777" w:rsidR="00A20158" w:rsidRDefault="00A20158" w:rsidP="00A20158">
      <w:pPr>
        <w:tabs>
          <w:tab w:val="clear" w:pos="284"/>
        </w:tabs>
        <w:spacing w:after="120" w:line="260" w:lineRule="atLeast"/>
        <w:rPr>
          <w:sz w:val="24"/>
          <w:szCs w:val="24"/>
        </w:rPr>
      </w:pPr>
    </w:p>
    <w:p w14:paraId="4FDF48CF" w14:textId="77777777" w:rsidR="00A20158" w:rsidRPr="00186651" w:rsidRDefault="00A20158" w:rsidP="00A20158">
      <w:pPr>
        <w:rPr>
          <w:b/>
          <w:bCs/>
          <w:sz w:val="24"/>
          <w:szCs w:val="24"/>
        </w:rPr>
      </w:pPr>
      <w:r w:rsidRPr="00186651">
        <w:rPr>
          <w:b/>
          <w:bCs/>
          <w:sz w:val="24"/>
          <w:szCs w:val="24"/>
        </w:rPr>
        <w:lastRenderedPageBreak/>
        <w:t>Allmänt</w:t>
      </w:r>
    </w:p>
    <w:p w14:paraId="43F9192C" w14:textId="77777777" w:rsidR="00A20158" w:rsidRPr="00460AA7" w:rsidRDefault="00A20158" w:rsidP="00A20158">
      <w:pPr>
        <w:rPr>
          <w:sz w:val="24"/>
          <w:szCs w:val="24"/>
        </w:rPr>
      </w:pPr>
      <w:r w:rsidRPr="0DC5D26D">
        <w:rPr>
          <w:sz w:val="24"/>
          <w:szCs w:val="24"/>
        </w:rPr>
        <w:t xml:space="preserve">Terapigruppen rekommenderar i första hand behandling med atorvastatin. </w:t>
      </w:r>
    </w:p>
    <w:p w14:paraId="46477D02" w14:textId="77777777" w:rsidR="00A20158" w:rsidRDefault="00A20158" w:rsidP="00A20158">
      <w:pPr>
        <w:rPr>
          <w:sz w:val="24"/>
          <w:szCs w:val="24"/>
        </w:rPr>
      </w:pPr>
      <w:r w:rsidRPr="0DC5D26D">
        <w:rPr>
          <w:sz w:val="24"/>
          <w:szCs w:val="24"/>
        </w:rPr>
        <w:t xml:space="preserve">Om inte målvärden för patienten uppnås med högsta tolererad dos föreslås tillägg av ezetimib. </w:t>
      </w:r>
      <w:r>
        <w:rPr>
          <w:sz w:val="24"/>
          <w:szCs w:val="24"/>
        </w:rPr>
        <w:br/>
      </w:r>
      <w:r w:rsidRPr="0DC5D26D">
        <w:rPr>
          <w:sz w:val="24"/>
          <w:szCs w:val="24"/>
        </w:rPr>
        <w:t>Om fortsatt otillräcklig effekt ställningstagande till tillägg av PCSK9­hämmare. Terapigruppen anser att Repatha och Praluent är likvärdiga</w:t>
      </w:r>
      <w:r>
        <w:rPr>
          <w:sz w:val="24"/>
          <w:szCs w:val="24"/>
        </w:rPr>
        <w:t xml:space="preserve">. </w:t>
      </w:r>
      <w:r w:rsidRPr="0DC5D26D">
        <w:rPr>
          <w:sz w:val="24"/>
          <w:szCs w:val="24"/>
        </w:rPr>
        <w:t xml:space="preserve">Den samlade risken är viktigare än absoluta blodfettnivåer. Livsstilsråd är alltid motiverade vid lipidrubbning, oavsett om läkemedel sätts in eller inte. </w:t>
      </w:r>
      <w:r>
        <w:rPr>
          <w:sz w:val="24"/>
          <w:szCs w:val="24"/>
        </w:rPr>
        <w:br/>
      </w:r>
      <w:r w:rsidRPr="0DC5D26D">
        <w:rPr>
          <w:sz w:val="24"/>
          <w:szCs w:val="24"/>
        </w:rPr>
        <w:t xml:space="preserve">Ett hälsosamt kostmönster karakteriserades bland annat av högt intag av frukt, grönsaker, </w:t>
      </w:r>
      <w:r>
        <w:rPr>
          <w:sz w:val="24"/>
          <w:szCs w:val="24"/>
        </w:rPr>
        <w:br/>
      </w:r>
      <w:r w:rsidRPr="0DC5D26D">
        <w:rPr>
          <w:sz w:val="24"/>
          <w:szCs w:val="24"/>
        </w:rPr>
        <w:t>baljväxter och fullkorn, en gynnsam fettbalans (mycket omättade och lite mättade fetter), ett lågt intag av socker, salt och mättat fett. Rökstopp och ökad fysisk aktivitet ska alltid rekommenderas.</w:t>
      </w:r>
    </w:p>
    <w:p w14:paraId="3F938F44" w14:textId="77777777" w:rsidR="00A20158" w:rsidRDefault="00A20158" w:rsidP="00A20158">
      <w:pPr>
        <w:tabs>
          <w:tab w:val="clear" w:pos="284"/>
        </w:tabs>
        <w:spacing w:after="120" w:line="260" w:lineRule="atLeast"/>
        <w:rPr>
          <w:sz w:val="24"/>
          <w:szCs w:val="24"/>
        </w:rPr>
      </w:pPr>
    </w:p>
    <w:p w14:paraId="1AEBFFDE" w14:textId="77777777" w:rsidR="00A20158" w:rsidRDefault="00A20158" w:rsidP="00A20158">
      <w:pPr>
        <w:tabs>
          <w:tab w:val="clear" w:pos="284"/>
        </w:tabs>
        <w:spacing w:after="120" w:line="260" w:lineRule="atLeast"/>
        <w:rPr>
          <w:rFonts w:asciiTheme="majorHAnsi" w:eastAsiaTheme="majorEastAsia" w:hAnsiTheme="majorHAnsi"/>
          <w:b/>
          <w:bCs/>
          <w:sz w:val="28"/>
          <w:szCs w:val="26"/>
        </w:rPr>
      </w:pPr>
      <w:r>
        <w:br w:type="page"/>
      </w:r>
    </w:p>
    <w:p w14:paraId="6AC3AB28" w14:textId="77777777" w:rsidR="00A20158" w:rsidRDefault="00A20158" w:rsidP="00A20158">
      <w:pPr>
        <w:pStyle w:val="Rubrik2"/>
        <w:rPr>
          <w:sz w:val="24"/>
          <w:szCs w:val="24"/>
        </w:rPr>
      </w:pPr>
      <w:r>
        <w:lastRenderedPageBreak/>
        <w:t>Riskstratifiering</w:t>
      </w:r>
    </w:p>
    <w:p w14:paraId="6F8A109E" w14:textId="77777777" w:rsidR="00A20158" w:rsidRDefault="00A20158" w:rsidP="00A20158">
      <w:pPr>
        <w:rPr>
          <w:rFonts w:eastAsia="Garamond" w:cs="Garamond"/>
          <w:sz w:val="24"/>
          <w:szCs w:val="24"/>
        </w:rPr>
      </w:pPr>
      <w:r w:rsidRPr="2269F901">
        <w:rPr>
          <w:rFonts w:eastAsia="Garamond" w:cs="Garamond"/>
          <w:sz w:val="24"/>
          <w:szCs w:val="24"/>
        </w:rPr>
        <w:t>Följande riskstratifiering rekommenderas:</w:t>
      </w:r>
    </w:p>
    <w:p w14:paraId="1EAC7D9A" w14:textId="77777777" w:rsidR="00A20158" w:rsidRPr="00576313" w:rsidRDefault="00A20158" w:rsidP="00A20158">
      <w:pPr>
        <w:rPr>
          <w:rStyle w:val="Hyperlnk"/>
          <w:color w:val="0070C0"/>
          <w:sz w:val="24"/>
          <w:szCs w:val="24"/>
          <w:lang w:val="en-US"/>
        </w:rPr>
      </w:pPr>
      <w:r>
        <w:rPr>
          <w:noProof/>
        </w:rPr>
        <w:drawing>
          <wp:anchor distT="0" distB="0" distL="114300" distR="114300" simplePos="0" relativeHeight="251782144" behindDoc="0" locked="0" layoutInCell="1" allowOverlap="1" wp14:anchorId="5A57015D" wp14:editId="716EDEF1">
            <wp:simplePos x="0" y="0"/>
            <wp:positionH relativeFrom="page">
              <wp:align>center</wp:align>
            </wp:positionH>
            <wp:positionV relativeFrom="paragraph">
              <wp:posOffset>412</wp:posOffset>
            </wp:positionV>
            <wp:extent cx="6893626" cy="7952185"/>
            <wp:effectExtent l="0" t="0" r="2540" b="0"/>
            <wp:wrapSquare wrapText="bothSides"/>
            <wp:docPr id="1817470859" name="picture" descr="En bild som visar text, skärmbild, Teckensnitt,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70859" name="picture" descr="En bild som visar text, skärmbild, Teckensnitt, design&#10;&#10;AI-genererat innehåll kan vara felaktigt."/>
                    <pic:cNvPicPr/>
                  </pic:nvPicPr>
                  <pic:blipFill>
                    <a:blip r:embed="rId83">
                      <a:extLst>
                        <a:ext uri="{28A0092B-C50C-407E-A947-70E740481C1C}">
                          <a14:useLocalDpi xmlns:a14="http://schemas.microsoft.com/office/drawing/2010/main" val="0"/>
                        </a:ext>
                      </a:extLst>
                    </a:blip>
                    <a:stretch>
                      <a:fillRect/>
                    </a:stretch>
                  </pic:blipFill>
                  <pic:spPr>
                    <a:xfrm>
                      <a:off x="0" y="0"/>
                      <a:ext cx="6893626" cy="7952185"/>
                    </a:xfrm>
                    <a:prstGeom prst="rect">
                      <a:avLst/>
                    </a:prstGeom>
                  </pic:spPr>
                </pic:pic>
              </a:graphicData>
            </a:graphic>
            <wp14:sizeRelH relativeFrom="margin">
              <wp14:pctWidth>0</wp14:pctWidth>
            </wp14:sizeRelH>
            <wp14:sizeRelV relativeFrom="margin">
              <wp14:pctHeight>0</wp14:pctHeight>
            </wp14:sizeRelV>
          </wp:anchor>
        </w:drawing>
      </w:r>
      <w:r w:rsidRPr="00576313">
        <w:rPr>
          <w:color w:val="0070C0"/>
          <w:lang w:val="en-US"/>
        </w:rPr>
        <w:fldChar w:fldCharType="begin"/>
      </w:r>
      <w:r w:rsidRPr="00576313">
        <w:rPr>
          <w:color w:val="0070C0"/>
          <w:lang w:val="en-US"/>
        </w:rPr>
        <w:instrText>HYPERLINK "https://www.escardio.org/Guidelines/Clinical-Practice-Guidelines/CVD-Prevention-Guidelines"</w:instrText>
      </w:r>
      <w:r w:rsidRPr="00576313">
        <w:rPr>
          <w:color w:val="0070C0"/>
          <w:lang w:val="en-US"/>
        </w:rPr>
      </w:r>
      <w:r w:rsidRPr="00576313">
        <w:rPr>
          <w:color w:val="0070C0"/>
          <w:lang w:val="en-US"/>
        </w:rPr>
        <w:fldChar w:fldCharType="separate"/>
      </w:r>
      <w:r w:rsidRPr="00576313">
        <w:rPr>
          <w:rStyle w:val="Hyperlnk"/>
          <w:color w:val="0070C0"/>
          <w:lang w:val="en-US"/>
        </w:rPr>
        <w:t>2021 ESC Guidelines on cardiovascular disease prevention in clinical practice (escardio.org)</w:t>
      </w:r>
    </w:p>
    <w:p w14:paraId="7BE6BCA8" w14:textId="1BBF5409" w:rsidR="00A20158" w:rsidRPr="000167A1" w:rsidRDefault="00A20158" w:rsidP="00A20158">
      <w:pPr>
        <w:rPr>
          <w:rFonts w:asciiTheme="majorHAnsi" w:hAnsiTheme="majorHAnsi"/>
          <w:b/>
          <w:bCs/>
          <w:sz w:val="28"/>
          <w:szCs w:val="28"/>
        </w:rPr>
      </w:pPr>
      <w:r w:rsidRPr="00576313">
        <w:rPr>
          <w:color w:val="0070C0"/>
          <w:lang w:val="en-US"/>
        </w:rPr>
        <w:lastRenderedPageBreak/>
        <w:fldChar w:fldCharType="end"/>
      </w:r>
      <w:r w:rsidRPr="000167A1">
        <w:rPr>
          <w:rFonts w:asciiTheme="majorHAnsi" w:hAnsiTheme="majorHAnsi"/>
          <w:b/>
          <w:bCs/>
          <w:sz w:val="28"/>
          <w:szCs w:val="28"/>
        </w:rPr>
        <w:t xml:space="preserve">Farmakologisk behandling </w:t>
      </w:r>
    </w:p>
    <w:p w14:paraId="5DE0697F" w14:textId="77777777" w:rsidR="00A20158" w:rsidRPr="000167A1" w:rsidRDefault="00A20158" w:rsidP="00A20158">
      <w:pPr>
        <w:rPr>
          <w:rFonts w:asciiTheme="majorHAnsi" w:hAnsiTheme="majorHAnsi"/>
          <w:b/>
          <w:bCs/>
          <w:sz w:val="24"/>
          <w:szCs w:val="24"/>
        </w:rPr>
      </w:pPr>
      <w:r w:rsidRPr="000167A1">
        <w:rPr>
          <w:rFonts w:asciiTheme="majorHAnsi" w:hAnsiTheme="majorHAnsi"/>
          <w:b/>
          <w:bCs/>
          <w:sz w:val="24"/>
          <w:szCs w:val="24"/>
        </w:rPr>
        <w:t>Statiner</w:t>
      </w:r>
    </w:p>
    <w:p w14:paraId="053C1FB5" w14:textId="77777777" w:rsidR="00A20158" w:rsidRPr="00460AA7" w:rsidRDefault="00A20158" w:rsidP="00A20158">
      <w:pPr>
        <w:rPr>
          <w:sz w:val="24"/>
          <w:szCs w:val="24"/>
        </w:rPr>
      </w:pPr>
      <w:r w:rsidRPr="0DC5D26D">
        <w:rPr>
          <w:sz w:val="24"/>
          <w:szCs w:val="24"/>
        </w:rPr>
        <w:t>Det finns mycket gott vetenskapligt underlag för statinbehandling av alla patienter med kranskärlssjukdom, stroke/TIA, perifer artärsjukdom (inklusive karotisskleros) och som inte har kontraindikationer för behandlingen.</w:t>
      </w:r>
    </w:p>
    <w:p w14:paraId="6E990BD0" w14:textId="77777777" w:rsidR="00A20158" w:rsidRPr="00460AA7" w:rsidRDefault="00A20158" w:rsidP="00A20158">
      <w:pPr>
        <w:rPr>
          <w:sz w:val="24"/>
          <w:szCs w:val="24"/>
        </w:rPr>
      </w:pPr>
    </w:p>
    <w:p w14:paraId="00671916" w14:textId="77777777" w:rsidR="00A20158" w:rsidRPr="00460AA7" w:rsidRDefault="00A20158" w:rsidP="00A20158">
      <w:pPr>
        <w:rPr>
          <w:sz w:val="24"/>
          <w:szCs w:val="24"/>
        </w:rPr>
      </w:pPr>
      <w:r w:rsidRPr="0DC5D26D">
        <w:rPr>
          <w:sz w:val="24"/>
          <w:szCs w:val="24"/>
        </w:rPr>
        <w:t xml:space="preserve">Vid akuta koronara syndrom är atorvastatin 80 mg x 1 rekommenderat, insatt vid insjuknandet. </w:t>
      </w:r>
    </w:p>
    <w:p w14:paraId="0E3A1179" w14:textId="77777777" w:rsidR="00A20158" w:rsidRPr="00460AA7" w:rsidRDefault="00A20158" w:rsidP="00A20158">
      <w:pPr>
        <w:rPr>
          <w:sz w:val="24"/>
          <w:szCs w:val="24"/>
        </w:rPr>
      </w:pPr>
      <w:r w:rsidRPr="0DC5D26D">
        <w:rPr>
          <w:sz w:val="24"/>
          <w:szCs w:val="24"/>
        </w:rPr>
        <w:t xml:space="preserve">I en studie (PROVE ­IT) gav 80 mg atorvastatin jämfört med 40 mg pravastatin, i båda fallen insatt inom 10 dagar, minskad 2­års risk för återinsjuknande eller död (relativ risk 0,72, 95 % </w:t>
      </w:r>
      <w:r>
        <w:rPr>
          <w:sz w:val="24"/>
          <w:szCs w:val="24"/>
        </w:rPr>
        <w:br/>
      </w:r>
      <w:r w:rsidRPr="0DC5D26D">
        <w:rPr>
          <w:sz w:val="24"/>
          <w:szCs w:val="24"/>
        </w:rPr>
        <w:t xml:space="preserve">CI 0,52–0,99, p=0,046). Förbehandling med hög dos atorvastatin före akut PCI, och även elektiv PCI, minskar risken för procedurrelaterad infarkt. </w:t>
      </w:r>
    </w:p>
    <w:p w14:paraId="64BD1670" w14:textId="77777777" w:rsidR="00A20158" w:rsidRPr="00460AA7" w:rsidRDefault="00A20158" w:rsidP="00A20158">
      <w:pPr>
        <w:rPr>
          <w:sz w:val="24"/>
          <w:szCs w:val="24"/>
        </w:rPr>
      </w:pPr>
      <w:r w:rsidRPr="0DC5D26D">
        <w:rPr>
          <w:sz w:val="24"/>
          <w:szCs w:val="24"/>
        </w:rPr>
        <w:t>Vid nyinsättning av statin i sekundärpreventivt syfte rekommenderas atorvastatin i dosen 40–80 mg.</w:t>
      </w:r>
    </w:p>
    <w:p w14:paraId="4512B9D5" w14:textId="77777777" w:rsidR="00A20158" w:rsidRPr="00460AA7" w:rsidRDefault="00A20158" w:rsidP="00A20158">
      <w:pPr>
        <w:rPr>
          <w:sz w:val="24"/>
          <w:szCs w:val="24"/>
        </w:rPr>
      </w:pPr>
    </w:p>
    <w:p w14:paraId="7A70090D" w14:textId="77777777" w:rsidR="00A20158" w:rsidRPr="00460AA7" w:rsidRDefault="00A20158" w:rsidP="00A20158">
      <w:pPr>
        <w:rPr>
          <w:sz w:val="24"/>
          <w:szCs w:val="24"/>
        </w:rPr>
      </w:pPr>
      <w:r w:rsidRPr="0DC5D26D">
        <w:rPr>
          <w:sz w:val="24"/>
          <w:szCs w:val="24"/>
        </w:rPr>
        <w:t>Rosuvastatin 20 eller 40 mg ger kraftfull LDL­sänkning.  Preparatet har (i doseringen 20 mg) i en primärpreventiv studie (JUPITER) visats reducera hjärt­kärl insjuknande under två års medianuppföljning. Säkerheten vid långtidsbehandling är dock inte lika väldokumenterad som för simvastatin och atorvastatin. Rosuvastatin saknar dokumentation i sekundärpreventiva studier. Nedsatt njurfunktion är en kontraindikation mot rosuvastatin i dosen 40mg.</w:t>
      </w:r>
    </w:p>
    <w:p w14:paraId="37182E69" w14:textId="77777777" w:rsidR="00A20158" w:rsidRPr="00460AA7" w:rsidRDefault="00A20158" w:rsidP="00A20158">
      <w:pPr>
        <w:rPr>
          <w:sz w:val="24"/>
          <w:szCs w:val="24"/>
        </w:rPr>
      </w:pPr>
    </w:p>
    <w:p w14:paraId="35B94132" w14:textId="77777777" w:rsidR="00A20158" w:rsidRPr="00460AA7" w:rsidRDefault="00A20158" w:rsidP="00A20158">
      <w:pPr>
        <w:rPr>
          <w:sz w:val="24"/>
          <w:szCs w:val="24"/>
        </w:rPr>
      </w:pPr>
      <w:r w:rsidRPr="0DC5D26D">
        <w:rPr>
          <w:sz w:val="24"/>
          <w:szCs w:val="24"/>
        </w:rPr>
        <w:t xml:space="preserve">Statiner kan orsaka dosberoende lätt till måttlig stegring av leverenzymerna vilket dock sällan föranleder byte eller utsättande av medicinen. Risken för leversvikt är extremt liten men vid nivåer av levertransaminaser tre gånger övre referensvärde bör dosreduktion/seponering övervägas. </w:t>
      </w:r>
    </w:p>
    <w:p w14:paraId="1F06E6D8" w14:textId="77777777" w:rsidR="00A20158" w:rsidRPr="00460AA7" w:rsidRDefault="00A20158" w:rsidP="00A20158">
      <w:pPr>
        <w:rPr>
          <w:sz w:val="24"/>
          <w:szCs w:val="24"/>
        </w:rPr>
      </w:pPr>
    </w:p>
    <w:p w14:paraId="66D2B17A" w14:textId="77777777" w:rsidR="00A20158" w:rsidRDefault="00A20158" w:rsidP="00A20158">
      <w:pPr>
        <w:rPr>
          <w:sz w:val="24"/>
          <w:szCs w:val="24"/>
        </w:rPr>
      </w:pPr>
      <w:r w:rsidRPr="0DC5D26D">
        <w:rPr>
          <w:sz w:val="24"/>
          <w:szCs w:val="24"/>
        </w:rPr>
        <w:t xml:space="preserve">Upplevd lättare muskelvärk är en inte helt ovanlig biverkan, framför allt hos fysiskt aktiva. Behandlingsförsök med lägre dos eller annat preparat bör då göras. Myosit och rhabdomyolys kan förekomma vid statinbehandling men är mycket sällsynt vid monoterapi med normala doser. Samtidig behandling med erytromycin, klaritromycin, HIV proteas inhibitorer och ketokonazol är kontraindicerade. </w:t>
      </w:r>
    </w:p>
    <w:p w14:paraId="3BEF7A53" w14:textId="77777777" w:rsidR="00A20158" w:rsidRPr="00460AA7" w:rsidRDefault="00A20158" w:rsidP="00A20158">
      <w:pPr>
        <w:rPr>
          <w:sz w:val="24"/>
          <w:szCs w:val="24"/>
        </w:rPr>
      </w:pPr>
    </w:p>
    <w:p w14:paraId="6D34964B" w14:textId="77777777" w:rsidR="00A20158" w:rsidRPr="00965F42" w:rsidRDefault="00A20158" w:rsidP="00A20158">
      <w:pPr>
        <w:autoSpaceDE w:val="0"/>
        <w:autoSpaceDN w:val="0"/>
        <w:adjustRightInd w:val="0"/>
        <w:rPr>
          <w:rFonts w:ascii="Corbel" w:eastAsia="NewsGothic-Bold" w:hAnsi="Corbel"/>
          <w:b/>
          <w:bCs/>
          <w:sz w:val="28"/>
          <w:szCs w:val="28"/>
        </w:rPr>
      </w:pPr>
      <w:r w:rsidRPr="000167A1">
        <w:rPr>
          <w:rFonts w:ascii="Corbel" w:eastAsia="NewsGothic-Bold" w:hAnsi="Corbel"/>
          <w:b/>
          <w:bCs/>
          <w:sz w:val="24"/>
          <w:szCs w:val="24"/>
        </w:rPr>
        <w:t>Övriga lipidreglerande preparat</w:t>
      </w:r>
      <w:r>
        <w:rPr>
          <w:rFonts w:ascii="Corbel" w:eastAsia="NewsGothic-Bold" w:hAnsi="Corbel"/>
          <w:b/>
          <w:bCs/>
          <w:sz w:val="28"/>
          <w:szCs w:val="28"/>
        </w:rPr>
        <w:br/>
      </w:r>
      <w:r w:rsidRPr="00576313">
        <w:rPr>
          <w:b/>
          <w:bCs/>
          <w:sz w:val="24"/>
          <w:szCs w:val="24"/>
        </w:rPr>
        <w:t>Ezetimib</w:t>
      </w:r>
    </w:p>
    <w:p w14:paraId="1576BAC7" w14:textId="77777777" w:rsidR="00A20158" w:rsidRPr="00460AA7" w:rsidRDefault="00A20158" w:rsidP="00A20158">
      <w:pPr>
        <w:rPr>
          <w:sz w:val="24"/>
          <w:szCs w:val="24"/>
        </w:rPr>
      </w:pPr>
      <w:r w:rsidRPr="0DC5D26D">
        <w:rPr>
          <w:sz w:val="24"/>
          <w:szCs w:val="24"/>
        </w:rPr>
        <w:t>Ezetimib ger som tillägg till statinbehandling en kraftig LDL­sänkning.</w:t>
      </w:r>
    </w:p>
    <w:p w14:paraId="06E81DC4" w14:textId="77777777" w:rsidR="00A20158" w:rsidRPr="00460AA7" w:rsidRDefault="00A20158" w:rsidP="00A20158">
      <w:pPr>
        <w:rPr>
          <w:sz w:val="28"/>
          <w:szCs w:val="28"/>
        </w:rPr>
      </w:pPr>
    </w:p>
    <w:p w14:paraId="11CAA7E5" w14:textId="77777777" w:rsidR="00A20158" w:rsidRDefault="00A20158" w:rsidP="00A20158">
      <w:pPr>
        <w:rPr>
          <w:sz w:val="24"/>
          <w:szCs w:val="24"/>
        </w:rPr>
      </w:pPr>
      <w:r w:rsidRPr="0DC5D26D">
        <w:rPr>
          <w:sz w:val="24"/>
          <w:szCs w:val="24"/>
        </w:rPr>
        <w:t>IMPROVE­ IT studien randomiserade 18 144 högriskpatienter efter genomgången hjärtinfarkt till behandling med simvastatin 40–80 mg + placebo eller simvastatin 40–80 mg + ezetimib 10 mg dagligen. Median uppföljningstid var 6 år, LDL­ kolesterol sänktes med 23 procent med ezetimib jämfört med placebo och LDL­ nivåerna var i genomsnitt 1,4 respektive 1,8 mmol/l under studien.  Mortaliteten påverkades inte signifikant och effekten på effektmåtten var tydligast hos patienter med diabetes. Tillägg av ezetimib tolererades väl, men 42 % av patienterna avbröt studiebehandlingen under uppföljningen. Studien bekräftar värdet av LDL­kolesterolsänkning hos högriskpatienter, men effekten var måttlig i studiepopulationen.</w:t>
      </w:r>
      <w:r>
        <w:rPr>
          <w:sz w:val="24"/>
          <w:szCs w:val="24"/>
        </w:rPr>
        <w:br w:type="page"/>
      </w:r>
    </w:p>
    <w:p w14:paraId="2697BECE" w14:textId="77777777" w:rsidR="00A20158" w:rsidRPr="00576313" w:rsidRDefault="00A20158" w:rsidP="00A20158">
      <w:pPr>
        <w:rPr>
          <w:b/>
          <w:bCs/>
          <w:sz w:val="24"/>
          <w:szCs w:val="24"/>
        </w:rPr>
      </w:pPr>
      <w:r w:rsidRPr="00576313">
        <w:rPr>
          <w:b/>
          <w:bCs/>
          <w:sz w:val="24"/>
          <w:szCs w:val="24"/>
        </w:rPr>
        <w:lastRenderedPageBreak/>
        <w:t>Fibrater</w:t>
      </w:r>
    </w:p>
    <w:p w14:paraId="267FAAAC" w14:textId="77777777" w:rsidR="00A20158" w:rsidRPr="00460AA7" w:rsidRDefault="00A20158" w:rsidP="00A20158">
      <w:pPr>
        <w:rPr>
          <w:sz w:val="24"/>
          <w:szCs w:val="24"/>
        </w:rPr>
      </w:pPr>
      <w:r w:rsidRPr="0DC5D26D">
        <w:rPr>
          <w:sz w:val="24"/>
          <w:szCs w:val="24"/>
        </w:rPr>
        <w:t>Fibrater har ingen roll i modern behandling av hyperkolesterolemi men är indicerade vid mycket höga triglyceridnivåer (&gt; 10 mmol/L) för att minska risken för pankreatit orsakad av hypertriglyceridemi.</w:t>
      </w:r>
    </w:p>
    <w:p w14:paraId="0AC3470E" w14:textId="77777777" w:rsidR="00A20158" w:rsidRPr="00460AA7" w:rsidRDefault="00A20158" w:rsidP="00A20158">
      <w:pPr>
        <w:rPr>
          <w:sz w:val="24"/>
          <w:szCs w:val="24"/>
        </w:rPr>
      </w:pPr>
    </w:p>
    <w:p w14:paraId="00898AE7" w14:textId="77777777" w:rsidR="00A20158" w:rsidRPr="00576313" w:rsidRDefault="00A20158" w:rsidP="00A20158">
      <w:pPr>
        <w:rPr>
          <w:b/>
          <w:bCs/>
          <w:sz w:val="24"/>
          <w:szCs w:val="24"/>
        </w:rPr>
      </w:pPr>
      <w:r w:rsidRPr="00576313">
        <w:rPr>
          <w:b/>
          <w:bCs/>
          <w:sz w:val="24"/>
          <w:szCs w:val="24"/>
        </w:rPr>
        <w:t>PCSK-9 hämmare</w:t>
      </w:r>
    </w:p>
    <w:p w14:paraId="37A276D7" w14:textId="77777777" w:rsidR="00A20158" w:rsidRPr="00460AA7" w:rsidRDefault="00A20158" w:rsidP="00A20158">
      <w:pPr>
        <w:rPr>
          <w:sz w:val="24"/>
          <w:szCs w:val="24"/>
        </w:rPr>
      </w:pPr>
      <w:r w:rsidRPr="0DC5D26D">
        <w:rPr>
          <w:sz w:val="24"/>
          <w:szCs w:val="24"/>
        </w:rPr>
        <w:t xml:space="preserve">Evolocumab (Repatha) och alirokumab (Praluent) är de första registrerade läkemedlen i gruppen PCSK9­hämmare (Proprotein Convertase Subtilisin/Kexin Type 9). </w:t>
      </w:r>
    </w:p>
    <w:p w14:paraId="6EB5F56A" w14:textId="77777777" w:rsidR="00A20158" w:rsidRPr="00460AA7" w:rsidRDefault="00A20158" w:rsidP="00A20158">
      <w:pPr>
        <w:rPr>
          <w:sz w:val="24"/>
          <w:szCs w:val="24"/>
        </w:rPr>
      </w:pPr>
      <w:r w:rsidRPr="0DC5D26D">
        <w:rPr>
          <w:sz w:val="24"/>
          <w:szCs w:val="24"/>
        </w:rPr>
        <w:t xml:space="preserve">Preparaten är monoklonala antikroppar som hämmar PCSK9­medierad nedbrytning av LDL­receptorn på levercellernas yta, därmed ökar leverns elimination av LDL­kolesterol från blodbanan. Medlen administreras som subkutana injektioner, antingen varannan vecka eller en </w:t>
      </w:r>
      <w:r>
        <w:rPr>
          <w:sz w:val="24"/>
          <w:szCs w:val="24"/>
        </w:rPr>
        <w:br/>
      </w:r>
      <w:r w:rsidRPr="0DC5D26D">
        <w:rPr>
          <w:sz w:val="24"/>
          <w:szCs w:val="24"/>
        </w:rPr>
        <w:t>gång per månad.</w:t>
      </w:r>
    </w:p>
    <w:p w14:paraId="5594CA9C" w14:textId="77777777" w:rsidR="00A20158" w:rsidRPr="00460AA7" w:rsidRDefault="00A20158" w:rsidP="00A20158">
      <w:pPr>
        <w:rPr>
          <w:sz w:val="24"/>
          <w:szCs w:val="24"/>
        </w:rPr>
      </w:pPr>
    </w:p>
    <w:p w14:paraId="482D9A1D" w14:textId="77777777" w:rsidR="00A20158" w:rsidRPr="00460AA7" w:rsidRDefault="00A20158" w:rsidP="00A20158">
      <w:pPr>
        <w:rPr>
          <w:sz w:val="24"/>
          <w:szCs w:val="24"/>
        </w:rPr>
      </w:pPr>
      <w:r w:rsidRPr="0DC5D26D">
        <w:rPr>
          <w:sz w:val="24"/>
          <w:szCs w:val="24"/>
        </w:rPr>
        <w:t>I mars 2017 publicerades FOURIER­studien som jämförde effekten på kardiovaskulära händelser av PCSK­9­hämmaren evolocumab (Repatha) med placebo som tillägg till statinbehandlingen.</w:t>
      </w:r>
    </w:p>
    <w:p w14:paraId="187E2367" w14:textId="77777777" w:rsidR="00A20158" w:rsidRPr="00460AA7" w:rsidRDefault="00A20158" w:rsidP="00A20158">
      <w:pPr>
        <w:rPr>
          <w:sz w:val="24"/>
          <w:szCs w:val="24"/>
        </w:rPr>
      </w:pPr>
      <w:r w:rsidRPr="0DC5D26D">
        <w:rPr>
          <w:sz w:val="24"/>
          <w:szCs w:val="24"/>
        </w:rPr>
        <w:t>De primära effektmåtten, som bestod av kardiovaskulär mortalitet, hjärtinfarkt, stroke, sjukhusinläggningar för instabil angina pectoris samt koronar revaskularisering, minskade med i absoluta tal med 1,5 procentenheter från 11,3 procent till 9,8 procent vilket innebär NNT= 67 för studietiden. LDL­nivåerna minskade med 59 procent i gruppen behandlade med evolocumab och hamnade på 0,78 mmol/l.</w:t>
      </w:r>
    </w:p>
    <w:p w14:paraId="3A20EA3B" w14:textId="77777777" w:rsidR="00A20158" w:rsidRPr="00460AA7" w:rsidRDefault="00A20158" w:rsidP="00A20158">
      <w:pPr>
        <w:rPr>
          <w:sz w:val="24"/>
          <w:szCs w:val="24"/>
        </w:rPr>
      </w:pPr>
    </w:p>
    <w:p w14:paraId="1BC69BAC" w14:textId="77777777" w:rsidR="00A20158" w:rsidRPr="00460AA7" w:rsidRDefault="00A20158" w:rsidP="00A20158">
      <w:pPr>
        <w:rPr>
          <w:sz w:val="24"/>
          <w:szCs w:val="24"/>
        </w:rPr>
      </w:pPr>
      <w:r w:rsidRPr="0DC5D26D">
        <w:rPr>
          <w:sz w:val="24"/>
          <w:szCs w:val="24"/>
        </w:rPr>
        <w:t xml:space="preserve">ODYSSEY OUTCOMES är en randomiserad, dubbelblind studie som utvärderar effekter av alirokumab (Praluent) hos patienter med nyligen genomgångna akuta koronara syndrom. </w:t>
      </w:r>
      <w:r>
        <w:rPr>
          <w:sz w:val="24"/>
          <w:szCs w:val="24"/>
        </w:rPr>
        <w:br/>
      </w:r>
      <w:r w:rsidRPr="0DC5D26D">
        <w:rPr>
          <w:sz w:val="24"/>
          <w:szCs w:val="24"/>
        </w:rPr>
        <w:t>Det primära effektmåttet bestod av icke­fatal hjärtinfarkt, stroke, koronar död och sjukhusinläggningar pga. instabil angina pectoris. Primärt effektmått inträffade hos 9,5 % av patienterna i alirokumab­gruppen vs 11,1 % i placebogruppen vilket var statistiskt signifikant och innebär en absolut riskreduktion på 1,6 procentenheter. 49 patienter behöver behandlas med alirokumab under 4 år för att undvika en primär händelse. Ingen statistiskt säkerställd effekt av aktiv behandling på total eller kardiovaskulär mortalitet sågs under studietiden.</w:t>
      </w:r>
    </w:p>
    <w:p w14:paraId="2D4EDED7" w14:textId="77777777" w:rsidR="00A20158" w:rsidRPr="00460AA7" w:rsidRDefault="00A20158" w:rsidP="00A20158">
      <w:pPr>
        <w:rPr>
          <w:sz w:val="24"/>
          <w:szCs w:val="24"/>
        </w:rPr>
      </w:pPr>
    </w:p>
    <w:p w14:paraId="45C7B147" w14:textId="77777777" w:rsidR="00A20158" w:rsidRDefault="00A20158" w:rsidP="00A20158">
      <w:pPr>
        <w:rPr>
          <w:sz w:val="24"/>
          <w:szCs w:val="24"/>
        </w:rPr>
      </w:pPr>
      <w:r w:rsidRPr="0DC5D26D">
        <w:rPr>
          <w:sz w:val="24"/>
          <w:szCs w:val="24"/>
        </w:rPr>
        <w:t>För de flesta patienter där farmakologisk behandling av lipider bedöms nödvändig är behandling med statiner och ezetimib oftast tillräcklig. PCSK 9 hämmare kan vara ett behandlingsalternativ för</w:t>
      </w:r>
      <w:r w:rsidRPr="00E85F8B">
        <w:rPr>
          <w:sz w:val="24"/>
          <w:szCs w:val="24"/>
        </w:rPr>
        <w:t xml:space="preserve"> vissa</w:t>
      </w:r>
      <w:r w:rsidRPr="0DC5D26D">
        <w:rPr>
          <w:sz w:val="24"/>
          <w:szCs w:val="24"/>
        </w:rPr>
        <w:t xml:space="preserve"> patienter med högt kolesterolvärde i enlighet med begränsningen i TLV:s förmånsbeslut. PCSK9 hämmare sätts in av och utvärderas av, eller i samråd med, kardiolog eller internmedicinare. Uppföljning efter initierad välfungerande behandling kan ske i primärvården. Remiss för sådan uppföljning bör innehålla information om indikationen för behandling, aktuellt behandlingsmål samt provtagningsbehov.</w:t>
      </w:r>
    </w:p>
    <w:p w14:paraId="18E8BC19" w14:textId="77777777" w:rsidR="00A20158" w:rsidRDefault="00A20158" w:rsidP="00A20158">
      <w:pPr>
        <w:tabs>
          <w:tab w:val="clear" w:pos="284"/>
        </w:tabs>
        <w:spacing w:after="120" w:line="260" w:lineRule="atLeast"/>
        <w:rPr>
          <w:sz w:val="24"/>
          <w:szCs w:val="24"/>
        </w:rPr>
      </w:pPr>
      <w:r>
        <w:rPr>
          <w:sz w:val="24"/>
          <w:szCs w:val="24"/>
        </w:rPr>
        <w:br w:type="page"/>
      </w:r>
    </w:p>
    <w:p w14:paraId="3384D39D" w14:textId="77777777" w:rsidR="00A20158" w:rsidRDefault="00A20158" w:rsidP="00A20158">
      <w:pPr>
        <w:pStyle w:val="Rubrik2"/>
      </w:pPr>
      <w:r>
        <w:lastRenderedPageBreak/>
        <w:t xml:space="preserve">Förmaksflimmer </w:t>
      </w:r>
    </w:p>
    <w:p w14:paraId="09B70149" w14:textId="77777777" w:rsidR="00A20158" w:rsidRPr="003A5356" w:rsidRDefault="00A20158" w:rsidP="00A20158">
      <w:r w:rsidRPr="00965F42">
        <w:rPr>
          <w:sz w:val="24"/>
          <w:szCs w:val="24"/>
        </w:rPr>
        <w:t>Pulskontroll, som screening, på patienter &gt;65 år rekommenderas vid varje vårdkontakt. Vid oregelbunden puls bör EKG tas.</w:t>
      </w:r>
    </w:p>
    <w:p w14:paraId="4CB8F96D" w14:textId="77777777" w:rsidR="00A20158" w:rsidRPr="00CE4C1D" w:rsidRDefault="00A20158" w:rsidP="00A20158">
      <w:pPr>
        <w:pStyle w:val="Rubrik3"/>
        <w:rPr>
          <w:rFonts w:ascii="Garamond" w:hAnsi="Garamond"/>
          <w:sz w:val="28"/>
          <w:szCs w:val="28"/>
        </w:rPr>
      </w:pPr>
      <w:r w:rsidRPr="000167A1">
        <w:rPr>
          <w:rFonts w:ascii="Garamond" w:hAnsi="Garamond"/>
          <w:szCs w:val="24"/>
        </w:rPr>
        <w:t>Tromboemboliprofylax</w:t>
      </w:r>
      <w:r w:rsidRPr="00CE4C1D">
        <w:rPr>
          <w:rFonts w:ascii="Garamond" w:hAnsi="Garamond"/>
          <w:sz w:val="28"/>
          <w:szCs w:val="28"/>
        </w:rPr>
        <w:t xml:space="preserve"> </w:t>
      </w:r>
    </w:p>
    <w:p w14:paraId="6F45B55E" w14:textId="77777777" w:rsidR="00A20158" w:rsidRDefault="00A20158" w:rsidP="00A20158">
      <w:pPr>
        <w:rPr>
          <w:sz w:val="24"/>
          <w:szCs w:val="24"/>
        </w:rPr>
      </w:pPr>
      <w:r w:rsidRPr="0DC5D26D">
        <w:rPr>
          <w:sz w:val="24"/>
          <w:szCs w:val="24"/>
        </w:rPr>
        <w:t xml:space="preserve">För riskalgoritm för värdering av embolirisk (CHA2DS2VASc) och blödningsrisk se nedan. </w:t>
      </w:r>
      <w:r>
        <w:br/>
      </w:r>
      <w:r w:rsidRPr="0DC5D26D">
        <w:rPr>
          <w:sz w:val="24"/>
          <w:szCs w:val="24"/>
        </w:rPr>
        <w:t>Alla patienter med AK-behandling (antikoagulantiabehandling) ska registreras i Journalia.</w:t>
      </w:r>
    </w:p>
    <w:p w14:paraId="604BD121" w14:textId="77777777" w:rsidR="00A20158" w:rsidRDefault="00A20158" w:rsidP="00A20158">
      <w:pPr>
        <w:rPr>
          <w:sz w:val="24"/>
          <w:szCs w:val="24"/>
        </w:rPr>
      </w:pPr>
    </w:p>
    <w:tbl>
      <w:tblPr>
        <w:tblW w:w="7798" w:type="dxa"/>
        <w:tblInd w:w="-1" w:type="dxa"/>
        <w:tblCellMar>
          <w:top w:w="15" w:type="dxa"/>
          <w:left w:w="15" w:type="dxa"/>
          <w:bottom w:w="15" w:type="dxa"/>
          <w:right w:w="15" w:type="dxa"/>
        </w:tblCellMar>
        <w:tblLook w:val="04A0" w:firstRow="1" w:lastRow="0" w:firstColumn="1" w:lastColumn="0" w:noHBand="0" w:noVBand="1"/>
      </w:tblPr>
      <w:tblGrid>
        <w:gridCol w:w="2671"/>
        <w:gridCol w:w="2149"/>
        <w:gridCol w:w="2836"/>
        <w:gridCol w:w="142"/>
      </w:tblGrid>
      <w:tr w:rsidR="00A20158" w:rsidRPr="00965F42" w14:paraId="59A2628C" w14:textId="77777777" w:rsidTr="00632FCC">
        <w:trPr>
          <w:trHeight w:val="905"/>
          <w:tblHeader/>
        </w:trPr>
        <w:tc>
          <w:tcPr>
            <w:tcW w:w="7798" w:type="dxa"/>
            <w:gridSpan w:val="4"/>
            <w:tcBorders>
              <w:top w:val="nil"/>
              <w:left w:val="nil"/>
              <w:bottom w:val="nil"/>
              <w:right w:val="nil"/>
            </w:tcBorders>
            <w:shd w:val="clear" w:color="auto" w:fill="auto"/>
            <w:vAlign w:val="center"/>
            <w:hideMark/>
          </w:tcPr>
          <w:p w14:paraId="57A2D41A" w14:textId="77777777" w:rsidR="00A20158" w:rsidRPr="000167A1" w:rsidRDefault="00A20158" w:rsidP="00632FCC">
            <w:pPr>
              <w:rPr>
                <w:sz w:val="24"/>
                <w:szCs w:val="24"/>
              </w:rPr>
            </w:pPr>
            <w:r w:rsidRPr="000167A1">
              <w:rPr>
                <w:rFonts w:eastAsiaTheme="minorEastAsia"/>
                <w:b/>
                <w:bCs/>
                <w:color w:val="000000" w:themeColor="text1"/>
                <w:sz w:val="24"/>
                <w:szCs w:val="24"/>
                <w:lang w:eastAsia="sv-SE"/>
              </w:rPr>
              <w:t>NOAK-Trombinhämmare</w:t>
            </w:r>
            <w:r w:rsidRPr="000167A1">
              <w:rPr>
                <w:rFonts w:eastAsiaTheme="minorEastAsia"/>
                <w:b/>
                <w:bCs/>
                <w:color w:val="000000" w:themeColor="text1"/>
                <w:sz w:val="24"/>
                <w:szCs w:val="24"/>
                <w:lang w:eastAsia="sv-SE"/>
              </w:rPr>
              <w:br/>
            </w:r>
          </w:p>
          <w:tbl>
            <w:tblPr>
              <w:tblW w:w="7656" w:type="dxa"/>
              <w:tblCellMar>
                <w:top w:w="15" w:type="dxa"/>
                <w:left w:w="15" w:type="dxa"/>
                <w:bottom w:w="15" w:type="dxa"/>
                <w:right w:w="15" w:type="dxa"/>
              </w:tblCellMar>
              <w:tblLook w:val="04A0" w:firstRow="1" w:lastRow="0" w:firstColumn="1" w:lastColumn="0" w:noHBand="0" w:noVBand="1"/>
            </w:tblPr>
            <w:tblGrid>
              <w:gridCol w:w="4795"/>
              <w:gridCol w:w="2861"/>
            </w:tblGrid>
            <w:tr w:rsidR="00A20158" w:rsidRPr="00965F42" w14:paraId="23FE818D" w14:textId="77777777" w:rsidTr="00632FCC">
              <w:trPr>
                <w:tblHeader/>
              </w:trPr>
              <w:tc>
                <w:tcPr>
                  <w:tcW w:w="47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CAFBF9E" w14:textId="77777777" w:rsidR="00A20158" w:rsidRPr="00965F42" w:rsidRDefault="00A20158" w:rsidP="00632FCC">
                  <w:pPr>
                    <w:spacing w:after="240" w:line="240" w:lineRule="auto"/>
                    <w:rPr>
                      <w:rFonts w:eastAsiaTheme="minorEastAsia"/>
                      <w:b/>
                      <w:bCs/>
                      <w:color w:val="000000" w:themeColor="text1"/>
                      <w:sz w:val="24"/>
                      <w:szCs w:val="24"/>
                      <w:lang w:eastAsia="sv-SE"/>
                    </w:rPr>
                  </w:pPr>
                  <w:r w:rsidRPr="00965F42">
                    <w:rPr>
                      <w:rFonts w:eastAsiaTheme="minorEastAsia"/>
                      <w:b/>
                      <w:bCs/>
                      <w:color w:val="000000" w:themeColor="text1"/>
                      <w:sz w:val="24"/>
                      <w:szCs w:val="24"/>
                      <w:lang w:eastAsia="sv-SE"/>
                    </w:rPr>
                    <w:t>1 dabigatran</w:t>
                  </w:r>
                </w:p>
              </w:tc>
              <w:tc>
                <w:tcPr>
                  <w:tcW w:w="28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D56BF88" w14:textId="77777777" w:rsidR="00A20158" w:rsidRPr="00965F42" w:rsidRDefault="00A20158" w:rsidP="00632FCC">
                  <w:pPr>
                    <w:spacing w:after="240" w:line="240" w:lineRule="auto"/>
                    <w:rPr>
                      <w:rFonts w:eastAsiaTheme="minorEastAsia"/>
                      <w:color w:val="000000" w:themeColor="text1"/>
                      <w:sz w:val="24"/>
                      <w:szCs w:val="24"/>
                      <w:lang w:eastAsia="sv-SE"/>
                    </w:rPr>
                  </w:pPr>
                  <w:r w:rsidRPr="00965F42">
                    <w:rPr>
                      <w:rFonts w:eastAsiaTheme="minorEastAsia"/>
                      <w:color w:val="000000" w:themeColor="text1"/>
                      <w:sz w:val="24"/>
                      <w:szCs w:val="24"/>
                      <w:lang w:eastAsia="sv-SE"/>
                    </w:rPr>
                    <w:t>Pradaxa/Dabigatran</w:t>
                  </w:r>
                </w:p>
              </w:tc>
            </w:tr>
          </w:tbl>
          <w:p w14:paraId="75BCBA16" w14:textId="77777777" w:rsidR="00A20158" w:rsidRPr="00965F42" w:rsidRDefault="00A20158" w:rsidP="00632FCC">
            <w:pPr>
              <w:tabs>
                <w:tab w:val="clear" w:pos="284"/>
              </w:tabs>
              <w:spacing w:after="168" w:line="240" w:lineRule="auto"/>
              <w:rPr>
                <w:rFonts w:asciiTheme="minorHAnsi" w:eastAsiaTheme="minorEastAsia" w:hAnsiTheme="minorHAnsi"/>
                <w:b/>
                <w:bCs/>
                <w:i/>
                <w:iCs/>
                <w:color w:val="404040" w:themeColor="text1" w:themeTint="BF"/>
                <w:sz w:val="28"/>
                <w:szCs w:val="28"/>
                <w:lang w:eastAsia="sv-SE"/>
              </w:rPr>
            </w:pPr>
          </w:p>
          <w:p w14:paraId="643BE336" w14:textId="77777777" w:rsidR="00A20158" w:rsidRPr="000167A1" w:rsidRDefault="00A20158" w:rsidP="00632FCC">
            <w:pPr>
              <w:tabs>
                <w:tab w:val="clear" w:pos="284"/>
              </w:tabs>
              <w:spacing w:after="168" w:line="240" w:lineRule="auto"/>
              <w:rPr>
                <w:rFonts w:asciiTheme="minorHAnsi" w:eastAsiaTheme="minorEastAsia" w:hAnsiTheme="minorHAnsi"/>
                <w:b/>
                <w:bCs/>
                <w:color w:val="404040" w:themeColor="text1" w:themeTint="BF"/>
                <w:sz w:val="24"/>
                <w:szCs w:val="24"/>
                <w:lang w:eastAsia="sv-SE"/>
              </w:rPr>
            </w:pPr>
            <w:r w:rsidRPr="000167A1">
              <w:rPr>
                <w:rFonts w:eastAsiaTheme="minorEastAsia"/>
                <w:b/>
                <w:bCs/>
                <w:color w:val="000000" w:themeColor="text1"/>
                <w:sz w:val="24"/>
                <w:szCs w:val="24"/>
                <w:lang w:eastAsia="sv-SE"/>
              </w:rPr>
              <w:t>NOAK-Faktor Xa-hämmare (förstahandsval i fetstil)</w:t>
            </w:r>
          </w:p>
          <w:p w14:paraId="68888D52" w14:textId="77777777" w:rsidR="00A20158" w:rsidRPr="00965F42" w:rsidRDefault="00A20158" w:rsidP="00632FCC">
            <w:pPr>
              <w:tabs>
                <w:tab w:val="clear" w:pos="284"/>
              </w:tabs>
              <w:spacing w:after="168" w:line="240" w:lineRule="auto"/>
              <w:rPr>
                <w:rFonts w:asciiTheme="minorHAnsi" w:eastAsiaTheme="minorEastAsia" w:hAnsiTheme="minorHAnsi"/>
                <w:b/>
                <w:bCs/>
                <w:color w:val="404040" w:themeColor="text1" w:themeTint="BF"/>
                <w:sz w:val="28"/>
                <w:szCs w:val="28"/>
                <w:lang w:eastAsia="sv-SE"/>
              </w:rPr>
            </w:pPr>
          </w:p>
        </w:tc>
      </w:tr>
      <w:tr w:rsidR="00A20158" w:rsidRPr="00965F42" w14:paraId="57F692C3" w14:textId="77777777" w:rsidTr="00632FCC">
        <w:trPr>
          <w:gridAfter w:val="1"/>
          <w:wAfter w:w="142" w:type="dxa"/>
          <w:tblHeader/>
        </w:trPr>
        <w:tc>
          <w:tcPr>
            <w:tcW w:w="26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5AB73F1" w14:textId="77777777" w:rsidR="00A20158" w:rsidRPr="00965F42" w:rsidRDefault="00A20158" w:rsidP="00632FCC">
            <w:pPr>
              <w:spacing w:after="240" w:line="240" w:lineRule="auto"/>
              <w:rPr>
                <w:rFonts w:eastAsiaTheme="minorEastAsia"/>
                <w:b/>
                <w:bCs/>
                <w:color w:val="000000" w:themeColor="text1"/>
                <w:sz w:val="24"/>
                <w:szCs w:val="24"/>
                <w:lang w:eastAsia="sv-SE"/>
              </w:rPr>
            </w:pPr>
            <w:r w:rsidRPr="00965F42">
              <w:rPr>
                <w:rFonts w:eastAsiaTheme="minorEastAsia"/>
                <w:b/>
                <w:bCs/>
                <w:color w:val="000000" w:themeColor="text1"/>
                <w:sz w:val="24"/>
                <w:szCs w:val="24"/>
                <w:lang w:eastAsia="sv-SE"/>
              </w:rPr>
              <w:t>2 rivaroxaban</w:t>
            </w:r>
          </w:p>
        </w:tc>
        <w:tc>
          <w:tcPr>
            <w:tcW w:w="498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D8BD1A5" w14:textId="77777777" w:rsidR="00A20158" w:rsidRPr="00965F42" w:rsidRDefault="00A20158" w:rsidP="00632FCC">
            <w:pPr>
              <w:spacing w:after="240" w:line="240" w:lineRule="auto"/>
              <w:ind w:right="2858"/>
              <w:rPr>
                <w:rFonts w:eastAsiaTheme="minorEastAsia"/>
                <w:color w:val="000000" w:themeColor="text1"/>
                <w:sz w:val="24"/>
                <w:szCs w:val="24"/>
                <w:lang w:eastAsia="sv-SE"/>
              </w:rPr>
            </w:pPr>
            <w:r w:rsidRPr="00965F42">
              <w:rPr>
                <w:rFonts w:eastAsiaTheme="minorEastAsia"/>
                <w:color w:val="000000" w:themeColor="text1"/>
                <w:sz w:val="24"/>
                <w:szCs w:val="24"/>
                <w:lang w:eastAsia="sv-SE"/>
              </w:rPr>
              <w:t>Xarelto/Rivaroxaban</w:t>
            </w:r>
          </w:p>
        </w:tc>
      </w:tr>
      <w:tr w:rsidR="00A20158" w:rsidRPr="00965F42" w14:paraId="3EFD302C" w14:textId="77777777" w:rsidTr="00632FCC">
        <w:trPr>
          <w:gridAfter w:val="1"/>
          <w:wAfter w:w="142" w:type="dxa"/>
          <w:tblHeader/>
        </w:trPr>
        <w:tc>
          <w:tcPr>
            <w:tcW w:w="26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9692B4B" w14:textId="77777777" w:rsidR="00A20158" w:rsidRPr="00965F42" w:rsidRDefault="00A20158" w:rsidP="00632FCC">
            <w:pPr>
              <w:spacing w:after="240" w:line="240" w:lineRule="auto"/>
              <w:rPr>
                <w:rFonts w:eastAsiaTheme="minorEastAsia"/>
                <w:color w:val="000000" w:themeColor="text1"/>
                <w:sz w:val="24"/>
                <w:szCs w:val="24"/>
                <w:lang w:eastAsia="sv-SE"/>
              </w:rPr>
            </w:pPr>
            <w:r w:rsidRPr="00965F42">
              <w:rPr>
                <w:rFonts w:eastAsiaTheme="minorEastAsia"/>
                <w:b/>
                <w:bCs/>
                <w:color w:val="000000" w:themeColor="text1"/>
                <w:sz w:val="24"/>
                <w:szCs w:val="24"/>
                <w:lang w:eastAsia="sv-SE"/>
              </w:rPr>
              <w:t>3 edoxaban</w:t>
            </w:r>
          </w:p>
        </w:tc>
        <w:tc>
          <w:tcPr>
            <w:tcW w:w="498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2AE97AA" w14:textId="77777777" w:rsidR="00A20158" w:rsidRPr="00965F42" w:rsidRDefault="00A20158" w:rsidP="00632FCC">
            <w:pPr>
              <w:spacing w:after="240" w:line="240" w:lineRule="auto"/>
              <w:rPr>
                <w:rFonts w:eastAsiaTheme="minorEastAsia"/>
                <w:color w:val="000000" w:themeColor="text1"/>
                <w:sz w:val="24"/>
                <w:szCs w:val="24"/>
                <w:lang w:eastAsia="sv-SE"/>
              </w:rPr>
            </w:pPr>
            <w:r w:rsidRPr="00965F42">
              <w:rPr>
                <w:rFonts w:eastAsiaTheme="minorEastAsia"/>
                <w:color w:val="000000" w:themeColor="text1"/>
                <w:sz w:val="24"/>
                <w:szCs w:val="24"/>
                <w:lang w:eastAsia="sv-SE"/>
              </w:rPr>
              <w:t>Lixiana</w:t>
            </w:r>
          </w:p>
        </w:tc>
      </w:tr>
      <w:tr w:rsidR="00A20158" w:rsidRPr="003A5356" w14:paraId="36E440D9" w14:textId="77777777" w:rsidTr="00632FCC">
        <w:trPr>
          <w:gridAfter w:val="1"/>
          <w:wAfter w:w="142" w:type="dxa"/>
          <w:tblHeader/>
        </w:trPr>
        <w:tc>
          <w:tcPr>
            <w:tcW w:w="26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22DD28B" w14:textId="77777777" w:rsidR="00A20158" w:rsidRPr="00965F42" w:rsidRDefault="00A20158" w:rsidP="00632FCC">
            <w:pPr>
              <w:spacing w:after="240" w:line="240" w:lineRule="auto"/>
              <w:rPr>
                <w:rFonts w:eastAsiaTheme="minorEastAsia"/>
                <w:color w:val="000000" w:themeColor="text1"/>
                <w:sz w:val="24"/>
                <w:szCs w:val="24"/>
                <w:lang w:eastAsia="sv-SE"/>
              </w:rPr>
            </w:pPr>
            <w:r w:rsidRPr="00965F42">
              <w:rPr>
                <w:rFonts w:eastAsiaTheme="minorEastAsia"/>
                <w:b/>
                <w:bCs/>
                <w:color w:val="000000" w:themeColor="text1"/>
                <w:sz w:val="24"/>
                <w:szCs w:val="24"/>
                <w:lang w:eastAsia="sv-SE"/>
              </w:rPr>
              <w:t>3 apixaban</w:t>
            </w:r>
          </w:p>
        </w:tc>
        <w:tc>
          <w:tcPr>
            <w:tcW w:w="498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2F2C7B6" w14:textId="77777777" w:rsidR="00A20158" w:rsidRPr="003A5356" w:rsidRDefault="00A20158" w:rsidP="00632FCC">
            <w:pPr>
              <w:spacing w:after="240" w:line="240" w:lineRule="auto"/>
              <w:rPr>
                <w:rFonts w:eastAsiaTheme="minorEastAsia"/>
                <w:color w:val="000000" w:themeColor="text1"/>
                <w:sz w:val="24"/>
                <w:szCs w:val="24"/>
                <w:lang w:eastAsia="sv-SE"/>
              </w:rPr>
            </w:pPr>
            <w:r w:rsidRPr="00965F42">
              <w:rPr>
                <w:rFonts w:eastAsiaTheme="minorEastAsia"/>
                <w:color w:val="000000" w:themeColor="text1"/>
                <w:sz w:val="24"/>
                <w:szCs w:val="24"/>
                <w:lang w:eastAsia="sv-SE"/>
              </w:rPr>
              <w:t>Eliquis</w:t>
            </w:r>
          </w:p>
        </w:tc>
      </w:tr>
      <w:tr w:rsidR="00A20158" w:rsidRPr="00CE4C1D" w14:paraId="460C20E1" w14:textId="77777777" w:rsidTr="00632FCC">
        <w:trPr>
          <w:trHeight w:val="718"/>
          <w:tblHeader/>
        </w:trPr>
        <w:tc>
          <w:tcPr>
            <w:tcW w:w="7798" w:type="dxa"/>
            <w:gridSpan w:val="4"/>
            <w:tcBorders>
              <w:top w:val="nil"/>
              <w:left w:val="nil"/>
              <w:bottom w:val="nil"/>
              <w:right w:val="nil"/>
            </w:tcBorders>
            <w:shd w:val="clear" w:color="auto" w:fill="auto"/>
            <w:vAlign w:val="center"/>
            <w:hideMark/>
          </w:tcPr>
          <w:p w14:paraId="6D98935B" w14:textId="77777777" w:rsidR="00A20158" w:rsidRDefault="00A20158" w:rsidP="00632FCC">
            <w:pPr>
              <w:tabs>
                <w:tab w:val="clear" w:pos="284"/>
              </w:tabs>
              <w:spacing w:after="168" w:line="240" w:lineRule="auto"/>
            </w:pPr>
          </w:p>
          <w:p w14:paraId="115A08B1" w14:textId="77777777" w:rsidR="00A20158" w:rsidRPr="000167A1" w:rsidRDefault="00A20158" w:rsidP="00632FCC">
            <w:pPr>
              <w:tabs>
                <w:tab w:val="clear" w:pos="284"/>
              </w:tabs>
              <w:spacing w:after="168" w:line="240" w:lineRule="auto"/>
              <w:rPr>
                <w:rFonts w:asciiTheme="minorHAnsi" w:eastAsiaTheme="minorEastAsia" w:hAnsiTheme="minorHAnsi"/>
                <w:b/>
                <w:bCs/>
                <w:color w:val="404040" w:themeColor="text1" w:themeTint="BF"/>
                <w:sz w:val="24"/>
                <w:szCs w:val="24"/>
                <w:lang w:eastAsia="sv-SE"/>
              </w:rPr>
            </w:pPr>
            <w:r w:rsidRPr="000167A1">
              <w:rPr>
                <w:rFonts w:asciiTheme="minorHAnsi" w:eastAsiaTheme="minorEastAsia" w:hAnsiTheme="minorHAnsi"/>
                <w:b/>
                <w:bCs/>
                <w:color w:val="404040" w:themeColor="text1" w:themeTint="BF"/>
                <w:sz w:val="24"/>
                <w:szCs w:val="24"/>
                <w:lang w:eastAsia="sv-SE"/>
              </w:rPr>
              <w:t>Vitamin-K antagonist</w:t>
            </w:r>
          </w:p>
        </w:tc>
      </w:tr>
      <w:tr w:rsidR="00A20158" w:rsidRPr="00CE4C1D" w14:paraId="323E9A0E" w14:textId="77777777" w:rsidTr="00632FCC">
        <w:trPr>
          <w:trHeight w:val="504"/>
          <w:tblHeader/>
        </w:trPr>
        <w:tc>
          <w:tcPr>
            <w:tcW w:w="48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A562284" w14:textId="77777777" w:rsidR="00A20158" w:rsidRPr="00CE4C1D"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b/>
                <w:bCs/>
                <w:color w:val="404040" w:themeColor="text1" w:themeTint="BF"/>
                <w:sz w:val="24"/>
                <w:szCs w:val="24"/>
                <w:lang w:eastAsia="sv-SE"/>
              </w:rPr>
              <w:t>warfarin</w:t>
            </w:r>
          </w:p>
        </w:tc>
        <w:tc>
          <w:tcPr>
            <w:tcW w:w="29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577066F" w14:textId="77777777" w:rsidR="00A20158" w:rsidRPr="00CE4C1D"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color w:val="404040" w:themeColor="text1" w:themeTint="BF"/>
                <w:sz w:val="24"/>
                <w:szCs w:val="24"/>
                <w:lang w:eastAsia="sv-SE"/>
              </w:rPr>
              <w:t>Warfarin</w:t>
            </w:r>
          </w:p>
        </w:tc>
      </w:tr>
      <w:tr w:rsidR="00A20158" w:rsidRPr="00CE4C1D" w14:paraId="36DC3B5C" w14:textId="77777777" w:rsidTr="00632FCC">
        <w:trPr>
          <w:trHeight w:val="718"/>
          <w:tblHeader/>
        </w:trPr>
        <w:tc>
          <w:tcPr>
            <w:tcW w:w="7798" w:type="dxa"/>
            <w:gridSpan w:val="4"/>
            <w:tcBorders>
              <w:top w:val="nil"/>
              <w:left w:val="nil"/>
              <w:bottom w:val="nil"/>
              <w:right w:val="nil"/>
            </w:tcBorders>
            <w:shd w:val="clear" w:color="auto" w:fill="auto"/>
            <w:vAlign w:val="center"/>
            <w:hideMark/>
          </w:tcPr>
          <w:p w14:paraId="26A8DABD" w14:textId="77777777" w:rsidR="00A20158" w:rsidRPr="000167A1" w:rsidRDefault="00A20158" w:rsidP="00632FCC">
            <w:pPr>
              <w:tabs>
                <w:tab w:val="clear" w:pos="284"/>
              </w:tabs>
              <w:spacing w:after="168" w:line="240" w:lineRule="auto"/>
              <w:rPr>
                <w:rFonts w:asciiTheme="minorHAnsi" w:eastAsiaTheme="minorEastAsia" w:hAnsiTheme="minorHAnsi"/>
                <w:b/>
                <w:bCs/>
                <w:color w:val="404040" w:themeColor="text1" w:themeTint="BF"/>
                <w:sz w:val="24"/>
                <w:szCs w:val="24"/>
                <w:lang w:eastAsia="sv-SE"/>
              </w:rPr>
            </w:pPr>
            <w:r>
              <w:br/>
            </w:r>
            <w:r w:rsidRPr="000167A1">
              <w:rPr>
                <w:rFonts w:asciiTheme="minorHAnsi" w:eastAsiaTheme="minorEastAsia" w:hAnsiTheme="minorHAnsi"/>
                <w:b/>
                <w:bCs/>
                <w:color w:val="404040" w:themeColor="text1" w:themeTint="BF"/>
                <w:sz w:val="24"/>
                <w:szCs w:val="24"/>
                <w:lang w:eastAsia="sv-SE"/>
              </w:rPr>
              <w:t>Arytmibehandling</w:t>
            </w:r>
          </w:p>
        </w:tc>
      </w:tr>
      <w:tr w:rsidR="00A20158" w:rsidRPr="00CE4C1D" w14:paraId="6B002500" w14:textId="77777777" w:rsidTr="00632FCC">
        <w:trPr>
          <w:trHeight w:val="504"/>
          <w:tblHeader/>
        </w:trPr>
        <w:tc>
          <w:tcPr>
            <w:tcW w:w="48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9DE02D4" w14:textId="77777777" w:rsidR="00A20158" w:rsidRPr="00CE4C1D"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b/>
                <w:bCs/>
                <w:color w:val="404040" w:themeColor="text1" w:themeTint="BF"/>
                <w:sz w:val="24"/>
                <w:szCs w:val="24"/>
                <w:lang w:eastAsia="sv-SE"/>
              </w:rPr>
              <w:t>bisoprolol</w:t>
            </w:r>
          </w:p>
        </w:tc>
        <w:tc>
          <w:tcPr>
            <w:tcW w:w="29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51F40A8" w14:textId="77777777" w:rsidR="00A20158" w:rsidRPr="00CE4C1D"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color w:val="404040" w:themeColor="text1" w:themeTint="BF"/>
                <w:sz w:val="24"/>
                <w:szCs w:val="24"/>
                <w:lang w:eastAsia="sv-SE"/>
              </w:rPr>
              <w:t>Bisoprolol</w:t>
            </w:r>
          </w:p>
        </w:tc>
      </w:tr>
      <w:tr w:rsidR="00A20158" w:rsidRPr="00CE4C1D" w14:paraId="2FA1FA1F" w14:textId="77777777" w:rsidTr="00632FCC">
        <w:trPr>
          <w:trHeight w:val="504"/>
          <w:tblHeader/>
        </w:trPr>
        <w:tc>
          <w:tcPr>
            <w:tcW w:w="48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F986523" w14:textId="77777777" w:rsidR="00A20158" w:rsidRPr="00CE4C1D"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b/>
                <w:bCs/>
                <w:color w:val="404040" w:themeColor="text1" w:themeTint="BF"/>
                <w:sz w:val="24"/>
                <w:szCs w:val="24"/>
                <w:lang w:eastAsia="sv-SE"/>
              </w:rPr>
              <w:t>metoprolol</w:t>
            </w:r>
          </w:p>
        </w:tc>
        <w:tc>
          <w:tcPr>
            <w:tcW w:w="29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46CDE89" w14:textId="77777777" w:rsidR="00A20158" w:rsidRPr="00CE4C1D"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color w:val="404040" w:themeColor="text1" w:themeTint="BF"/>
                <w:sz w:val="24"/>
                <w:szCs w:val="24"/>
                <w:lang w:eastAsia="sv-SE"/>
              </w:rPr>
              <w:t>Metoprolol</w:t>
            </w:r>
          </w:p>
        </w:tc>
      </w:tr>
      <w:tr w:rsidR="00A20158" w:rsidRPr="00CE4C1D" w14:paraId="1E34DD3A" w14:textId="77777777" w:rsidTr="00632FCC">
        <w:trPr>
          <w:trHeight w:val="495"/>
          <w:tblHeader/>
        </w:trPr>
        <w:tc>
          <w:tcPr>
            <w:tcW w:w="48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405549F" w14:textId="77777777" w:rsidR="00A20158" w:rsidRPr="00CE4C1D" w:rsidRDefault="00A20158" w:rsidP="00632FCC">
            <w:pPr>
              <w:tabs>
                <w:tab w:val="clear" w:pos="284"/>
              </w:tabs>
              <w:spacing w:after="240" w:line="240" w:lineRule="auto"/>
              <w:rPr>
                <w:rFonts w:asciiTheme="minorHAnsi" w:eastAsiaTheme="minorEastAsia" w:hAnsiTheme="minorHAnsi"/>
                <w:sz w:val="24"/>
                <w:szCs w:val="24"/>
              </w:rPr>
            </w:pPr>
            <w:r w:rsidRPr="79F3EFC6">
              <w:rPr>
                <w:rFonts w:asciiTheme="minorHAnsi" w:eastAsiaTheme="minorEastAsia" w:hAnsiTheme="minorHAnsi"/>
                <w:b/>
                <w:bCs/>
                <w:color w:val="404040" w:themeColor="text1" w:themeTint="BF"/>
                <w:sz w:val="24"/>
                <w:szCs w:val="24"/>
                <w:lang w:eastAsia="sv-SE"/>
              </w:rPr>
              <w:t>verapamil</w:t>
            </w:r>
          </w:p>
        </w:tc>
        <w:tc>
          <w:tcPr>
            <w:tcW w:w="29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B8C3E0B" w14:textId="77777777" w:rsidR="00A20158" w:rsidRPr="00CE4C1D"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color w:val="404040" w:themeColor="text1" w:themeTint="BF"/>
                <w:sz w:val="24"/>
                <w:szCs w:val="24"/>
                <w:lang w:eastAsia="sv-SE"/>
              </w:rPr>
              <w:t>Isoptin</w:t>
            </w:r>
          </w:p>
        </w:tc>
      </w:tr>
      <w:tr w:rsidR="00A20158" w:rsidRPr="00CE4C1D" w14:paraId="3595BAF5" w14:textId="77777777" w:rsidTr="00632FCC">
        <w:trPr>
          <w:trHeight w:val="504"/>
          <w:tblHeader/>
        </w:trPr>
        <w:tc>
          <w:tcPr>
            <w:tcW w:w="48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D17BA82" w14:textId="77777777" w:rsidR="00A20158" w:rsidRPr="00CE4C1D"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b/>
                <w:bCs/>
                <w:color w:val="404040" w:themeColor="text1" w:themeTint="BF"/>
                <w:sz w:val="24"/>
                <w:szCs w:val="24"/>
                <w:lang w:eastAsia="sv-SE"/>
              </w:rPr>
              <w:t>digoxin</w:t>
            </w:r>
          </w:p>
        </w:tc>
        <w:tc>
          <w:tcPr>
            <w:tcW w:w="29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25AEF28" w14:textId="77777777" w:rsidR="00A20158" w:rsidRPr="00CE4C1D"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79F3EFC6">
              <w:rPr>
                <w:rFonts w:asciiTheme="minorHAnsi" w:eastAsiaTheme="minorEastAsia" w:hAnsiTheme="minorHAnsi"/>
                <w:color w:val="404040" w:themeColor="text1" w:themeTint="BF"/>
                <w:sz w:val="24"/>
                <w:szCs w:val="24"/>
                <w:lang w:eastAsia="sv-SE"/>
              </w:rPr>
              <w:t>Digoxin</w:t>
            </w:r>
          </w:p>
        </w:tc>
      </w:tr>
    </w:tbl>
    <w:p w14:paraId="4C321249" w14:textId="77777777" w:rsidR="00A20158" w:rsidRDefault="00A20158" w:rsidP="00A20158">
      <w:pPr>
        <w:rPr>
          <w:sz w:val="24"/>
          <w:szCs w:val="24"/>
        </w:rPr>
      </w:pPr>
    </w:p>
    <w:p w14:paraId="37F446B9" w14:textId="77777777" w:rsidR="00A20158" w:rsidRDefault="00A20158" w:rsidP="00A20158">
      <w:pPr>
        <w:tabs>
          <w:tab w:val="clear" w:pos="284"/>
        </w:tabs>
        <w:spacing w:after="120" w:line="260" w:lineRule="atLeast"/>
        <w:rPr>
          <w:sz w:val="24"/>
          <w:szCs w:val="24"/>
        </w:rPr>
      </w:pPr>
      <w:r>
        <w:rPr>
          <w:sz w:val="24"/>
          <w:szCs w:val="24"/>
        </w:rPr>
        <w:br w:type="page"/>
      </w:r>
    </w:p>
    <w:p w14:paraId="3149F6A2" w14:textId="77777777" w:rsidR="00A20158" w:rsidRPr="00965F42" w:rsidRDefault="00A20158" w:rsidP="00A20158">
      <w:pPr>
        <w:keepNext/>
        <w:spacing w:before="360" w:after="80" w:line="240" w:lineRule="auto"/>
        <w:outlineLvl w:val="1"/>
        <w:rPr>
          <w:rFonts w:asciiTheme="majorHAnsi" w:eastAsiaTheme="majorEastAsia" w:hAnsiTheme="majorHAnsi"/>
          <w:b/>
          <w:bCs/>
          <w:sz w:val="24"/>
          <w:szCs w:val="24"/>
        </w:rPr>
      </w:pPr>
      <w:r w:rsidRPr="00965F42">
        <w:rPr>
          <w:rFonts w:asciiTheme="majorHAnsi" w:eastAsiaTheme="majorEastAsia" w:hAnsiTheme="majorHAnsi"/>
          <w:b/>
          <w:bCs/>
          <w:sz w:val="24"/>
          <w:szCs w:val="24"/>
        </w:rPr>
        <w:lastRenderedPageBreak/>
        <w:t>Värdering av embolirisk</w:t>
      </w:r>
    </w:p>
    <w:p w14:paraId="7D876D01" w14:textId="77777777" w:rsidR="00A20158" w:rsidRPr="00965F42" w:rsidRDefault="00A20158" w:rsidP="00A20158">
      <w:pPr>
        <w:rPr>
          <w:sz w:val="24"/>
          <w:szCs w:val="24"/>
        </w:rPr>
      </w:pPr>
      <w:r w:rsidRPr="00965F42">
        <w:rPr>
          <w:sz w:val="24"/>
          <w:szCs w:val="24"/>
        </w:rPr>
        <w:t xml:space="preserve">I europeiska kardiologföreningens guidelines 2024 rekommenderas att tidigare använd algoritm för värdering av embolirisken, CHA2DS2-VASc, ersätts med </w:t>
      </w:r>
    </w:p>
    <w:p w14:paraId="4F6DBC7E" w14:textId="77777777" w:rsidR="00A20158" w:rsidRPr="00965F42" w:rsidRDefault="00A20158" w:rsidP="00A20158">
      <w:pPr>
        <w:rPr>
          <w:sz w:val="24"/>
          <w:szCs w:val="24"/>
        </w:rPr>
      </w:pPr>
      <w:r w:rsidRPr="00965F42">
        <w:rPr>
          <w:sz w:val="24"/>
          <w:szCs w:val="24"/>
        </w:rPr>
        <w:t xml:space="preserve">CHA2DS2-VA dvs ingen hänsyn tas längre till kön. Kvinnlig kön anses numera vara en åldersberoende riskfaktor snarare än en riskfaktor per se. Förändringen innebär därtill en förenkling gällande patienter identifierande sig som icke-binära, transpersoner eller för patienter behandlade med könshormoner. </w:t>
      </w:r>
    </w:p>
    <w:p w14:paraId="3FE514CD" w14:textId="77777777" w:rsidR="00A20158" w:rsidRDefault="00A20158" w:rsidP="00A20158">
      <w:pPr>
        <w:keepNext/>
        <w:spacing w:before="360" w:after="80" w:line="240" w:lineRule="auto"/>
        <w:outlineLvl w:val="1"/>
      </w:pPr>
      <w:r w:rsidRPr="00965F42">
        <w:rPr>
          <w:rFonts w:eastAsiaTheme="minorEastAsia"/>
          <w:sz w:val="24"/>
          <w:szCs w:val="24"/>
        </w:rPr>
        <w:t>Algoritmen har bristande valideringen men är ändå den som rekommenderas i väntan på randomiserade kontrollstudier. Tex tas ingen hänsyn till kronisk njursjukdom, övervikt, hyperlipidemi eller rökning vilka är faktorer som visat sig medföra ökad risk för stroke vid förmaksflimmer. Vid 1 poäng bör oral antikoagulantia övervägas och med beaktande av riskfaktorerna ovan. Vid 2 poäng eller fler rekommenderas behandling med oral antikoagulation (direkta trombinhämmare och faktor Xa-hämmare). Vid 0 poäng rekommenderas ingen antitrombotisk behandling.</w:t>
      </w:r>
    </w:p>
    <w:p w14:paraId="525BCCF2" w14:textId="77777777" w:rsidR="00A20158" w:rsidRDefault="00A20158" w:rsidP="00A20158"/>
    <w:tbl>
      <w:tblPr>
        <w:tblW w:w="0" w:type="auto"/>
        <w:tblInd w:w="93" w:type="dxa"/>
        <w:tblLayout w:type="fixed"/>
        <w:tblLook w:val="01E0" w:firstRow="1" w:lastRow="1" w:firstColumn="1" w:lastColumn="1" w:noHBand="0" w:noVBand="0"/>
      </w:tblPr>
      <w:tblGrid>
        <w:gridCol w:w="513"/>
        <w:gridCol w:w="4660"/>
        <w:gridCol w:w="1812"/>
      </w:tblGrid>
      <w:tr w:rsidR="00A20158" w:rsidRPr="003A5356" w14:paraId="7913C1D0" w14:textId="77777777" w:rsidTr="00632FCC">
        <w:trPr>
          <w:trHeight w:hRule="exact" w:val="487"/>
        </w:trPr>
        <w:tc>
          <w:tcPr>
            <w:tcW w:w="5173" w:type="dxa"/>
            <w:gridSpan w:val="2"/>
            <w:tcBorders>
              <w:top w:val="single" w:sz="8" w:space="0" w:color="4F81BB"/>
              <w:left w:val="single" w:sz="8" w:space="0" w:color="4F81BB"/>
              <w:bottom w:val="nil"/>
              <w:right w:val="nil"/>
            </w:tcBorders>
          </w:tcPr>
          <w:p w14:paraId="26D23CE7" w14:textId="77777777" w:rsidR="00A20158" w:rsidRPr="003A5356" w:rsidRDefault="00A20158" w:rsidP="00632FCC">
            <w:pPr>
              <w:rPr>
                <w:rFonts w:eastAsia="Garamond" w:cs="Garamond"/>
                <w:b/>
                <w:bCs/>
                <w:lang w:val="en-US"/>
              </w:rPr>
            </w:pPr>
            <w:r w:rsidRPr="003A5356">
              <w:rPr>
                <w:rFonts w:eastAsia="Garamond" w:cs="Garamond"/>
                <w:b/>
                <w:bCs/>
                <w:lang w:val="en-US"/>
              </w:rPr>
              <w:t>R</w:t>
            </w:r>
            <w:r w:rsidRPr="003A5356">
              <w:rPr>
                <w:rFonts w:eastAsia="Garamond" w:cs="Garamond"/>
                <w:b/>
                <w:bCs/>
                <w:spacing w:val="-1"/>
                <w:lang w:val="en-US"/>
              </w:rPr>
              <w:t>i</w:t>
            </w:r>
            <w:r w:rsidRPr="003A5356">
              <w:rPr>
                <w:rFonts w:eastAsia="Garamond" w:cs="Garamond"/>
                <w:b/>
                <w:bCs/>
                <w:lang w:val="en-US"/>
              </w:rPr>
              <w:t>s</w:t>
            </w:r>
            <w:r w:rsidRPr="003A5356">
              <w:rPr>
                <w:rFonts w:eastAsia="Garamond" w:cs="Garamond"/>
                <w:b/>
                <w:bCs/>
                <w:spacing w:val="-1"/>
                <w:lang w:val="en-US"/>
              </w:rPr>
              <w:t>k</w:t>
            </w:r>
            <w:r w:rsidRPr="003A5356">
              <w:rPr>
                <w:rFonts w:eastAsia="Garamond" w:cs="Garamond"/>
                <w:b/>
                <w:bCs/>
                <w:spacing w:val="-6"/>
                <w:lang w:val="en-US"/>
              </w:rPr>
              <w:t>f</w:t>
            </w:r>
            <w:r w:rsidRPr="003A5356">
              <w:rPr>
                <w:rFonts w:eastAsia="Garamond" w:cs="Garamond"/>
                <w:b/>
                <w:bCs/>
                <w:spacing w:val="-3"/>
                <w:lang w:val="en-US"/>
              </w:rPr>
              <w:t>a</w:t>
            </w:r>
            <w:r w:rsidRPr="003A5356">
              <w:rPr>
                <w:rFonts w:eastAsia="Garamond" w:cs="Garamond"/>
                <w:b/>
                <w:bCs/>
                <w:spacing w:val="-1"/>
                <w:lang w:val="en-US"/>
              </w:rPr>
              <w:t>ktor</w:t>
            </w:r>
          </w:p>
        </w:tc>
        <w:tc>
          <w:tcPr>
            <w:tcW w:w="1812" w:type="dxa"/>
            <w:tcBorders>
              <w:top w:val="single" w:sz="8" w:space="0" w:color="4F81BB"/>
              <w:left w:val="nil"/>
              <w:bottom w:val="nil"/>
              <w:right w:val="single" w:sz="8" w:space="0" w:color="4F81BB"/>
            </w:tcBorders>
          </w:tcPr>
          <w:p w14:paraId="6A772D5A" w14:textId="77777777" w:rsidR="00A20158" w:rsidRPr="003A5356" w:rsidRDefault="00A20158" w:rsidP="00632FCC">
            <w:pPr>
              <w:rPr>
                <w:rFonts w:eastAsia="Garamond" w:cs="Garamond"/>
                <w:b/>
                <w:bCs/>
                <w:lang w:val="en-US"/>
              </w:rPr>
            </w:pPr>
            <w:r w:rsidRPr="003A5356">
              <w:rPr>
                <w:rFonts w:eastAsia="Garamond" w:cs="Garamond"/>
                <w:b/>
                <w:bCs/>
                <w:spacing w:val="-10"/>
                <w:lang w:val="en-US"/>
              </w:rPr>
              <w:t>P</w:t>
            </w:r>
            <w:r w:rsidRPr="003A5356">
              <w:rPr>
                <w:rFonts w:eastAsia="Garamond" w:cs="Garamond"/>
                <w:b/>
                <w:bCs/>
                <w:spacing w:val="-1"/>
                <w:lang w:val="en-US"/>
              </w:rPr>
              <w:t>o</w:t>
            </w:r>
            <w:r w:rsidRPr="003A5356">
              <w:rPr>
                <w:rFonts w:eastAsia="Garamond" w:cs="Garamond"/>
                <w:b/>
                <w:bCs/>
                <w:lang w:val="en-US"/>
              </w:rPr>
              <w:t>ä</w:t>
            </w:r>
            <w:r w:rsidRPr="003A5356">
              <w:rPr>
                <w:rFonts w:eastAsia="Garamond" w:cs="Garamond"/>
                <w:b/>
                <w:bCs/>
                <w:spacing w:val="-1"/>
                <w:lang w:val="en-US"/>
              </w:rPr>
              <w:t>n</w:t>
            </w:r>
            <w:r w:rsidRPr="003A5356">
              <w:rPr>
                <w:rFonts w:eastAsia="Garamond" w:cs="Garamond"/>
                <w:b/>
                <w:bCs/>
                <w:lang w:val="en-US"/>
              </w:rPr>
              <w:t>g</w:t>
            </w:r>
          </w:p>
        </w:tc>
      </w:tr>
      <w:tr w:rsidR="00A20158" w:rsidRPr="003A5356" w14:paraId="2080D65D" w14:textId="77777777" w:rsidTr="00632FCC">
        <w:trPr>
          <w:trHeight w:hRule="exact" w:val="250"/>
        </w:trPr>
        <w:tc>
          <w:tcPr>
            <w:tcW w:w="513" w:type="dxa"/>
            <w:tcBorders>
              <w:top w:val="nil"/>
              <w:left w:val="single" w:sz="8" w:space="0" w:color="4F81BB"/>
              <w:bottom w:val="nil"/>
              <w:right w:val="nil"/>
            </w:tcBorders>
            <w:hideMark/>
          </w:tcPr>
          <w:p w14:paraId="05FF4CE4" w14:textId="77777777" w:rsidR="00A20158" w:rsidRPr="003A5356" w:rsidRDefault="00A20158" w:rsidP="00632FCC">
            <w:pPr>
              <w:rPr>
                <w:rFonts w:eastAsia="Garamond" w:cs="Garamond"/>
                <w:lang w:val="en-US"/>
              </w:rPr>
            </w:pPr>
            <w:r w:rsidRPr="003A5356">
              <w:rPr>
                <w:rFonts w:eastAsia="Garamond" w:cs="Garamond"/>
                <w:b/>
                <w:bCs/>
                <w:lang w:val="en-US"/>
              </w:rPr>
              <w:t>C</w:t>
            </w:r>
          </w:p>
        </w:tc>
        <w:tc>
          <w:tcPr>
            <w:tcW w:w="4660" w:type="dxa"/>
            <w:hideMark/>
          </w:tcPr>
          <w:p w14:paraId="2E3571EA" w14:textId="77777777" w:rsidR="00A20158" w:rsidRPr="003A5356" w:rsidRDefault="00A20158" w:rsidP="00632FCC">
            <w:pPr>
              <w:rPr>
                <w:rFonts w:eastAsia="Garamond" w:cs="Garamond"/>
                <w:lang w:val="en-US"/>
              </w:rPr>
            </w:pPr>
            <w:r w:rsidRPr="003A5356">
              <w:rPr>
                <w:rFonts w:eastAsia="Garamond" w:cs="Garamond"/>
                <w:lang w:val="en-US"/>
              </w:rPr>
              <w:t>Hjä</w:t>
            </w:r>
            <w:r w:rsidRPr="003A5356">
              <w:rPr>
                <w:rFonts w:eastAsia="Garamond" w:cs="Garamond"/>
                <w:spacing w:val="-1"/>
                <w:lang w:val="en-US"/>
              </w:rPr>
              <w:t>rt</w:t>
            </w:r>
            <w:r w:rsidRPr="003A5356">
              <w:rPr>
                <w:rFonts w:eastAsia="Garamond" w:cs="Garamond"/>
                <w:spacing w:val="-7"/>
                <w:lang w:val="en-US"/>
              </w:rPr>
              <w:t>s</w:t>
            </w:r>
            <w:r w:rsidRPr="003A5356">
              <w:rPr>
                <w:rFonts w:eastAsia="Garamond" w:cs="Garamond"/>
                <w:spacing w:val="-3"/>
                <w:lang w:val="en-US"/>
              </w:rPr>
              <w:t>v</w:t>
            </w:r>
            <w:r w:rsidRPr="003A5356">
              <w:rPr>
                <w:rFonts w:eastAsia="Garamond" w:cs="Garamond"/>
                <w:lang w:val="en-US"/>
              </w:rPr>
              <w:t>ik</w:t>
            </w:r>
            <w:r w:rsidRPr="003A5356">
              <w:rPr>
                <w:rFonts w:eastAsia="Garamond" w:cs="Garamond"/>
                <w:spacing w:val="-1"/>
                <w:lang w:val="en-US"/>
              </w:rPr>
              <w:t>t</w:t>
            </w:r>
            <w:r w:rsidRPr="003A5356">
              <w:rPr>
                <w:rFonts w:eastAsia="Garamond" w:cs="Garamond"/>
                <w:lang w:val="en-US"/>
              </w:rPr>
              <w:t>/</w:t>
            </w:r>
            <w:r w:rsidRPr="003A5356">
              <w:rPr>
                <w:rFonts w:eastAsia="Garamond" w:cs="Garamond"/>
                <w:spacing w:val="-3"/>
                <w:lang w:val="en-US"/>
              </w:rPr>
              <w:t>Nedsatt</w:t>
            </w:r>
            <w:r w:rsidRPr="003A5356">
              <w:rPr>
                <w:rFonts w:eastAsia="Garamond" w:cs="Garamond"/>
                <w:spacing w:val="6"/>
                <w:lang w:val="en-US"/>
              </w:rPr>
              <w:t xml:space="preserve"> </w:t>
            </w:r>
            <w:r w:rsidRPr="003A5356">
              <w:rPr>
                <w:rFonts w:eastAsia="Garamond" w:cs="Garamond"/>
                <w:lang w:val="en-US"/>
              </w:rPr>
              <w:t>v</w:t>
            </w:r>
            <w:r w:rsidRPr="003A5356">
              <w:rPr>
                <w:rFonts w:eastAsia="Garamond" w:cs="Garamond"/>
                <w:spacing w:val="-4"/>
                <w:lang w:val="en-US"/>
              </w:rPr>
              <w:t>ä</w:t>
            </w:r>
            <w:r w:rsidRPr="003A5356">
              <w:rPr>
                <w:rFonts w:eastAsia="Garamond" w:cs="Garamond"/>
                <w:spacing w:val="-1"/>
                <w:lang w:val="en-US"/>
              </w:rPr>
              <w:t>n</w:t>
            </w:r>
            <w:r w:rsidRPr="003A5356">
              <w:rPr>
                <w:rFonts w:eastAsia="Garamond" w:cs="Garamond"/>
                <w:spacing w:val="-10"/>
                <w:lang w:val="en-US"/>
              </w:rPr>
              <w:t>s</w:t>
            </w:r>
            <w:r w:rsidRPr="003A5356">
              <w:rPr>
                <w:rFonts w:eastAsia="Garamond" w:cs="Garamond"/>
                <w:spacing w:val="-1"/>
                <w:lang w:val="en-US"/>
              </w:rPr>
              <w:t>t</w:t>
            </w:r>
            <w:r w:rsidRPr="003A5356">
              <w:rPr>
                <w:rFonts w:eastAsia="Garamond" w:cs="Garamond"/>
                <w:lang w:val="en-US"/>
              </w:rPr>
              <w:t>e</w:t>
            </w:r>
            <w:r w:rsidRPr="003A5356">
              <w:rPr>
                <w:rFonts w:eastAsia="Garamond" w:cs="Garamond"/>
                <w:spacing w:val="-9"/>
                <w:lang w:val="en-US"/>
              </w:rPr>
              <w:t>r</w:t>
            </w:r>
            <w:r w:rsidRPr="003A5356">
              <w:rPr>
                <w:rFonts w:eastAsia="Garamond" w:cs="Garamond"/>
                <w:lang w:val="en-US"/>
              </w:rPr>
              <w:t>ka</w:t>
            </w:r>
            <w:r w:rsidRPr="003A5356">
              <w:rPr>
                <w:rFonts w:eastAsia="Garamond" w:cs="Garamond"/>
                <w:spacing w:val="-1"/>
                <w:lang w:val="en-US"/>
              </w:rPr>
              <w:t>mm</w:t>
            </w:r>
            <w:r w:rsidRPr="003A5356">
              <w:rPr>
                <w:rFonts w:eastAsia="Garamond" w:cs="Garamond"/>
                <w:spacing w:val="-2"/>
                <w:lang w:val="en-US"/>
              </w:rPr>
              <w:t>a</w:t>
            </w:r>
            <w:r w:rsidRPr="003A5356">
              <w:rPr>
                <w:rFonts w:eastAsia="Garamond" w:cs="Garamond"/>
                <w:spacing w:val="-6"/>
                <w:lang w:val="en-US"/>
              </w:rPr>
              <w:t>r</w:t>
            </w:r>
            <w:r w:rsidRPr="003A5356">
              <w:rPr>
                <w:rFonts w:eastAsia="Garamond" w:cs="Garamond"/>
                <w:spacing w:val="-1"/>
                <w:lang w:val="en-US"/>
              </w:rPr>
              <w:t>f</w:t>
            </w:r>
            <w:r w:rsidRPr="003A5356">
              <w:rPr>
                <w:rFonts w:eastAsia="Garamond" w:cs="Garamond"/>
                <w:lang w:val="en-US"/>
              </w:rPr>
              <w:t>unk</w:t>
            </w:r>
            <w:r w:rsidRPr="003A5356">
              <w:rPr>
                <w:rFonts w:eastAsia="Garamond" w:cs="Garamond"/>
                <w:spacing w:val="-3"/>
                <w:lang w:val="en-US"/>
              </w:rPr>
              <w:t>t</w:t>
            </w:r>
            <w:r w:rsidRPr="003A5356">
              <w:rPr>
                <w:rFonts w:eastAsia="Garamond" w:cs="Garamond"/>
                <w:spacing w:val="-6"/>
                <w:lang w:val="en-US"/>
              </w:rPr>
              <w:t>i</w:t>
            </w:r>
            <w:r w:rsidRPr="003A5356">
              <w:rPr>
                <w:rFonts w:eastAsia="Garamond" w:cs="Garamond"/>
                <w:spacing w:val="-1"/>
                <w:lang w:val="en-US"/>
              </w:rPr>
              <w:t>o</w:t>
            </w:r>
            <w:r w:rsidRPr="003A5356">
              <w:rPr>
                <w:rFonts w:eastAsia="Garamond" w:cs="Garamond"/>
                <w:lang w:val="en-US"/>
              </w:rPr>
              <w:t>n</w:t>
            </w:r>
          </w:p>
        </w:tc>
        <w:tc>
          <w:tcPr>
            <w:tcW w:w="1812" w:type="dxa"/>
            <w:tcBorders>
              <w:top w:val="nil"/>
              <w:left w:val="nil"/>
              <w:bottom w:val="nil"/>
              <w:right w:val="single" w:sz="8" w:space="0" w:color="4F81BB"/>
            </w:tcBorders>
          </w:tcPr>
          <w:p w14:paraId="535FE27E" w14:textId="77777777" w:rsidR="00A20158" w:rsidRPr="003A5356" w:rsidRDefault="00A20158" w:rsidP="00632FCC">
            <w:pPr>
              <w:rPr>
                <w:rFonts w:eastAsia="Garamond" w:cs="Garamond"/>
                <w:lang w:val="en-US"/>
              </w:rPr>
            </w:pPr>
            <w:r w:rsidRPr="003A5356">
              <w:rPr>
                <w:rFonts w:eastAsia="Garamond" w:cs="Garamond"/>
                <w:lang w:val="en-US"/>
              </w:rPr>
              <w:t>1</w:t>
            </w:r>
          </w:p>
        </w:tc>
      </w:tr>
      <w:tr w:rsidR="00A20158" w:rsidRPr="003A5356" w14:paraId="7BDD488F" w14:textId="77777777" w:rsidTr="00632FCC">
        <w:trPr>
          <w:trHeight w:hRule="exact" w:val="268"/>
        </w:trPr>
        <w:tc>
          <w:tcPr>
            <w:tcW w:w="513" w:type="dxa"/>
            <w:tcBorders>
              <w:top w:val="nil"/>
              <w:left w:val="single" w:sz="8" w:space="0" w:color="4F81BB"/>
              <w:bottom w:val="nil"/>
              <w:right w:val="nil"/>
            </w:tcBorders>
            <w:hideMark/>
          </w:tcPr>
          <w:p w14:paraId="09AC786B" w14:textId="77777777" w:rsidR="00A20158" w:rsidRPr="003A5356" w:rsidRDefault="00A20158" w:rsidP="00632FCC">
            <w:pPr>
              <w:rPr>
                <w:rFonts w:eastAsia="Garamond" w:cs="Garamond"/>
                <w:lang w:val="en-US"/>
              </w:rPr>
            </w:pPr>
            <w:r w:rsidRPr="003A5356">
              <w:rPr>
                <w:rFonts w:eastAsia="Garamond" w:cs="Garamond"/>
                <w:b/>
                <w:bCs/>
                <w:lang w:val="en-US"/>
              </w:rPr>
              <w:t>H</w:t>
            </w:r>
          </w:p>
        </w:tc>
        <w:tc>
          <w:tcPr>
            <w:tcW w:w="4660" w:type="dxa"/>
            <w:hideMark/>
          </w:tcPr>
          <w:p w14:paraId="3894510D" w14:textId="77777777" w:rsidR="00A20158" w:rsidRPr="003A5356" w:rsidRDefault="00A20158" w:rsidP="00632FCC">
            <w:pPr>
              <w:rPr>
                <w:rFonts w:eastAsia="Garamond" w:cs="Garamond"/>
                <w:lang w:val="en-US"/>
              </w:rPr>
            </w:pPr>
            <w:r w:rsidRPr="003A5356">
              <w:rPr>
                <w:rFonts w:eastAsia="Garamond" w:cs="Garamond"/>
                <w:lang w:val="en-US"/>
              </w:rPr>
              <w:t>Hyper</w:t>
            </w:r>
            <w:r w:rsidRPr="003A5356">
              <w:rPr>
                <w:rFonts w:eastAsia="Garamond" w:cs="Garamond"/>
                <w:spacing w:val="-2"/>
                <w:lang w:val="en-US"/>
              </w:rPr>
              <w:t>t</w:t>
            </w:r>
            <w:r w:rsidRPr="003A5356">
              <w:rPr>
                <w:rFonts w:eastAsia="Garamond" w:cs="Garamond"/>
                <w:spacing w:val="-1"/>
                <w:lang w:val="en-US"/>
              </w:rPr>
              <w:t>o</w:t>
            </w:r>
            <w:r w:rsidRPr="003A5356">
              <w:rPr>
                <w:rFonts w:eastAsia="Garamond" w:cs="Garamond"/>
                <w:lang w:val="en-US"/>
              </w:rPr>
              <w:t>ni</w:t>
            </w:r>
          </w:p>
        </w:tc>
        <w:tc>
          <w:tcPr>
            <w:tcW w:w="1812" w:type="dxa"/>
            <w:tcBorders>
              <w:top w:val="nil"/>
              <w:left w:val="nil"/>
              <w:bottom w:val="nil"/>
              <w:right w:val="single" w:sz="8" w:space="0" w:color="4F81BB"/>
            </w:tcBorders>
            <w:hideMark/>
          </w:tcPr>
          <w:p w14:paraId="2CF631B2" w14:textId="77777777" w:rsidR="00A20158" w:rsidRPr="003A5356" w:rsidRDefault="00A20158" w:rsidP="00632FCC">
            <w:pPr>
              <w:rPr>
                <w:rFonts w:eastAsia="Garamond" w:cs="Garamond"/>
                <w:lang w:val="en-US"/>
              </w:rPr>
            </w:pPr>
            <w:r w:rsidRPr="003A5356">
              <w:rPr>
                <w:rFonts w:eastAsia="Garamond" w:cs="Garamond"/>
                <w:lang w:val="en-US"/>
              </w:rPr>
              <w:t>1</w:t>
            </w:r>
          </w:p>
        </w:tc>
      </w:tr>
      <w:tr w:rsidR="00A20158" w:rsidRPr="003A5356" w14:paraId="4D866E16" w14:textId="77777777" w:rsidTr="00632FCC">
        <w:trPr>
          <w:trHeight w:hRule="exact" w:val="270"/>
        </w:trPr>
        <w:tc>
          <w:tcPr>
            <w:tcW w:w="513" w:type="dxa"/>
            <w:tcBorders>
              <w:top w:val="nil"/>
              <w:left w:val="single" w:sz="8" w:space="0" w:color="4F81BB"/>
              <w:bottom w:val="nil"/>
              <w:right w:val="nil"/>
            </w:tcBorders>
            <w:hideMark/>
          </w:tcPr>
          <w:p w14:paraId="7335A06A" w14:textId="77777777" w:rsidR="00A20158" w:rsidRPr="003A5356" w:rsidRDefault="00A20158" w:rsidP="00632FCC">
            <w:pPr>
              <w:rPr>
                <w:rFonts w:eastAsia="Garamond" w:cs="Garamond"/>
                <w:lang w:val="en-US"/>
              </w:rPr>
            </w:pPr>
            <w:r w:rsidRPr="003A5356">
              <w:rPr>
                <w:rFonts w:eastAsia="Garamond" w:cs="Garamond"/>
                <w:b/>
                <w:bCs/>
                <w:lang w:val="en-US"/>
              </w:rPr>
              <w:t>A2</w:t>
            </w:r>
          </w:p>
        </w:tc>
        <w:tc>
          <w:tcPr>
            <w:tcW w:w="4660" w:type="dxa"/>
            <w:hideMark/>
          </w:tcPr>
          <w:p w14:paraId="6B57F61F" w14:textId="77777777" w:rsidR="00A20158" w:rsidRPr="003A5356" w:rsidRDefault="00A20158" w:rsidP="00632FCC">
            <w:pPr>
              <w:rPr>
                <w:rFonts w:eastAsia="Garamond" w:cs="Garamond"/>
                <w:lang w:val="en-US"/>
              </w:rPr>
            </w:pPr>
            <w:r w:rsidRPr="003A5356">
              <w:rPr>
                <w:rFonts w:eastAsia="Garamond" w:cs="Garamond"/>
                <w:lang w:val="en-US"/>
              </w:rPr>
              <w:t>Ålder</w:t>
            </w:r>
            <w:r w:rsidRPr="003A5356">
              <w:rPr>
                <w:rFonts w:eastAsia="Garamond" w:cs="Garamond"/>
                <w:spacing w:val="-16"/>
                <w:lang w:val="en-US"/>
              </w:rPr>
              <w:t xml:space="preserve"> </w:t>
            </w:r>
            <w:r w:rsidRPr="003A5356">
              <w:rPr>
                <w:rFonts w:eastAsia="Garamond" w:cs="Garamond"/>
                <w:u w:val="single" w:color="000000"/>
                <w:lang w:val="en-US"/>
              </w:rPr>
              <w:t>&gt;</w:t>
            </w:r>
            <w:r w:rsidRPr="003A5356">
              <w:rPr>
                <w:rFonts w:eastAsia="Garamond" w:cs="Garamond"/>
                <w:spacing w:val="-9"/>
                <w:u w:val="single" w:color="000000"/>
                <w:lang w:val="en-US"/>
              </w:rPr>
              <w:t xml:space="preserve"> </w:t>
            </w:r>
            <w:r w:rsidRPr="003A5356">
              <w:rPr>
                <w:rFonts w:eastAsia="Garamond" w:cs="Garamond"/>
                <w:lang w:val="en-US"/>
              </w:rPr>
              <w:t>75</w:t>
            </w:r>
            <w:r w:rsidRPr="003A5356">
              <w:rPr>
                <w:rFonts w:eastAsia="Garamond" w:cs="Garamond"/>
                <w:spacing w:val="-9"/>
                <w:lang w:val="en-US"/>
              </w:rPr>
              <w:t xml:space="preserve"> </w:t>
            </w:r>
            <w:r w:rsidRPr="003A5356">
              <w:rPr>
                <w:rFonts w:eastAsia="Garamond" w:cs="Garamond"/>
                <w:lang w:val="en-US"/>
              </w:rPr>
              <w:t>år</w:t>
            </w:r>
          </w:p>
        </w:tc>
        <w:tc>
          <w:tcPr>
            <w:tcW w:w="1812" w:type="dxa"/>
            <w:tcBorders>
              <w:top w:val="nil"/>
              <w:left w:val="nil"/>
              <w:bottom w:val="nil"/>
              <w:right w:val="single" w:sz="8" w:space="0" w:color="4F81BB"/>
            </w:tcBorders>
            <w:hideMark/>
          </w:tcPr>
          <w:p w14:paraId="2889E798" w14:textId="77777777" w:rsidR="00A20158" w:rsidRPr="003A5356" w:rsidRDefault="00A20158" w:rsidP="00632FCC">
            <w:pPr>
              <w:rPr>
                <w:rFonts w:eastAsia="Garamond" w:cs="Garamond"/>
                <w:lang w:val="en-US"/>
              </w:rPr>
            </w:pPr>
            <w:r w:rsidRPr="003A5356">
              <w:rPr>
                <w:rFonts w:eastAsia="Garamond" w:cs="Garamond"/>
                <w:lang w:val="en-US"/>
              </w:rPr>
              <w:t>2</w:t>
            </w:r>
          </w:p>
        </w:tc>
      </w:tr>
      <w:tr w:rsidR="00A20158" w:rsidRPr="003A5356" w14:paraId="23962C59" w14:textId="77777777" w:rsidTr="00632FCC">
        <w:trPr>
          <w:trHeight w:hRule="exact" w:val="270"/>
        </w:trPr>
        <w:tc>
          <w:tcPr>
            <w:tcW w:w="513" w:type="dxa"/>
            <w:tcBorders>
              <w:top w:val="nil"/>
              <w:left w:val="single" w:sz="8" w:space="0" w:color="4F81BB"/>
              <w:bottom w:val="nil"/>
              <w:right w:val="nil"/>
            </w:tcBorders>
            <w:hideMark/>
          </w:tcPr>
          <w:p w14:paraId="393A20DA" w14:textId="77777777" w:rsidR="00A20158" w:rsidRPr="003A5356" w:rsidRDefault="00A20158" w:rsidP="00632FCC">
            <w:pPr>
              <w:rPr>
                <w:rFonts w:eastAsia="Garamond" w:cs="Garamond"/>
                <w:lang w:val="en-US"/>
              </w:rPr>
            </w:pPr>
            <w:r w:rsidRPr="003A5356">
              <w:rPr>
                <w:rFonts w:eastAsia="Garamond" w:cs="Garamond"/>
                <w:b/>
                <w:bCs/>
                <w:lang w:val="en-US"/>
              </w:rPr>
              <w:t>D</w:t>
            </w:r>
          </w:p>
        </w:tc>
        <w:tc>
          <w:tcPr>
            <w:tcW w:w="4660" w:type="dxa"/>
            <w:hideMark/>
          </w:tcPr>
          <w:p w14:paraId="060B2364" w14:textId="77777777" w:rsidR="00A20158" w:rsidRPr="003A5356" w:rsidRDefault="00A20158" w:rsidP="00632FCC">
            <w:pPr>
              <w:rPr>
                <w:rFonts w:eastAsia="Garamond" w:cs="Garamond"/>
                <w:lang w:val="en-US"/>
              </w:rPr>
            </w:pPr>
            <w:r w:rsidRPr="003A5356">
              <w:rPr>
                <w:rFonts w:eastAsia="Garamond" w:cs="Garamond"/>
                <w:spacing w:val="-1"/>
                <w:lang w:val="en-US"/>
              </w:rPr>
              <w:t>D</w:t>
            </w:r>
            <w:r w:rsidRPr="003A5356">
              <w:rPr>
                <w:rFonts w:eastAsia="Garamond" w:cs="Garamond"/>
                <w:lang w:val="en-US"/>
              </w:rPr>
              <w:t>ia</w:t>
            </w:r>
            <w:r w:rsidRPr="003A5356">
              <w:rPr>
                <w:rFonts w:eastAsia="Garamond" w:cs="Garamond"/>
                <w:spacing w:val="-3"/>
                <w:lang w:val="en-US"/>
              </w:rPr>
              <w:t>b</w:t>
            </w:r>
            <w:r w:rsidRPr="003A5356">
              <w:rPr>
                <w:rFonts w:eastAsia="Garamond" w:cs="Garamond"/>
                <w:spacing w:val="-2"/>
                <w:lang w:val="en-US"/>
              </w:rPr>
              <w:t>e</w:t>
            </w:r>
            <w:r w:rsidRPr="003A5356">
              <w:rPr>
                <w:rFonts w:eastAsia="Garamond" w:cs="Garamond"/>
                <w:spacing w:val="-3"/>
                <w:lang w:val="en-US"/>
              </w:rPr>
              <w:t>t</w:t>
            </w:r>
            <w:r w:rsidRPr="003A5356">
              <w:rPr>
                <w:rFonts w:eastAsia="Garamond" w:cs="Garamond"/>
                <w:lang w:val="en-US"/>
              </w:rPr>
              <w:t>es</w:t>
            </w:r>
          </w:p>
        </w:tc>
        <w:tc>
          <w:tcPr>
            <w:tcW w:w="1812" w:type="dxa"/>
            <w:tcBorders>
              <w:top w:val="nil"/>
              <w:left w:val="nil"/>
              <w:bottom w:val="nil"/>
              <w:right w:val="single" w:sz="8" w:space="0" w:color="4F81BB"/>
            </w:tcBorders>
            <w:hideMark/>
          </w:tcPr>
          <w:p w14:paraId="74595EC9" w14:textId="77777777" w:rsidR="00A20158" w:rsidRPr="003A5356" w:rsidRDefault="00A20158" w:rsidP="00632FCC">
            <w:pPr>
              <w:rPr>
                <w:rFonts w:eastAsia="Garamond" w:cs="Garamond"/>
                <w:lang w:val="en-US"/>
              </w:rPr>
            </w:pPr>
            <w:r w:rsidRPr="003A5356">
              <w:rPr>
                <w:rFonts w:eastAsia="Garamond" w:cs="Garamond"/>
                <w:lang w:val="en-US"/>
              </w:rPr>
              <w:t>1</w:t>
            </w:r>
          </w:p>
        </w:tc>
      </w:tr>
      <w:tr w:rsidR="00A20158" w:rsidRPr="003A5356" w14:paraId="2A31C301" w14:textId="77777777" w:rsidTr="00632FCC">
        <w:trPr>
          <w:trHeight w:hRule="exact" w:val="270"/>
        </w:trPr>
        <w:tc>
          <w:tcPr>
            <w:tcW w:w="513" w:type="dxa"/>
            <w:tcBorders>
              <w:top w:val="nil"/>
              <w:left w:val="single" w:sz="8" w:space="0" w:color="4F81BB"/>
              <w:bottom w:val="nil"/>
              <w:right w:val="nil"/>
            </w:tcBorders>
            <w:hideMark/>
          </w:tcPr>
          <w:p w14:paraId="53301864" w14:textId="77777777" w:rsidR="00A20158" w:rsidRPr="003A5356" w:rsidRDefault="00A20158" w:rsidP="00632FCC">
            <w:pPr>
              <w:rPr>
                <w:rFonts w:eastAsia="Garamond" w:cs="Garamond"/>
                <w:lang w:val="en-US"/>
              </w:rPr>
            </w:pPr>
            <w:r w:rsidRPr="003A5356">
              <w:rPr>
                <w:rFonts w:eastAsia="Garamond" w:cs="Garamond"/>
                <w:b/>
                <w:bCs/>
                <w:lang w:val="en-US"/>
              </w:rPr>
              <w:t>S2</w:t>
            </w:r>
          </w:p>
        </w:tc>
        <w:tc>
          <w:tcPr>
            <w:tcW w:w="4660" w:type="dxa"/>
            <w:hideMark/>
          </w:tcPr>
          <w:p w14:paraId="772487CC" w14:textId="77777777" w:rsidR="00A20158" w:rsidRPr="003A5356" w:rsidRDefault="00A20158" w:rsidP="00632FCC">
            <w:pPr>
              <w:rPr>
                <w:rFonts w:eastAsia="Garamond" w:cs="Garamond"/>
              </w:rPr>
            </w:pPr>
            <w:r w:rsidRPr="003A5356">
              <w:rPr>
                <w:rFonts w:eastAsia="Garamond" w:cs="Garamond"/>
                <w:spacing w:val="-7"/>
              </w:rPr>
              <w:t>T</w:t>
            </w:r>
            <w:r w:rsidRPr="003A5356">
              <w:rPr>
                <w:rFonts w:eastAsia="Garamond" w:cs="Garamond"/>
              </w:rPr>
              <w:t>idi</w:t>
            </w:r>
            <w:r w:rsidRPr="003A5356">
              <w:rPr>
                <w:rFonts w:eastAsia="Garamond" w:cs="Garamond"/>
                <w:spacing w:val="1"/>
              </w:rPr>
              <w:t>g</w:t>
            </w:r>
            <w:r w:rsidRPr="003A5356">
              <w:rPr>
                <w:rFonts w:eastAsia="Garamond" w:cs="Garamond"/>
              </w:rPr>
              <w:t>a</w:t>
            </w:r>
            <w:r w:rsidRPr="003A5356">
              <w:rPr>
                <w:rFonts w:eastAsia="Garamond" w:cs="Garamond"/>
                <w:spacing w:val="-6"/>
              </w:rPr>
              <w:t>r</w:t>
            </w:r>
            <w:r w:rsidRPr="003A5356">
              <w:rPr>
                <w:rFonts w:eastAsia="Garamond" w:cs="Garamond"/>
              </w:rPr>
              <w:t>e</w:t>
            </w:r>
            <w:r w:rsidRPr="003A5356">
              <w:rPr>
                <w:rFonts w:eastAsia="Garamond" w:cs="Garamond"/>
                <w:spacing w:val="-9"/>
              </w:rPr>
              <w:t xml:space="preserve"> </w:t>
            </w:r>
            <w:r w:rsidRPr="003A5356">
              <w:rPr>
                <w:rFonts w:eastAsia="Garamond" w:cs="Garamond"/>
                <w:spacing w:val="-7"/>
              </w:rPr>
              <w:t>s</w:t>
            </w:r>
            <w:r w:rsidRPr="003A5356">
              <w:rPr>
                <w:rFonts w:eastAsia="Garamond" w:cs="Garamond"/>
                <w:spacing w:val="-1"/>
              </w:rPr>
              <w:t>tro</w:t>
            </w:r>
            <w:r w:rsidRPr="003A5356">
              <w:rPr>
                <w:rFonts w:eastAsia="Garamond" w:cs="Garamond"/>
                <w:spacing w:val="-3"/>
              </w:rPr>
              <w:t>k</w:t>
            </w:r>
            <w:r w:rsidRPr="003A5356">
              <w:rPr>
                <w:rFonts w:eastAsia="Garamond" w:cs="Garamond"/>
              </w:rPr>
              <w:t>e</w:t>
            </w:r>
            <w:r w:rsidRPr="003A5356">
              <w:rPr>
                <w:rFonts w:eastAsia="Garamond" w:cs="Garamond"/>
                <w:spacing w:val="-9"/>
              </w:rPr>
              <w:t xml:space="preserve"> </w:t>
            </w:r>
            <w:r w:rsidRPr="003A5356">
              <w:rPr>
                <w:rFonts w:eastAsia="Garamond" w:cs="Garamond"/>
              </w:rPr>
              <w:t>/</w:t>
            </w:r>
            <w:r w:rsidRPr="003A5356">
              <w:rPr>
                <w:rFonts w:eastAsia="Garamond" w:cs="Garamond"/>
                <w:spacing w:val="-9"/>
              </w:rPr>
              <w:t xml:space="preserve"> </w:t>
            </w:r>
            <w:r w:rsidRPr="003A5356">
              <w:rPr>
                <w:rFonts w:eastAsia="Garamond" w:cs="Garamond"/>
                <w:spacing w:val="-7"/>
              </w:rPr>
              <w:t>T</w:t>
            </w:r>
            <w:r w:rsidRPr="003A5356">
              <w:rPr>
                <w:rFonts w:eastAsia="Garamond" w:cs="Garamond"/>
                <w:spacing w:val="-1"/>
              </w:rPr>
              <w:t>I</w:t>
            </w:r>
            <w:r w:rsidRPr="003A5356">
              <w:rPr>
                <w:rFonts w:eastAsia="Garamond" w:cs="Garamond"/>
              </w:rPr>
              <w:t>A</w:t>
            </w:r>
            <w:r w:rsidRPr="003A5356">
              <w:rPr>
                <w:rFonts w:eastAsia="Garamond" w:cs="Garamond"/>
                <w:spacing w:val="-10"/>
              </w:rPr>
              <w:t xml:space="preserve"> </w:t>
            </w:r>
            <w:r w:rsidRPr="003A5356">
              <w:rPr>
                <w:rFonts w:eastAsia="Garamond" w:cs="Garamond"/>
              </w:rPr>
              <w:t>/</w:t>
            </w:r>
            <w:r w:rsidRPr="003A5356">
              <w:rPr>
                <w:rFonts w:eastAsia="Garamond" w:cs="Garamond"/>
                <w:spacing w:val="-9"/>
              </w:rPr>
              <w:t xml:space="preserve"> </w:t>
            </w:r>
            <w:r w:rsidRPr="003A5356">
              <w:rPr>
                <w:rFonts w:eastAsia="Garamond" w:cs="Garamond"/>
                <w:spacing w:val="-1"/>
              </w:rPr>
              <w:t>p</w:t>
            </w:r>
            <w:r w:rsidRPr="003A5356">
              <w:rPr>
                <w:rFonts w:eastAsia="Garamond" w:cs="Garamond"/>
              </w:rPr>
              <w:t>e</w:t>
            </w:r>
            <w:r w:rsidRPr="003A5356">
              <w:rPr>
                <w:rFonts w:eastAsia="Garamond" w:cs="Garamond"/>
                <w:spacing w:val="-1"/>
              </w:rPr>
              <w:t>r</w:t>
            </w:r>
            <w:r w:rsidRPr="003A5356">
              <w:rPr>
                <w:rFonts w:eastAsia="Garamond" w:cs="Garamond"/>
              </w:rPr>
              <w:t>i</w:t>
            </w:r>
            <w:r w:rsidRPr="003A5356">
              <w:rPr>
                <w:rFonts w:eastAsia="Garamond" w:cs="Garamond"/>
                <w:spacing w:val="-1"/>
              </w:rPr>
              <w:t>f</w:t>
            </w:r>
            <w:r w:rsidRPr="003A5356">
              <w:rPr>
                <w:rFonts w:eastAsia="Garamond" w:cs="Garamond"/>
              </w:rPr>
              <w:t>er</w:t>
            </w:r>
            <w:r w:rsidRPr="003A5356">
              <w:rPr>
                <w:rFonts w:eastAsia="Garamond" w:cs="Garamond"/>
                <w:spacing w:val="-10"/>
              </w:rPr>
              <w:t xml:space="preserve"> </w:t>
            </w:r>
            <w:r w:rsidRPr="003A5356">
              <w:rPr>
                <w:rFonts w:eastAsia="Garamond" w:cs="Garamond"/>
                <w:spacing w:val="-2"/>
              </w:rPr>
              <w:t>e</w:t>
            </w:r>
            <w:r w:rsidRPr="003A5356">
              <w:rPr>
                <w:rFonts w:eastAsia="Garamond" w:cs="Garamond"/>
                <w:spacing w:val="-1"/>
              </w:rPr>
              <w:t>m</w:t>
            </w:r>
            <w:r w:rsidRPr="003A5356">
              <w:rPr>
                <w:rFonts w:eastAsia="Garamond" w:cs="Garamond"/>
              </w:rPr>
              <w:t>boli</w:t>
            </w:r>
          </w:p>
        </w:tc>
        <w:tc>
          <w:tcPr>
            <w:tcW w:w="1812" w:type="dxa"/>
            <w:tcBorders>
              <w:top w:val="nil"/>
              <w:left w:val="nil"/>
              <w:bottom w:val="nil"/>
              <w:right w:val="single" w:sz="8" w:space="0" w:color="4F81BB"/>
            </w:tcBorders>
            <w:hideMark/>
          </w:tcPr>
          <w:p w14:paraId="4F7A8449" w14:textId="77777777" w:rsidR="00A20158" w:rsidRPr="003A5356" w:rsidRDefault="00A20158" w:rsidP="00632FCC">
            <w:pPr>
              <w:rPr>
                <w:rFonts w:eastAsia="Garamond" w:cs="Garamond"/>
                <w:lang w:val="en-US"/>
              </w:rPr>
            </w:pPr>
            <w:r w:rsidRPr="003A5356">
              <w:rPr>
                <w:rFonts w:eastAsia="Garamond" w:cs="Garamond"/>
                <w:lang w:val="en-US"/>
              </w:rPr>
              <w:t>2</w:t>
            </w:r>
          </w:p>
        </w:tc>
      </w:tr>
      <w:tr w:rsidR="00A20158" w:rsidRPr="003A5356" w14:paraId="4AFBE4AF" w14:textId="77777777" w:rsidTr="00632FCC">
        <w:trPr>
          <w:trHeight w:hRule="exact" w:val="270"/>
        </w:trPr>
        <w:tc>
          <w:tcPr>
            <w:tcW w:w="513" w:type="dxa"/>
            <w:tcBorders>
              <w:top w:val="nil"/>
              <w:left w:val="single" w:sz="8" w:space="0" w:color="4F81BB"/>
              <w:bottom w:val="nil"/>
              <w:right w:val="nil"/>
            </w:tcBorders>
            <w:hideMark/>
          </w:tcPr>
          <w:p w14:paraId="5212D913" w14:textId="77777777" w:rsidR="00A20158" w:rsidRPr="003A5356" w:rsidRDefault="00A20158" w:rsidP="00632FCC">
            <w:pPr>
              <w:rPr>
                <w:rFonts w:eastAsia="Garamond" w:cs="Garamond"/>
                <w:lang w:val="en-US"/>
              </w:rPr>
            </w:pPr>
            <w:r w:rsidRPr="003A5356">
              <w:rPr>
                <w:rFonts w:eastAsia="Garamond" w:cs="Garamond"/>
                <w:b/>
                <w:bCs/>
                <w:lang w:val="en-US"/>
              </w:rPr>
              <w:t>V</w:t>
            </w:r>
          </w:p>
        </w:tc>
        <w:tc>
          <w:tcPr>
            <w:tcW w:w="4660" w:type="dxa"/>
            <w:hideMark/>
          </w:tcPr>
          <w:p w14:paraId="381E9455" w14:textId="77777777" w:rsidR="00A20158" w:rsidRPr="003A5356" w:rsidRDefault="00A20158" w:rsidP="00632FCC">
            <w:pPr>
              <w:rPr>
                <w:rFonts w:eastAsia="Garamond" w:cs="Garamond"/>
                <w:lang w:val="en-US"/>
              </w:rPr>
            </w:pPr>
            <w:r w:rsidRPr="003A5356">
              <w:rPr>
                <w:rFonts w:eastAsia="Garamond" w:cs="Garamond"/>
                <w:lang w:val="en-US"/>
              </w:rPr>
              <w:t>Kä</w:t>
            </w:r>
            <w:r w:rsidRPr="003A5356">
              <w:rPr>
                <w:rFonts w:eastAsia="Garamond" w:cs="Garamond"/>
                <w:spacing w:val="-1"/>
                <w:lang w:val="en-US"/>
              </w:rPr>
              <w:t>r</w:t>
            </w:r>
            <w:r w:rsidRPr="003A5356">
              <w:rPr>
                <w:rFonts w:eastAsia="Garamond" w:cs="Garamond"/>
                <w:lang w:val="en-US"/>
              </w:rPr>
              <w:t>l</w:t>
            </w:r>
            <w:r w:rsidRPr="003A5356">
              <w:rPr>
                <w:rFonts w:eastAsia="Garamond" w:cs="Garamond"/>
                <w:spacing w:val="-7"/>
                <w:lang w:val="en-US"/>
              </w:rPr>
              <w:t>s</w:t>
            </w:r>
            <w:r w:rsidRPr="003A5356">
              <w:rPr>
                <w:rFonts w:eastAsia="Garamond" w:cs="Garamond"/>
                <w:lang w:val="en-US"/>
              </w:rPr>
              <w:t>jukdom</w:t>
            </w:r>
            <w:r w:rsidRPr="003A5356">
              <w:rPr>
                <w:rFonts w:eastAsia="Garamond" w:cs="Garamond"/>
                <w:spacing w:val="-31"/>
                <w:lang w:val="en-US"/>
              </w:rPr>
              <w:t xml:space="preserve"> </w:t>
            </w:r>
            <w:r w:rsidRPr="003A5356">
              <w:rPr>
                <w:rFonts w:eastAsia="Garamond" w:cs="Garamond"/>
                <w:spacing w:val="-1"/>
                <w:lang w:val="en-US"/>
              </w:rPr>
              <w:t>(</w:t>
            </w:r>
            <w:r w:rsidRPr="003A5356">
              <w:rPr>
                <w:rFonts w:eastAsia="Garamond" w:cs="Garamond"/>
                <w:lang w:val="en-US"/>
              </w:rPr>
              <w:t>K</w:t>
            </w:r>
            <w:r w:rsidRPr="003A5356">
              <w:rPr>
                <w:rFonts w:eastAsia="Garamond" w:cs="Garamond"/>
                <w:spacing w:val="-1"/>
                <w:lang w:val="en-US"/>
              </w:rPr>
              <w:t>r</w:t>
            </w:r>
            <w:r w:rsidRPr="003A5356">
              <w:rPr>
                <w:rFonts w:eastAsia="Garamond" w:cs="Garamond"/>
                <w:spacing w:val="-2"/>
                <w:lang w:val="en-US"/>
              </w:rPr>
              <w:t>a</w:t>
            </w:r>
            <w:r w:rsidRPr="003A5356">
              <w:rPr>
                <w:rFonts w:eastAsia="Garamond" w:cs="Garamond"/>
                <w:spacing w:val="-1"/>
                <w:lang w:val="en-US"/>
              </w:rPr>
              <w:t>n</w:t>
            </w:r>
            <w:r w:rsidRPr="003A5356">
              <w:rPr>
                <w:rFonts w:eastAsia="Garamond" w:cs="Garamond"/>
                <w:spacing w:val="-10"/>
                <w:lang w:val="en-US"/>
              </w:rPr>
              <w:t>s</w:t>
            </w:r>
            <w:r w:rsidRPr="003A5356">
              <w:rPr>
                <w:rFonts w:eastAsia="Garamond" w:cs="Garamond"/>
                <w:lang w:val="en-US"/>
              </w:rPr>
              <w:t>kä</w:t>
            </w:r>
            <w:r w:rsidRPr="003A5356">
              <w:rPr>
                <w:rFonts w:eastAsia="Garamond" w:cs="Garamond"/>
                <w:spacing w:val="-1"/>
                <w:lang w:val="en-US"/>
              </w:rPr>
              <w:t>r</w:t>
            </w:r>
            <w:r w:rsidRPr="003A5356">
              <w:rPr>
                <w:rFonts w:eastAsia="Garamond" w:cs="Garamond"/>
                <w:spacing w:val="-3"/>
                <w:lang w:val="en-US"/>
              </w:rPr>
              <w:t>l</w:t>
            </w:r>
            <w:r w:rsidRPr="003A5356">
              <w:rPr>
                <w:rFonts w:eastAsia="Garamond" w:cs="Garamond"/>
                <w:spacing w:val="-7"/>
                <w:lang w:val="en-US"/>
              </w:rPr>
              <w:t>s</w:t>
            </w:r>
            <w:r w:rsidRPr="003A5356">
              <w:rPr>
                <w:rFonts w:eastAsia="Garamond" w:cs="Garamond"/>
                <w:lang w:val="en-US"/>
              </w:rPr>
              <w:t>-</w:t>
            </w:r>
            <w:r w:rsidRPr="003A5356">
              <w:rPr>
                <w:rFonts w:eastAsia="Garamond" w:cs="Garamond"/>
                <w:spacing w:val="-27"/>
                <w:lang w:val="en-US"/>
              </w:rPr>
              <w:t xml:space="preserve"> </w:t>
            </w:r>
            <w:r w:rsidRPr="003A5356">
              <w:rPr>
                <w:rFonts w:eastAsia="Garamond" w:cs="Garamond"/>
                <w:lang w:val="en-US"/>
              </w:rPr>
              <w:t>eller</w:t>
            </w:r>
            <w:r w:rsidRPr="003A5356">
              <w:rPr>
                <w:rFonts w:eastAsia="Garamond" w:cs="Garamond"/>
                <w:spacing w:val="-29"/>
                <w:lang w:val="en-US"/>
              </w:rPr>
              <w:t xml:space="preserve"> </w:t>
            </w:r>
            <w:r w:rsidRPr="003A5356">
              <w:rPr>
                <w:rFonts w:eastAsia="Garamond" w:cs="Garamond"/>
                <w:lang w:val="en-US"/>
              </w:rPr>
              <w:t>a</w:t>
            </w:r>
            <w:r w:rsidRPr="003A5356">
              <w:rPr>
                <w:rFonts w:eastAsia="Garamond" w:cs="Garamond"/>
                <w:spacing w:val="-1"/>
                <w:lang w:val="en-US"/>
              </w:rPr>
              <w:t>or</w:t>
            </w:r>
            <w:r w:rsidRPr="003A5356">
              <w:rPr>
                <w:rFonts w:eastAsia="Garamond" w:cs="Garamond"/>
                <w:spacing w:val="-7"/>
                <w:lang w:val="en-US"/>
              </w:rPr>
              <w:t>t</w:t>
            </w:r>
            <w:r w:rsidRPr="003A5356">
              <w:rPr>
                <w:rFonts w:eastAsia="Garamond" w:cs="Garamond"/>
                <w:lang w:val="en-US"/>
              </w:rPr>
              <w:t>a</w:t>
            </w:r>
            <w:r w:rsidRPr="003A5356">
              <w:rPr>
                <w:rFonts w:eastAsia="Garamond" w:cs="Garamond"/>
                <w:spacing w:val="-10"/>
                <w:lang w:val="en-US"/>
              </w:rPr>
              <w:t>s</w:t>
            </w:r>
            <w:r w:rsidRPr="003A5356">
              <w:rPr>
                <w:rFonts w:eastAsia="Garamond" w:cs="Garamond"/>
                <w:lang w:val="en-US"/>
              </w:rPr>
              <w:t>jukdom</w:t>
            </w:r>
          </w:p>
        </w:tc>
        <w:tc>
          <w:tcPr>
            <w:tcW w:w="1812" w:type="dxa"/>
            <w:tcBorders>
              <w:top w:val="nil"/>
              <w:left w:val="nil"/>
              <w:bottom w:val="nil"/>
              <w:right w:val="single" w:sz="8" w:space="0" w:color="4F81BB"/>
            </w:tcBorders>
            <w:hideMark/>
          </w:tcPr>
          <w:p w14:paraId="082D3FF9" w14:textId="77777777" w:rsidR="00A20158" w:rsidRPr="003A5356" w:rsidRDefault="00A20158" w:rsidP="00632FCC">
            <w:pPr>
              <w:rPr>
                <w:rFonts w:eastAsia="Garamond" w:cs="Garamond"/>
                <w:lang w:val="en-US"/>
              </w:rPr>
            </w:pPr>
            <w:r w:rsidRPr="003A5356">
              <w:rPr>
                <w:rFonts w:eastAsia="Garamond" w:cs="Garamond"/>
                <w:lang w:val="en-US"/>
              </w:rPr>
              <w:t>1</w:t>
            </w:r>
          </w:p>
        </w:tc>
      </w:tr>
      <w:tr w:rsidR="00A20158" w:rsidRPr="003A5356" w14:paraId="286CC3C0" w14:textId="77777777" w:rsidTr="00632FCC">
        <w:trPr>
          <w:trHeight w:hRule="exact" w:val="270"/>
        </w:trPr>
        <w:tc>
          <w:tcPr>
            <w:tcW w:w="513" w:type="dxa"/>
            <w:tcBorders>
              <w:top w:val="nil"/>
              <w:left w:val="single" w:sz="8" w:space="0" w:color="4F81BB"/>
              <w:bottom w:val="nil"/>
              <w:right w:val="nil"/>
            </w:tcBorders>
            <w:hideMark/>
          </w:tcPr>
          <w:p w14:paraId="3C80F460" w14:textId="77777777" w:rsidR="00A20158" w:rsidRPr="003A5356" w:rsidRDefault="00A20158" w:rsidP="00632FCC">
            <w:pPr>
              <w:rPr>
                <w:rFonts w:eastAsia="Garamond" w:cs="Garamond"/>
                <w:lang w:val="en-US"/>
              </w:rPr>
            </w:pPr>
            <w:r w:rsidRPr="003A5356">
              <w:rPr>
                <w:rFonts w:eastAsia="Garamond" w:cs="Garamond"/>
                <w:b/>
                <w:bCs/>
                <w:lang w:val="en-US"/>
              </w:rPr>
              <w:t>A</w:t>
            </w:r>
          </w:p>
        </w:tc>
        <w:tc>
          <w:tcPr>
            <w:tcW w:w="4660" w:type="dxa"/>
            <w:hideMark/>
          </w:tcPr>
          <w:p w14:paraId="3A2BE8CF" w14:textId="77777777" w:rsidR="00A20158" w:rsidRPr="003A5356" w:rsidRDefault="00A20158" w:rsidP="00632FCC">
            <w:pPr>
              <w:rPr>
                <w:rFonts w:eastAsia="Garamond" w:cs="Garamond"/>
                <w:lang w:val="en-US"/>
              </w:rPr>
            </w:pPr>
            <w:r w:rsidRPr="003A5356">
              <w:rPr>
                <w:rFonts w:eastAsia="Garamond" w:cs="Garamond"/>
                <w:lang w:val="en-US"/>
              </w:rPr>
              <w:t>Ålder</w:t>
            </w:r>
            <w:r w:rsidRPr="003A5356">
              <w:rPr>
                <w:rFonts w:eastAsia="Garamond" w:cs="Garamond"/>
                <w:spacing w:val="-19"/>
                <w:lang w:val="en-US"/>
              </w:rPr>
              <w:t xml:space="preserve"> </w:t>
            </w:r>
            <w:r w:rsidRPr="003A5356">
              <w:rPr>
                <w:rFonts w:eastAsia="Garamond" w:cs="Garamond"/>
                <w:lang w:val="en-US"/>
              </w:rPr>
              <w:t>65</w:t>
            </w:r>
            <w:r w:rsidRPr="003A5356">
              <w:rPr>
                <w:rFonts w:eastAsia="Garamond" w:cs="Garamond"/>
                <w:spacing w:val="-1"/>
                <w:lang w:val="en-US"/>
              </w:rPr>
              <w:t>-</w:t>
            </w:r>
            <w:r w:rsidRPr="003A5356">
              <w:rPr>
                <w:rFonts w:eastAsia="Garamond" w:cs="Garamond"/>
                <w:lang w:val="en-US"/>
              </w:rPr>
              <w:t>74</w:t>
            </w:r>
            <w:r w:rsidRPr="003A5356">
              <w:rPr>
                <w:rFonts w:eastAsia="Garamond" w:cs="Garamond"/>
                <w:spacing w:val="-19"/>
                <w:lang w:val="en-US"/>
              </w:rPr>
              <w:t xml:space="preserve"> </w:t>
            </w:r>
            <w:r w:rsidRPr="003A5356">
              <w:rPr>
                <w:rFonts w:eastAsia="Garamond" w:cs="Garamond"/>
                <w:lang w:val="en-US"/>
              </w:rPr>
              <w:t>år</w:t>
            </w:r>
          </w:p>
        </w:tc>
        <w:tc>
          <w:tcPr>
            <w:tcW w:w="1812" w:type="dxa"/>
            <w:tcBorders>
              <w:top w:val="nil"/>
              <w:left w:val="nil"/>
              <w:bottom w:val="nil"/>
              <w:right w:val="single" w:sz="8" w:space="0" w:color="4F81BB"/>
            </w:tcBorders>
            <w:hideMark/>
          </w:tcPr>
          <w:p w14:paraId="418F102F" w14:textId="77777777" w:rsidR="00A20158" w:rsidRPr="003A5356" w:rsidRDefault="00A20158" w:rsidP="00632FCC">
            <w:pPr>
              <w:rPr>
                <w:rFonts w:eastAsia="Garamond" w:cs="Garamond"/>
                <w:lang w:val="en-US"/>
              </w:rPr>
            </w:pPr>
            <w:r w:rsidRPr="003A5356">
              <w:rPr>
                <w:rFonts w:eastAsia="Garamond" w:cs="Garamond"/>
                <w:lang w:val="en-US"/>
              </w:rPr>
              <w:t>1</w:t>
            </w:r>
          </w:p>
        </w:tc>
      </w:tr>
      <w:tr w:rsidR="00A20158" w:rsidRPr="003A5356" w14:paraId="00879AAC" w14:textId="77777777" w:rsidTr="00632FCC">
        <w:trPr>
          <w:trHeight w:hRule="exact" w:val="478"/>
        </w:trPr>
        <w:tc>
          <w:tcPr>
            <w:tcW w:w="513" w:type="dxa"/>
            <w:tcBorders>
              <w:top w:val="nil"/>
              <w:left w:val="single" w:sz="8" w:space="0" w:color="4F81BB"/>
              <w:bottom w:val="single" w:sz="8" w:space="0" w:color="4F81BB"/>
              <w:right w:val="nil"/>
            </w:tcBorders>
            <w:hideMark/>
          </w:tcPr>
          <w:p w14:paraId="6F9E6D12" w14:textId="77777777" w:rsidR="00A20158" w:rsidRPr="003A5356" w:rsidRDefault="00A20158" w:rsidP="00632FCC">
            <w:pPr>
              <w:rPr>
                <w:rFonts w:eastAsia="Garamond" w:cs="Garamond"/>
                <w:lang w:val="en-US"/>
              </w:rPr>
            </w:pPr>
          </w:p>
        </w:tc>
        <w:tc>
          <w:tcPr>
            <w:tcW w:w="4660" w:type="dxa"/>
            <w:tcBorders>
              <w:top w:val="nil"/>
              <w:left w:val="nil"/>
              <w:bottom w:val="single" w:sz="8" w:space="0" w:color="4F81BB"/>
              <w:right w:val="nil"/>
            </w:tcBorders>
            <w:hideMark/>
          </w:tcPr>
          <w:p w14:paraId="2BCB40F4" w14:textId="77777777" w:rsidR="00A20158" w:rsidRPr="003A5356" w:rsidRDefault="00A20158" w:rsidP="00632FCC">
            <w:pPr>
              <w:rPr>
                <w:rFonts w:eastAsia="Garamond" w:cs="Garamond"/>
                <w:lang w:val="en-US"/>
              </w:rPr>
            </w:pPr>
          </w:p>
        </w:tc>
        <w:tc>
          <w:tcPr>
            <w:tcW w:w="1812" w:type="dxa"/>
            <w:tcBorders>
              <w:top w:val="nil"/>
              <w:left w:val="nil"/>
              <w:bottom w:val="single" w:sz="8" w:space="0" w:color="4F81BB"/>
              <w:right w:val="single" w:sz="8" w:space="0" w:color="4F81BB"/>
            </w:tcBorders>
            <w:hideMark/>
          </w:tcPr>
          <w:p w14:paraId="2F879C65" w14:textId="77777777" w:rsidR="00A20158" w:rsidRPr="003A5356" w:rsidRDefault="00A20158" w:rsidP="00632FCC">
            <w:pPr>
              <w:rPr>
                <w:rFonts w:eastAsia="Garamond" w:cs="Garamond"/>
                <w:lang w:val="en-US"/>
              </w:rPr>
            </w:pPr>
            <w:r w:rsidRPr="003A5356">
              <w:br/>
            </w:r>
          </w:p>
        </w:tc>
      </w:tr>
    </w:tbl>
    <w:p w14:paraId="6D457300" w14:textId="77777777" w:rsidR="00A20158" w:rsidRPr="0093264A" w:rsidRDefault="00A20158" w:rsidP="00A20158"/>
    <w:p w14:paraId="1C59C1E3" w14:textId="77777777" w:rsidR="00A20158" w:rsidRPr="00496439" w:rsidRDefault="00A20158" w:rsidP="00A20158">
      <w:pPr>
        <w:rPr>
          <w:rFonts w:eastAsia="Garamond"/>
          <w:sz w:val="24"/>
          <w:szCs w:val="24"/>
        </w:rPr>
      </w:pPr>
      <w:r w:rsidRPr="00496439">
        <w:rPr>
          <w:rFonts w:eastAsia="Garamond"/>
          <w:spacing w:val="-1"/>
        </w:rPr>
        <w:t>D</w:t>
      </w:r>
      <w:r w:rsidRPr="00496439">
        <w:rPr>
          <w:rFonts w:eastAsia="Garamond"/>
        </w:rPr>
        <w:t>en</w:t>
      </w:r>
      <w:r w:rsidRPr="00496439">
        <w:rPr>
          <w:rFonts w:eastAsia="Garamond"/>
          <w:spacing w:val="-12"/>
        </w:rPr>
        <w:t xml:space="preserve"> </w:t>
      </w:r>
      <w:r w:rsidRPr="00496439">
        <w:rPr>
          <w:rFonts w:eastAsia="Garamond"/>
        </w:rPr>
        <w:t>u</w:t>
      </w:r>
      <w:r w:rsidRPr="00496439">
        <w:rPr>
          <w:rFonts w:eastAsia="Garamond"/>
          <w:spacing w:val="-1"/>
        </w:rPr>
        <w:t>p</w:t>
      </w:r>
      <w:r w:rsidRPr="00496439">
        <w:rPr>
          <w:rFonts w:eastAsia="Garamond"/>
          <w:spacing w:val="-3"/>
        </w:rPr>
        <w:t>p</w:t>
      </w:r>
      <w:r w:rsidRPr="00496439">
        <w:rPr>
          <w:rFonts w:eastAsia="Garamond"/>
          <w:spacing w:val="-7"/>
        </w:rPr>
        <w:t>s</w:t>
      </w:r>
      <w:r w:rsidRPr="00496439">
        <w:rPr>
          <w:rFonts w:eastAsia="Garamond"/>
          <w:spacing w:val="-3"/>
        </w:rPr>
        <w:t>k</w:t>
      </w:r>
      <w:r w:rsidRPr="00496439">
        <w:rPr>
          <w:rFonts w:eastAsia="Garamond"/>
        </w:rPr>
        <w:t>a</w:t>
      </w:r>
      <w:r w:rsidRPr="00496439">
        <w:rPr>
          <w:rFonts w:eastAsia="Garamond"/>
          <w:spacing w:val="-3"/>
        </w:rPr>
        <w:t>t</w:t>
      </w:r>
      <w:r w:rsidRPr="00496439">
        <w:rPr>
          <w:rFonts w:eastAsia="Garamond"/>
          <w:spacing w:val="-1"/>
        </w:rPr>
        <w:t>t</w:t>
      </w:r>
      <w:r w:rsidRPr="00496439">
        <w:rPr>
          <w:rFonts w:eastAsia="Garamond"/>
        </w:rPr>
        <w:t>a</w:t>
      </w:r>
      <w:r w:rsidRPr="00496439">
        <w:rPr>
          <w:rFonts w:eastAsia="Garamond"/>
          <w:spacing w:val="-3"/>
        </w:rPr>
        <w:t>d</w:t>
      </w:r>
      <w:r w:rsidRPr="00496439">
        <w:rPr>
          <w:rFonts w:eastAsia="Garamond"/>
        </w:rPr>
        <w:t>e</w:t>
      </w:r>
      <w:r w:rsidRPr="00496439">
        <w:rPr>
          <w:rFonts w:eastAsia="Garamond"/>
          <w:spacing w:val="-9"/>
        </w:rPr>
        <w:t xml:space="preserve"> </w:t>
      </w:r>
      <w:r w:rsidRPr="00496439">
        <w:rPr>
          <w:rFonts w:eastAsia="Garamond"/>
          <w:spacing w:val="-1"/>
        </w:rPr>
        <w:t>r</w:t>
      </w:r>
      <w:r w:rsidRPr="00496439">
        <w:rPr>
          <w:rFonts w:eastAsia="Garamond"/>
          <w:spacing w:val="-3"/>
        </w:rPr>
        <w:t>is</w:t>
      </w:r>
      <w:r w:rsidRPr="00496439">
        <w:rPr>
          <w:rFonts w:eastAsia="Garamond"/>
        </w:rPr>
        <w:t>ken</w:t>
      </w:r>
      <w:r w:rsidRPr="00496439">
        <w:rPr>
          <w:rFonts w:eastAsia="Garamond"/>
          <w:spacing w:val="-12"/>
        </w:rPr>
        <w:t xml:space="preserve"> </w:t>
      </w:r>
      <w:r w:rsidRPr="00496439">
        <w:rPr>
          <w:rFonts w:eastAsia="Garamond"/>
          <w:spacing w:val="-1"/>
        </w:rPr>
        <w:t>f</w:t>
      </w:r>
      <w:r w:rsidRPr="00496439">
        <w:rPr>
          <w:rFonts w:eastAsia="Garamond"/>
          <w:spacing w:val="-5"/>
        </w:rPr>
        <w:t>ö</w:t>
      </w:r>
      <w:r w:rsidRPr="00496439">
        <w:rPr>
          <w:rFonts w:eastAsia="Garamond"/>
        </w:rPr>
        <w:t>r</w:t>
      </w:r>
      <w:r w:rsidRPr="00496439">
        <w:rPr>
          <w:rFonts w:eastAsia="Garamond"/>
          <w:spacing w:val="-15"/>
        </w:rPr>
        <w:t xml:space="preserve"> </w:t>
      </w:r>
      <w:r w:rsidRPr="00496439">
        <w:rPr>
          <w:rFonts w:eastAsia="Garamond"/>
          <w:spacing w:val="-7"/>
        </w:rPr>
        <w:t>s</w:t>
      </w:r>
      <w:r w:rsidRPr="00496439">
        <w:rPr>
          <w:rFonts w:eastAsia="Garamond"/>
          <w:spacing w:val="2"/>
        </w:rPr>
        <w:t>t</w:t>
      </w:r>
      <w:r w:rsidRPr="00496439">
        <w:rPr>
          <w:rFonts w:eastAsia="Garamond"/>
          <w:spacing w:val="-4"/>
        </w:rPr>
        <w:t>r</w:t>
      </w:r>
      <w:r w:rsidRPr="00496439">
        <w:rPr>
          <w:rFonts w:eastAsia="Garamond"/>
          <w:spacing w:val="-1"/>
        </w:rPr>
        <w:t>o</w:t>
      </w:r>
      <w:r w:rsidRPr="00496439">
        <w:rPr>
          <w:rFonts w:eastAsia="Garamond"/>
        </w:rPr>
        <w:t>ke</w:t>
      </w:r>
      <w:r w:rsidRPr="00496439">
        <w:rPr>
          <w:rFonts w:eastAsia="Garamond"/>
          <w:spacing w:val="-9"/>
        </w:rPr>
        <w:t xml:space="preserve"> </w:t>
      </w:r>
      <w:r w:rsidRPr="00496439">
        <w:rPr>
          <w:rFonts w:eastAsia="Garamond"/>
        </w:rPr>
        <w:t>vid</w:t>
      </w:r>
      <w:r w:rsidRPr="00496439">
        <w:rPr>
          <w:rFonts w:eastAsia="Garamond"/>
          <w:spacing w:val="-10"/>
        </w:rPr>
        <w:t xml:space="preserve"> </w:t>
      </w:r>
      <w:r w:rsidRPr="00496439">
        <w:rPr>
          <w:rFonts w:eastAsia="Garamond"/>
        </w:rPr>
        <w:t>ökan</w:t>
      </w:r>
      <w:r w:rsidRPr="00496439">
        <w:rPr>
          <w:rFonts w:eastAsia="Garamond"/>
          <w:spacing w:val="-3"/>
        </w:rPr>
        <w:t>d</w:t>
      </w:r>
      <w:r w:rsidRPr="00496439">
        <w:rPr>
          <w:rFonts w:eastAsia="Garamond"/>
        </w:rPr>
        <w:t>e</w:t>
      </w:r>
      <w:r w:rsidRPr="00496439">
        <w:rPr>
          <w:rFonts w:eastAsia="Garamond"/>
          <w:spacing w:val="-9"/>
        </w:rPr>
        <w:t xml:space="preserve"> </w:t>
      </w:r>
      <w:r w:rsidRPr="00496439">
        <w:rPr>
          <w:rFonts w:eastAsia="Garamond"/>
          <w:spacing w:val="-1"/>
        </w:rPr>
        <w:t>r</w:t>
      </w:r>
      <w:r w:rsidRPr="00496439">
        <w:rPr>
          <w:rFonts w:eastAsia="Garamond"/>
        </w:rPr>
        <w:t>i</w:t>
      </w:r>
      <w:r w:rsidRPr="00496439">
        <w:rPr>
          <w:rFonts w:eastAsia="Garamond"/>
          <w:spacing w:val="-7"/>
        </w:rPr>
        <w:t>s</w:t>
      </w:r>
      <w:r w:rsidRPr="00496439">
        <w:rPr>
          <w:rFonts w:eastAsia="Garamond"/>
        </w:rPr>
        <w:t>k</w:t>
      </w:r>
      <w:r w:rsidRPr="00496439">
        <w:rPr>
          <w:rFonts w:eastAsia="Garamond"/>
          <w:spacing w:val="-9"/>
        </w:rPr>
        <w:t xml:space="preserve"> </w:t>
      </w:r>
      <w:r w:rsidRPr="00496439">
        <w:rPr>
          <w:rFonts w:eastAsia="Garamond"/>
          <w:spacing w:val="-7"/>
        </w:rPr>
        <w:t>s</w:t>
      </w:r>
      <w:r w:rsidRPr="00496439">
        <w:rPr>
          <w:rFonts w:eastAsia="Garamond"/>
          <w:spacing w:val="-2"/>
        </w:rPr>
        <w:t>c</w:t>
      </w:r>
      <w:r w:rsidRPr="00496439">
        <w:rPr>
          <w:rFonts w:eastAsia="Garamond"/>
          <w:spacing w:val="-1"/>
        </w:rPr>
        <w:t>or</w:t>
      </w:r>
      <w:r w:rsidRPr="00496439">
        <w:rPr>
          <w:rFonts w:eastAsia="Garamond"/>
        </w:rPr>
        <w:t>e</w:t>
      </w:r>
      <w:r w:rsidRPr="00496439">
        <w:rPr>
          <w:rFonts w:eastAsia="Garamond"/>
          <w:spacing w:val="-9"/>
        </w:rPr>
        <w:t xml:space="preserve"> </w:t>
      </w:r>
      <w:r w:rsidRPr="00496439">
        <w:rPr>
          <w:rFonts w:eastAsia="Garamond"/>
        </w:rPr>
        <w:t>0–9</w:t>
      </w:r>
      <w:r w:rsidRPr="00496439">
        <w:rPr>
          <w:rFonts w:eastAsia="Garamond"/>
          <w:spacing w:val="41"/>
        </w:rPr>
        <w:t xml:space="preserve"> </w:t>
      </w:r>
      <w:r w:rsidRPr="00496439">
        <w:rPr>
          <w:rFonts w:eastAsia="Garamond"/>
          <w:spacing w:val="-7"/>
        </w:rPr>
        <w:t>s</w:t>
      </w:r>
      <w:r w:rsidRPr="00496439">
        <w:rPr>
          <w:rFonts w:eastAsia="Garamond"/>
        </w:rPr>
        <w:t>e</w:t>
      </w:r>
      <w:r w:rsidRPr="00496439">
        <w:rPr>
          <w:rFonts w:eastAsia="Garamond"/>
          <w:spacing w:val="-9"/>
        </w:rPr>
        <w:t xml:space="preserve"> </w:t>
      </w:r>
      <w:r w:rsidRPr="00496439">
        <w:rPr>
          <w:rFonts w:eastAsia="Garamond"/>
        </w:rPr>
        <w:t>neda</w:t>
      </w:r>
      <w:r>
        <w:rPr>
          <w:rFonts w:eastAsia="Garamond"/>
        </w:rPr>
        <w:t>n</w:t>
      </w:r>
    </w:p>
    <w:p w14:paraId="3A6FDC49" w14:textId="77777777" w:rsidR="00A20158" w:rsidRPr="0093264A" w:rsidRDefault="00A20158" w:rsidP="00A20158">
      <w:pPr>
        <w:rPr>
          <w:rFonts w:eastAsia="Garamond"/>
        </w:rPr>
      </w:pPr>
    </w:p>
    <w:tbl>
      <w:tblPr>
        <w:tblW w:w="0" w:type="auto"/>
        <w:tblInd w:w="93" w:type="dxa"/>
        <w:tblLayout w:type="fixed"/>
        <w:tblLook w:val="01E0" w:firstRow="1" w:lastRow="1" w:firstColumn="1" w:lastColumn="1" w:noHBand="0" w:noVBand="0"/>
      </w:tblPr>
      <w:tblGrid>
        <w:gridCol w:w="865"/>
        <w:gridCol w:w="6120"/>
      </w:tblGrid>
      <w:tr w:rsidR="00A20158" w:rsidRPr="003A5356" w14:paraId="6CA3CEB6" w14:textId="77777777" w:rsidTr="00632FCC">
        <w:trPr>
          <w:trHeight w:hRule="exact" w:val="287"/>
        </w:trPr>
        <w:tc>
          <w:tcPr>
            <w:tcW w:w="865" w:type="dxa"/>
            <w:tcBorders>
              <w:top w:val="single" w:sz="12" w:space="0" w:color="4F81BB"/>
              <w:left w:val="single" w:sz="8" w:space="0" w:color="4F81BB"/>
              <w:bottom w:val="single" w:sz="8" w:space="0" w:color="4F81BB"/>
              <w:right w:val="single" w:sz="8" w:space="0" w:color="000000" w:themeColor="text1"/>
            </w:tcBorders>
            <w:hideMark/>
          </w:tcPr>
          <w:p w14:paraId="7062A68C" w14:textId="77777777" w:rsidR="00A20158" w:rsidRPr="003A5356" w:rsidRDefault="00A20158" w:rsidP="00632FCC">
            <w:pPr>
              <w:rPr>
                <w:rFonts w:eastAsia="Garamond" w:cs="Garamond"/>
                <w:lang w:val="en-US"/>
              </w:rPr>
            </w:pPr>
            <w:r w:rsidRPr="003A5356">
              <w:rPr>
                <w:rFonts w:eastAsia="Garamond" w:cs="Garamond"/>
                <w:b/>
                <w:bCs/>
                <w:spacing w:val="-10"/>
                <w:lang w:val="en-US"/>
              </w:rPr>
              <w:t>P</w:t>
            </w:r>
            <w:r w:rsidRPr="003A5356">
              <w:rPr>
                <w:rFonts w:eastAsia="Garamond" w:cs="Garamond"/>
                <w:b/>
                <w:bCs/>
                <w:spacing w:val="-1"/>
                <w:lang w:val="en-US"/>
              </w:rPr>
              <w:t>o</w:t>
            </w:r>
            <w:r w:rsidRPr="003A5356">
              <w:rPr>
                <w:rFonts w:eastAsia="Garamond" w:cs="Garamond"/>
                <w:b/>
                <w:bCs/>
                <w:lang w:val="en-US"/>
              </w:rPr>
              <w:t>ä</w:t>
            </w:r>
            <w:r w:rsidRPr="003A5356">
              <w:rPr>
                <w:rFonts w:eastAsia="Garamond" w:cs="Garamond"/>
                <w:b/>
                <w:bCs/>
                <w:spacing w:val="-1"/>
                <w:lang w:val="en-US"/>
              </w:rPr>
              <w:t>n</w:t>
            </w:r>
            <w:r w:rsidRPr="003A5356">
              <w:rPr>
                <w:rFonts w:eastAsia="Garamond" w:cs="Garamond"/>
                <w:b/>
                <w:bCs/>
                <w:lang w:val="en-US"/>
              </w:rPr>
              <w:t>g</w:t>
            </w:r>
          </w:p>
        </w:tc>
        <w:tc>
          <w:tcPr>
            <w:tcW w:w="6120" w:type="dxa"/>
            <w:vMerge w:val="restart"/>
            <w:tcBorders>
              <w:top w:val="single" w:sz="12" w:space="0" w:color="4F81BB"/>
              <w:left w:val="single" w:sz="8" w:space="0" w:color="000000" w:themeColor="text1"/>
              <w:bottom w:val="single" w:sz="8" w:space="0" w:color="4F81BB"/>
              <w:right w:val="single" w:sz="8" w:space="0" w:color="4F81BB"/>
            </w:tcBorders>
            <w:hideMark/>
          </w:tcPr>
          <w:p w14:paraId="139C3462" w14:textId="77777777" w:rsidR="00A20158" w:rsidRPr="003A5356" w:rsidRDefault="00A20158" w:rsidP="00632FCC">
            <w:pPr>
              <w:rPr>
                <w:rFonts w:eastAsia="Garamond" w:cs="Garamond"/>
              </w:rPr>
            </w:pPr>
            <w:r w:rsidRPr="003A5356">
              <w:rPr>
                <w:rFonts w:eastAsia="Garamond" w:cs="Garamond"/>
                <w:b/>
                <w:bCs/>
              </w:rPr>
              <w:t>Å</w:t>
            </w:r>
            <w:r w:rsidRPr="003A5356">
              <w:rPr>
                <w:rFonts w:eastAsia="Garamond" w:cs="Garamond"/>
                <w:b/>
                <w:bCs/>
                <w:spacing w:val="-1"/>
              </w:rPr>
              <w:t>r</w:t>
            </w:r>
            <w:r w:rsidRPr="003A5356">
              <w:rPr>
                <w:rFonts w:eastAsia="Garamond" w:cs="Garamond"/>
                <w:b/>
                <w:bCs/>
              </w:rPr>
              <w:t>l</w:t>
            </w:r>
            <w:r w:rsidRPr="003A5356">
              <w:rPr>
                <w:rFonts w:eastAsia="Garamond" w:cs="Garamond"/>
                <w:b/>
                <w:bCs/>
                <w:spacing w:val="-1"/>
              </w:rPr>
              <w:t>i</w:t>
            </w:r>
            <w:r w:rsidRPr="003A5356">
              <w:rPr>
                <w:rFonts w:eastAsia="Garamond" w:cs="Garamond"/>
                <w:b/>
                <w:bCs/>
              </w:rPr>
              <w:t>g</w:t>
            </w:r>
            <w:r w:rsidRPr="003A5356">
              <w:rPr>
                <w:rFonts w:eastAsia="Garamond" w:cs="Garamond"/>
                <w:b/>
                <w:bCs/>
                <w:spacing w:val="-25"/>
              </w:rPr>
              <w:t xml:space="preserve"> </w:t>
            </w:r>
            <w:r w:rsidRPr="003A5356">
              <w:rPr>
                <w:rFonts w:eastAsia="Garamond" w:cs="Garamond"/>
                <w:b/>
                <w:bCs/>
                <w:spacing w:val="-1"/>
              </w:rPr>
              <w:t>r</w:t>
            </w:r>
            <w:r w:rsidRPr="003A5356">
              <w:rPr>
                <w:rFonts w:eastAsia="Garamond" w:cs="Garamond"/>
                <w:b/>
                <w:bCs/>
                <w:spacing w:val="-3"/>
              </w:rPr>
              <w:t>i</w:t>
            </w:r>
            <w:r w:rsidRPr="003A5356">
              <w:rPr>
                <w:rFonts w:eastAsia="Garamond" w:cs="Garamond"/>
                <w:b/>
                <w:bCs/>
              </w:rPr>
              <w:t>sk</w:t>
            </w:r>
            <w:r w:rsidRPr="003A5356">
              <w:rPr>
                <w:rFonts w:eastAsia="Garamond" w:cs="Garamond"/>
                <w:b/>
                <w:bCs/>
                <w:spacing w:val="-21"/>
              </w:rPr>
              <w:t xml:space="preserve"> </w:t>
            </w:r>
            <w:r w:rsidRPr="003A5356">
              <w:rPr>
                <w:rFonts w:eastAsia="Garamond" w:cs="Garamond"/>
                <w:b/>
                <w:bCs/>
                <w:spacing w:val="-1"/>
              </w:rPr>
              <w:t>f</w:t>
            </w:r>
            <w:r w:rsidRPr="003A5356">
              <w:rPr>
                <w:rFonts w:eastAsia="Garamond" w:cs="Garamond"/>
                <w:b/>
                <w:bCs/>
              </w:rPr>
              <w:t>ör</w:t>
            </w:r>
            <w:r w:rsidRPr="003A5356">
              <w:rPr>
                <w:rFonts w:eastAsia="Garamond" w:cs="Garamond"/>
                <w:b/>
                <w:bCs/>
                <w:spacing w:val="-23"/>
              </w:rPr>
              <w:t xml:space="preserve"> </w:t>
            </w:r>
            <w:r w:rsidRPr="003A5356">
              <w:rPr>
                <w:rFonts w:eastAsia="Garamond" w:cs="Garamond"/>
                <w:b/>
                <w:bCs/>
                <w:spacing w:val="-1"/>
              </w:rPr>
              <w:t>t</w:t>
            </w:r>
            <w:r w:rsidRPr="003A5356">
              <w:rPr>
                <w:rFonts w:eastAsia="Garamond" w:cs="Garamond"/>
                <w:b/>
                <w:bCs/>
                <w:spacing w:val="-7"/>
              </w:rPr>
              <w:t>r</w:t>
            </w:r>
            <w:r w:rsidRPr="003A5356">
              <w:rPr>
                <w:rFonts w:eastAsia="Garamond" w:cs="Garamond"/>
                <w:b/>
                <w:bCs/>
                <w:spacing w:val="-1"/>
              </w:rPr>
              <w:t>o</w:t>
            </w:r>
            <w:r w:rsidRPr="003A5356">
              <w:rPr>
                <w:rFonts w:eastAsia="Garamond" w:cs="Garamond"/>
                <w:b/>
                <w:bCs/>
                <w:spacing w:val="-5"/>
              </w:rPr>
              <w:t>m</w:t>
            </w:r>
            <w:r w:rsidRPr="003A5356">
              <w:rPr>
                <w:rFonts w:eastAsia="Garamond" w:cs="Garamond"/>
                <w:b/>
                <w:bCs/>
                <w:spacing w:val="-1"/>
              </w:rPr>
              <w:t>bo</w:t>
            </w:r>
            <w:r w:rsidRPr="003A5356">
              <w:rPr>
                <w:rFonts w:eastAsia="Garamond" w:cs="Garamond"/>
                <w:b/>
                <w:bCs/>
              </w:rPr>
              <w:t>e</w:t>
            </w:r>
            <w:r w:rsidRPr="003A5356">
              <w:rPr>
                <w:rFonts w:eastAsia="Garamond" w:cs="Garamond"/>
                <w:b/>
                <w:bCs/>
                <w:spacing w:val="-7"/>
              </w:rPr>
              <w:t>m</w:t>
            </w:r>
            <w:r w:rsidRPr="003A5356">
              <w:rPr>
                <w:rFonts w:eastAsia="Garamond" w:cs="Garamond"/>
                <w:b/>
                <w:bCs/>
                <w:spacing w:val="1"/>
              </w:rPr>
              <w:t>b</w:t>
            </w:r>
            <w:r w:rsidRPr="003A5356">
              <w:rPr>
                <w:rFonts w:eastAsia="Garamond" w:cs="Garamond"/>
                <w:b/>
                <w:bCs/>
                <w:spacing w:val="-1"/>
              </w:rPr>
              <w:t>ol</w:t>
            </w:r>
            <w:r w:rsidRPr="003A5356">
              <w:rPr>
                <w:rFonts w:eastAsia="Garamond" w:cs="Garamond"/>
                <w:b/>
                <w:bCs/>
                <w:spacing w:val="-3"/>
              </w:rPr>
              <w:t>i</w:t>
            </w:r>
            <w:r w:rsidRPr="003A5356">
              <w:rPr>
                <w:rFonts w:eastAsia="Garamond" w:cs="Garamond"/>
                <w:b/>
                <w:bCs/>
              </w:rPr>
              <w:t>sk</w:t>
            </w:r>
            <w:r w:rsidRPr="003A5356">
              <w:rPr>
                <w:rFonts w:eastAsia="Garamond" w:cs="Garamond"/>
                <w:b/>
                <w:bCs/>
                <w:spacing w:val="-21"/>
              </w:rPr>
              <w:t xml:space="preserve"> </w:t>
            </w:r>
            <w:r w:rsidRPr="003A5356">
              <w:rPr>
                <w:rFonts w:eastAsia="Garamond" w:cs="Garamond"/>
                <w:b/>
                <w:bCs/>
                <w:spacing w:val="-3"/>
              </w:rPr>
              <w:t>h</w:t>
            </w:r>
            <w:r w:rsidRPr="003A5356">
              <w:rPr>
                <w:rFonts w:eastAsia="Garamond" w:cs="Garamond"/>
                <w:b/>
                <w:bCs/>
              </w:rPr>
              <w:t>ä</w:t>
            </w:r>
            <w:r w:rsidRPr="003A5356">
              <w:rPr>
                <w:rFonts w:eastAsia="Garamond" w:cs="Garamond"/>
                <w:b/>
                <w:bCs/>
                <w:spacing w:val="-3"/>
              </w:rPr>
              <w:t>n</w:t>
            </w:r>
            <w:r w:rsidRPr="003A5356">
              <w:rPr>
                <w:rFonts w:eastAsia="Garamond" w:cs="Garamond"/>
                <w:b/>
                <w:bCs/>
                <w:spacing w:val="-1"/>
              </w:rPr>
              <w:t>d</w:t>
            </w:r>
            <w:r w:rsidRPr="003A5356">
              <w:rPr>
                <w:rFonts w:eastAsia="Garamond" w:cs="Garamond"/>
                <w:b/>
                <w:bCs/>
              </w:rPr>
              <w:t>e</w:t>
            </w:r>
            <w:r w:rsidRPr="003A5356">
              <w:rPr>
                <w:rFonts w:eastAsia="Garamond" w:cs="Garamond"/>
                <w:b/>
                <w:bCs/>
                <w:spacing w:val="-3"/>
              </w:rPr>
              <w:t>l</w:t>
            </w:r>
            <w:r w:rsidRPr="003A5356">
              <w:rPr>
                <w:rFonts w:eastAsia="Garamond" w:cs="Garamond"/>
                <w:b/>
                <w:bCs/>
                <w:spacing w:val="-2"/>
              </w:rPr>
              <w:t>s</w:t>
            </w:r>
            <w:r w:rsidRPr="003A5356">
              <w:rPr>
                <w:rFonts w:eastAsia="Garamond" w:cs="Garamond"/>
                <w:b/>
                <w:bCs/>
              </w:rPr>
              <w:t>e</w:t>
            </w:r>
          </w:p>
          <w:p w14:paraId="6A926040" w14:textId="77777777" w:rsidR="00A20158" w:rsidRPr="003A5356" w:rsidRDefault="00A20158" w:rsidP="00632FCC">
            <w:pPr>
              <w:rPr>
                <w:rFonts w:eastAsia="Garamond" w:cs="Garamond"/>
              </w:rPr>
            </w:pPr>
            <w:r w:rsidRPr="003A5356">
              <w:rPr>
                <w:rFonts w:eastAsia="Garamond" w:cs="Garamond"/>
              </w:rPr>
              <w:t>0</w:t>
            </w:r>
            <w:r w:rsidRPr="003A5356">
              <w:rPr>
                <w:rFonts w:eastAsia="Garamond" w:cs="Garamond"/>
                <w:spacing w:val="-14"/>
              </w:rPr>
              <w:t xml:space="preserve"> </w:t>
            </w:r>
            <w:r w:rsidRPr="003A5356">
              <w:rPr>
                <w:rFonts w:eastAsia="Garamond" w:cs="Garamond"/>
              </w:rPr>
              <w:t>%</w:t>
            </w:r>
          </w:p>
          <w:p w14:paraId="0C83707D" w14:textId="77777777" w:rsidR="00A20158" w:rsidRPr="003A5356" w:rsidRDefault="00A20158" w:rsidP="00632FCC">
            <w:pPr>
              <w:rPr>
                <w:rFonts w:eastAsia="Garamond" w:cs="Garamond"/>
                <w:lang w:val="en-US"/>
              </w:rPr>
            </w:pPr>
            <w:r w:rsidRPr="003A5356">
              <w:rPr>
                <w:rFonts w:eastAsia="Garamond" w:cs="Garamond"/>
                <w:lang w:val="en-US"/>
              </w:rPr>
              <w:t>1,3</w:t>
            </w:r>
            <w:r w:rsidRPr="003A5356">
              <w:rPr>
                <w:rFonts w:eastAsia="Garamond" w:cs="Garamond"/>
                <w:spacing w:val="-15"/>
                <w:lang w:val="en-US"/>
              </w:rPr>
              <w:t xml:space="preserve"> </w:t>
            </w:r>
            <w:r w:rsidRPr="003A5356">
              <w:rPr>
                <w:rFonts w:eastAsia="Garamond" w:cs="Garamond"/>
                <w:lang w:val="en-US"/>
              </w:rPr>
              <w:t>%</w:t>
            </w:r>
          </w:p>
          <w:p w14:paraId="297F1AD7" w14:textId="77777777" w:rsidR="00A20158" w:rsidRPr="003A5356" w:rsidRDefault="00A20158" w:rsidP="00632FCC">
            <w:pPr>
              <w:rPr>
                <w:rFonts w:eastAsia="Garamond" w:cs="Garamond"/>
                <w:lang w:val="en-US"/>
              </w:rPr>
            </w:pPr>
            <w:r w:rsidRPr="003A5356">
              <w:rPr>
                <w:rFonts w:eastAsia="Garamond" w:cs="Garamond"/>
                <w:lang w:val="en-US"/>
              </w:rPr>
              <w:t>2,2</w:t>
            </w:r>
            <w:r w:rsidRPr="003A5356">
              <w:rPr>
                <w:rFonts w:eastAsia="Garamond" w:cs="Garamond"/>
                <w:spacing w:val="-15"/>
                <w:lang w:val="en-US"/>
              </w:rPr>
              <w:t xml:space="preserve"> </w:t>
            </w:r>
            <w:r w:rsidRPr="003A5356">
              <w:rPr>
                <w:rFonts w:eastAsia="Garamond" w:cs="Garamond"/>
                <w:lang w:val="en-US"/>
              </w:rPr>
              <w:t>%</w:t>
            </w:r>
          </w:p>
          <w:p w14:paraId="0C358320" w14:textId="77777777" w:rsidR="00A20158" w:rsidRPr="003A5356" w:rsidRDefault="00A20158" w:rsidP="00632FCC">
            <w:pPr>
              <w:rPr>
                <w:rFonts w:eastAsia="Garamond" w:cs="Garamond"/>
                <w:lang w:val="en-US"/>
              </w:rPr>
            </w:pPr>
            <w:r w:rsidRPr="003A5356">
              <w:rPr>
                <w:rFonts w:eastAsia="Garamond" w:cs="Garamond"/>
                <w:lang w:val="en-US"/>
              </w:rPr>
              <w:t>3,2</w:t>
            </w:r>
            <w:r w:rsidRPr="003A5356">
              <w:rPr>
                <w:rFonts w:eastAsia="Garamond" w:cs="Garamond"/>
                <w:spacing w:val="-15"/>
                <w:lang w:val="en-US"/>
              </w:rPr>
              <w:t xml:space="preserve"> </w:t>
            </w:r>
            <w:r w:rsidRPr="003A5356">
              <w:rPr>
                <w:rFonts w:eastAsia="Garamond" w:cs="Garamond"/>
                <w:lang w:val="en-US"/>
              </w:rPr>
              <w:t>%</w:t>
            </w:r>
          </w:p>
          <w:p w14:paraId="7BF40E01" w14:textId="77777777" w:rsidR="00A20158" w:rsidRPr="003A5356" w:rsidRDefault="00A20158" w:rsidP="00632FCC">
            <w:pPr>
              <w:rPr>
                <w:rFonts w:eastAsia="Garamond" w:cs="Garamond"/>
                <w:lang w:val="en-US"/>
              </w:rPr>
            </w:pPr>
            <w:r w:rsidRPr="003A5356">
              <w:rPr>
                <w:rFonts w:eastAsia="Garamond" w:cs="Garamond"/>
                <w:lang w:val="en-US"/>
              </w:rPr>
              <w:t>4,0</w:t>
            </w:r>
            <w:r w:rsidRPr="003A5356">
              <w:rPr>
                <w:rFonts w:eastAsia="Garamond" w:cs="Garamond"/>
                <w:spacing w:val="-15"/>
                <w:lang w:val="en-US"/>
              </w:rPr>
              <w:t xml:space="preserve"> </w:t>
            </w:r>
            <w:r w:rsidRPr="003A5356">
              <w:rPr>
                <w:rFonts w:eastAsia="Garamond" w:cs="Garamond"/>
                <w:lang w:val="en-US"/>
              </w:rPr>
              <w:t>%</w:t>
            </w:r>
          </w:p>
          <w:p w14:paraId="5CCA4315" w14:textId="77777777" w:rsidR="00A20158" w:rsidRPr="003A5356" w:rsidRDefault="00A20158" w:rsidP="00632FCC">
            <w:pPr>
              <w:rPr>
                <w:rFonts w:eastAsia="Garamond" w:cs="Garamond"/>
                <w:lang w:val="en-US"/>
              </w:rPr>
            </w:pPr>
            <w:r w:rsidRPr="003A5356">
              <w:rPr>
                <w:rFonts w:eastAsia="Garamond" w:cs="Garamond"/>
                <w:lang w:val="en-US"/>
              </w:rPr>
              <w:t>6,7</w:t>
            </w:r>
            <w:r w:rsidRPr="003A5356">
              <w:rPr>
                <w:rFonts w:eastAsia="Garamond" w:cs="Garamond"/>
                <w:spacing w:val="-15"/>
                <w:lang w:val="en-US"/>
              </w:rPr>
              <w:t xml:space="preserve"> </w:t>
            </w:r>
            <w:r w:rsidRPr="003A5356">
              <w:rPr>
                <w:rFonts w:eastAsia="Garamond" w:cs="Garamond"/>
                <w:lang w:val="en-US"/>
              </w:rPr>
              <w:t>%</w:t>
            </w:r>
          </w:p>
          <w:p w14:paraId="567C6D3F" w14:textId="77777777" w:rsidR="00A20158" w:rsidRPr="003A5356" w:rsidRDefault="00A20158" w:rsidP="00632FCC">
            <w:pPr>
              <w:rPr>
                <w:rFonts w:eastAsia="Garamond" w:cs="Garamond"/>
                <w:lang w:val="en-US"/>
              </w:rPr>
            </w:pPr>
            <w:r w:rsidRPr="003A5356">
              <w:rPr>
                <w:rFonts w:eastAsia="Garamond" w:cs="Garamond"/>
                <w:lang w:val="en-US"/>
              </w:rPr>
              <w:t>9,8</w:t>
            </w:r>
            <w:r w:rsidRPr="003A5356">
              <w:rPr>
                <w:rFonts w:eastAsia="Garamond" w:cs="Garamond"/>
                <w:spacing w:val="-15"/>
                <w:lang w:val="en-US"/>
              </w:rPr>
              <w:t xml:space="preserve"> </w:t>
            </w:r>
            <w:r w:rsidRPr="003A5356">
              <w:rPr>
                <w:rFonts w:eastAsia="Garamond" w:cs="Garamond"/>
                <w:lang w:val="en-US"/>
              </w:rPr>
              <w:t>%</w:t>
            </w:r>
          </w:p>
          <w:p w14:paraId="7E77E3F2" w14:textId="77777777" w:rsidR="00A20158" w:rsidRPr="003A5356" w:rsidRDefault="00A20158" w:rsidP="00632FCC">
            <w:pPr>
              <w:rPr>
                <w:rFonts w:eastAsia="Garamond" w:cs="Garamond"/>
                <w:lang w:val="en-US"/>
              </w:rPr>
            </w:pPr>
            <w:r w:rsidRPr="003A5356">
              <w:rPr>
                <w:rFonts w:eastAsia="Garamond" w:cs="Garamond"/>
                <w:lang w:val="en-US"/>
              </w:rPr>
              <w:t>9,6</w:t>
            </w:r>
            <w:r w:rsidRPr="003A5356">
              <w:rPr>
                <w:rFonts w:eastAsia="Garamond" w:cs="Garamond"/>
                <w:spacing w:val="-15"/>
                <w:lang w:val="en-US"/>
              </w:rPr>
              <w:t xml:space="preserve"> </w:t>
            </w:r>
            <w:r w:rsidRPr="003A5356">
              <w:rPr>
                <w:rFonts w:eastAsia="Garamond" w:cs="Garamond"/>
                <w:lang w:val="en-US"/>
              </w:rPr>
              <w:t>%</w:t>
            </w:r>
          </w:p>
          <w:p w14:paraId="5870C7DA" w14:textId="77777777" w:rsidR="00A20158" w:rsidRPr="003A5356" w:rsidRDefault="00A20158" w:rsidP="00632FCC">
            <w:pPr>
              <w:rPr>
                <w:rFonts w:eastAsia="Garamond" w:cs="Garamond"/>
                <w:lang w:val="en-US"/>
              </w:rPr>
            </w:pPr>
            <w:r w:rsidRPr="003A5356">
              <w:rPr>
                <w:rFonts w:eastAsia="Garamond" w:cs="Garamond"/>
                <w:lang w:val="en-US"/>
              </w:rPr>
              <w:t>6,7</w:t>
            </w:r>
            <w:r w:rsidRPr="003A5356">
              <w:rPr>
                <w:rFonts w:eastAsia="Garamond" w:cs="Garamond"/>
                <w:spacing w:val="-15"/>
                <w:lang w:val="en-US"/>
              </w:rPr>
              <w:t xml:space="preserve"> </w:t>
            </w:r>
            <w:r w:rsidRPr="003A5356">
              <w:rPr>
                <w:rFonts w:eastAsia="Garamond" w:cs="Garamond"/>
                <w:lang w:val="en-US"/>
              </w:rPr>
              <w:t>%</w:t>
            </w:r>
          </w:p>
          <w:p w14:paraId="79AFE9A8" w14:textId="77777777" w:rsidR="00A20158" w:rsidRPr="003A5356" w:rsidRDefault="00A20158" w:rsidP="00632FCC">
            <w:pPr>
              <w:rPr>
                <w:rFonts w:eastAsia="Garamond" w:cs="Garamond"/>
                <w:lang w:val="en-US"/>
              </w:rPr>
            </w:pPr>
            <w:r w:rsidRPr="003A5356">
              <w:rPr>
                <w:rFonts w:eastAsia="Garamond" w:cs="Garamond"/>
                <w:lang w:val="en-US"/>
              </w:rPr>
              <w:t>15,2</w:t>
            </w:r>
            <w:r w:rsidRPr="003A5356">
              <w:rPr>
                <w:rFonts w:eastAsia="Garamond" w:cs="Garamond"/>
                <w:spacing w:val="-18"/>
                <w:lang w:val="en-US"/>
              </w:rPr>
              <w:t xml:space="preserve"> </w:t>
            </w:r>
            <w:r w:rsidRPr="003A5356">
              <w:rPr>
                <w:rFonts w:eastAsia="Garamond" w:cs="Garamond"/>
                <w:lang w:val="en-US"/>
              </w:rPr>
              <w:t>%</w:t>
            </w:r>
          </w:p>
        </w:tc>
      </w:tr>
      <w:tr w:rsidR="00A20158" w:rsidRPr="003A5356" w14:paraId="6E135D1C" w14:textId="77777777" w:rsidTr="00632FCC">
        <w:trPr>
          <w:trHeight w:val="288"/>
        </w:trPr>
        <w:tc>
          <w:tcPr>
            <w:tcW w:w="865" w:type="dxa"/>
            <w:tcBorders>
              <w:top w:val="single" w:sz="8" w:space="0" w:color="4F81BB"/>
              <w:left w:val="single" w:sz="8" w:space="0" w:color="4F81BB"/>
              <w:bottom w:val="single" w:sz="8" w:space="0" w:color="4F81BB"/>
              <w:right w:val="single" w:sz="8" w:space="0" w:color="000000" w:themeColor="text1"/>
            </w:tcBorders>
            <w:hideMark/>
          </w:tcPr>
          <w:p w14:paraId="633DFF8C" w14:textId="77777777" w:rsidR="00A20158" w:rsidRPr="003A5356" w:rsidRDefault="00A20158" w:rsidP="00632FCC">
            <w:pPr>
              <w:rPr>
                <w:rFonts w:eastAsia="Garamond" w:cs="Garamond"/>
                <w:lang w:val="en-US"/>
              </w:rPr>
            </w:pPr>
            <w:r w:rsidRPr="003A5356">
              <w:rPr>
                <w:rFonts w:eastAsia="Garamond" w:cs="Garamond"/>
                <w:b/>
                <w:bCs/>
                <w:lang w:val="en-US"/>
              </w:rPr>
              <w:t>0</w:t>
            </w:r>
          </w:p>
        </w:tc>
        <w:tc>
          <w:tcPr>
            <w:tcW w:w="6120" w:type="dxa"/>
            <w:vMerge/>
            <w:tcBorders>
              <w:top w:val="single" w:sz="12" w:space="0" w:color="4F81BB"/>
              <w:left w:val="single" w:sz="8" w:space="0" w:color="000000"/>
              <w:bottom w:val="single" w:sz="8" w:space="0" w:color="4F81BB"/>
              <w:right w:val="single" w:sz="8" w:space="0" w:color="4F81BB"/>
            </w:tcBorders>
            <w:vAlign w:val="center"/>
            <w:hideMark/>
          </w:tcPr>
          <w:p w14:paraId="5C817932" w14:textId="77777777" w:rsidR="00A20158" w:rsidRPr="003A5356" w:rsidRDefault="00A20158" w:rsidP="00632FCC">
            <w:pPr>
              <w:rPr>
                <w:rFonts w:eastAsia="Garamond" w:cs="Garamond"/>
              </w:rPr>
            </w:pPr>
          </w:p>
        </w:tc>
      </w:tr>
      <w:tr w:rsidR="00A20158" w:rsidRPr="003A5356" w14:paraId="59A3C029" w14:textId="77777777" w:rsidTr="00632FCC">
        <w:trPr>
          <w:trHeight w:val="288"/>
        </w:trPr>
        <w:tc>
          <w:tcPr>
            <w:tcW w:w="865" w:type="dxa"/>
            <w:tcBorders>
              <w:top w:val="single" w:sz="8" w:space="0" w:color="4F81BB"/>
              <w:left w:val="single" w:sz="8" w:space="0" w:color="4F81BB"/>
              <w:bottom w:val="single" w:sz="8" w:space="0" w:color="4F81BB"/>
              <w:right w:val="single" w:sz="8" w:space="0" w:color="000000" w:themeColor="text1"/>
            </w:tcBorders>
            <w:hideMark/>
          </w:tcPr>
          <w:p w14:paraId="77E7F53A" w14:textId="77777777" w:rsidR="00A20158" w:rsidRPr="003A5356" w:rsidRDefault="00A20158" w:rsidP="00632FCC">
            <w:pPr>
              <w:rPr>
                <w:rFonts w:eastAsia="Garamond" w:cs="Garamond"/>
                <w:lang w:val="en-US"/>
              </w:rPr>
            </w:pPr>
            <w:r w:rsidRPr="003A5356">
              <w:rPr>
                <w:rFonts w:eastAsia="Garamond" w:cs="Garamond"/>
                <w:b/>
                <w:bCs/>
                <w:lang w:val="en-US"/>
              </w:rPr>
              <w:t>1</w:t>
            </w:r>
          </w:p>
        </w:tc>
        <w:tc>
          <w:tcPr>
            <w:tcW w:w="6120" w:type="dxa"/>
            <w:vMerge/>
            <w:tcBorders>
              <w:top w:val="single" w:sz="12" w:space="0" w:color="4F81BB"/>
              <w:left w:val="single" w:sz="8" w:space="0" w:color="000000"/>
              <w:bottom w:val="single" w:sz="8" w:space="0" w:color="4F81BB"/>
              <w:right w:val="single" w:sz="8" w:space="0" w:color="4F81BB"/>
            </w:tcBorders>
            <w:vAlign w:val="center"/>
            <w:hideMark/>
          </w:tcPr>
          <w:p w14:paraId="18B7AE3B" w14:textId="77777777" w:rsidR="00A20158" w:rsidRPr="003A5356" w:rsidRDefault="00A20158" w:rsidP="00632FCC">
            <w:pPr>
              <w:rPr>
                <w:rFonts w:eastAsia="Garamond" w:cs="Garamond"/>
              </w:rPr>
            </w:pPr>
          </w:p>
        </w:tc>
      </w:tr>
      <w:tr w:rsidR="00A20158" w:rsidRPr="003A5356" w14:paraId="5025E633" w14:textId="77777777" w:rsidTr="00632FCC">
        <w:trPr>
          <w:trHeight w:val="288"/>
        </w:trPr>
        <w:tc>
          <w:tcPr>
            <w:tcW w:w="865" w:type="dxa"/>
            <w:tcBorders>
              <w:top w:val="single" w:sz="8" w:space="0" w:color="4F81BB"/>
              <w:left w:val="single" w:sz="8" w:space="0" w:color="4F81BB"/>
              <w:bottom w:val="single" w:sz="8" w:space="0" w:color="4F81BB"/>
              <w:right w:val="single" w:sz="8" w:space="0" w:color="000000" w:themeColor="text1"/>
            </w:tcBorders>
            <w:hideMark/>
          </w:tcPr>
          <w:p w14:paraId="7A0FBD9B" w14:textId="77777777" w:rsidR="00A20158" w:rsidRPr="003A5356" w:rsidRDefault="00A20158" w:rsidP="00632FCC">
            <w:pPr>
              <w:rPr>
                <w:rFonts w:eastAsia="Garamond" w:cs="Garamond"/>
                <w:lang w:val="en-US"/>
              </w:rPr>
            </w:pPr>
            <w:r w:rsidRPr="003A5356">
              <w:rPr>
                <w:rFonts w:eastAsia="Garamond" w:cs="Garamond"/>
                <w:b/>
                <w:bCs/>
                <w:lang w:val="en-US"/>
              </w:rPr>
              <w:t>2</w:t>
            </w:r>
          </w:p>
        </w:tc>
        <w:tc>
          <w:tcPr>
            <w:tcW w:w="6120" w:type="dxa"/>
            <w:vMerge/>
            <w:tcBorders>
              <w:top w:val="single" w:sz="12" w:space="0" w:color="4F81BB"/>
              <w:left w:val="single" w:sz="8" w:space="0" w:color="000000"/>
              <w:bottom w:val="single" w:sz="8" w:space="0" w:color="4F81BB"/>
              <w:right w:val="single" w:sz="8" w:space="0" w:color="4F81BB"/>
            </w:tcBorders>
            <w:vAlign w:val="center"/>
            <w:hideMark/>
          </w:tcPr>
          <w:p w14:paraId="48E9E5E9" w14:textId="77777777" w:rsidR="00A20158" w:rsidRPr="003A5356" w:rsidRDefault="00A20158" w:rsidP="00632FCC">
            <w:pPr>
              <w:rPr>
                <w:rFonts w:eastAsia="Garamond" w:cs="Garamond"/>
              </w:rPr>
            </w:pPr>
          </w:p>
        </w:tc>
      </w:tr>
      <w:tr w:rsidR="00A20158" w:rsidRPr="003A5356" w14:paraId="1317FDA9" w14:textId="77777777" w:rsidTr="00632FCC">
        <w:trPr>
          <w:trHeight w:val="290"/>
        </w:trPr>
        <w:tc>
          <w:tcPr>
            <w:tcW w:w="865" w:type="dxa"/>
            <w:tcBorders>
              <w:top w:val="single" w:sz="8" w:space="0" w:color="4F81BB"/>
              <w:left w:val="single" w:sz="8" w:space="0" w:color="4F81BB"/>
              <w:bottom w:val="single" w:sz="8" w:space="0" w:color="4F81BB"/>
              <w:right w:val="single" w:sz="8" w:space="0" w:color="000000" w:themeColor="text1"/>
            </w:tcBorders>
            <w:hideMark/>
          </w:tcPr>
          <w:p w14:paraId="58FD021A" w14:textId="77777777" w:rsidR="00A20158" w:rsidRPr="003A5356" w:rsidRDefault="00A20158" w:rsidP="00632FCC">
            <w:pPr>
              <w:rPr>
                <w:rFonts w:eastAsia="Garamond" w:cs="Garamond"/>
                <w:lang w:val="en-US"/>
              </w:rPr>
            </w:pPr>
            <w:r w:rsidRPr="003A5356">
              <w:rPr>
                <w:rFonts w:eastAsia="Garamond" w:cs="Garamond"/>
                <w:b/>
                <w:bCs/>
                <w:lang w:val="en-US"/>
              </w:rPr>
              <w:t>3</w:t>
            </w:r>
          </w:p>
        </w:tc>
        <w:tc>
          <w:tcPr>
            <w:tcW w:w="6120" w:type="dxa"/>
            <w:vMerge/>
            <w:tcBorders>
              <w:top w:val="single" w:sz="12" w:space="0" w:color="4F81BB"/>
              <w:left w:val="single" w:sz="8" w:space="0" w:color="000000"/>
              <w:bottom w:val="single" w:sz="8" w:space="0" w:color="4F81BB"/>
              <w:right w:val="single" w:sz="8" w:space="0" w:color="4F81BB"/>
            </w:tcBorders>
            <w:vAlign w:val="center"/>
            <w:hideMark/>
          </w:tcPr>
          <w:p w14:paraId="7D467589" w14:textId="77777777" w:rsidR="00A20158" w:rsidRPr="003A5356" w:rsidRDefault="00A20158" w:rsidP="00632FCC">
            <w:pPr>
              <w:rPr>
                <w:rFonts w:eastAsia="Garamond" w:cs="Garamond"/>
              </w:rPr>
            </w:pPr>
          </w:p>
        </w:tc>
      </w:tr>
      <w:tr w:rsidR="00A20158" w:rsidRPr="003A5356" w14:paraId="1BDFA1D9" w14:textId="77777777" w:rsidTr="00632FCC">
        <w:trPr>
          <w:trHeight w:val="290"/>
        </w:trPr>
        <w:tc>
          <w:tcPr>
            <w:tcW w:w="865" w:type="dxa"/>
            <w:tcBorders>
              <w:top w:val="single" w:sz="8" w:space="0" w:color="4F81BB"/>
              <w:left w:val="single" w:sz="8" w:space="0" w:color="4F81BB"/>
              <w:bottom w:val="single" w:sz="8" w:space="0" w:color="4F81BB"/>
              <w:right w:val="single" w:sz="8" w:space="0" w:color="000000" w:themeColor="text1"/>
            </w:tcBorders>
            <w:hideMark/>
          </w:tcPr>
          <w:p w14:paraId="1A6AFDA9" w14:textId="77777777" w:rsidR="00A20158" w:rsidRPr="003A5356" w:rsidRDefault="00A20158" w:rsidP="00632FCC">
            <w:pPr>
              <w:rPr>
                <w:rFonts w:eastAsia="Garamond" w:cs="Garamond"/>
                <w:lang w:val="en-US"/>
              </w:rPr>
            </w:pPr>
            <w:r w:rsidRPr="003A5356">
              <w:rPr>
                <w:rFonts w:eastAsia="Garamond" w:cs="Garamond"/>
                <w:b/>
                <w:bCs/>
                <w:lang w:val="en-US"/>
              </w:rPr>
              <w:t>4</w:t>
            </w:r>
          </w:p>
        </w:tc>
        <w:tc>
          <w:tcPr>
            <w:tcW w:w="6120" w:type="dxa"/>
            <w:vMerge/>
            <w:tcBorders>
              <w:top w:val="single" w:sz="12" w:space="0" w:color="4F81BB"/>
              <w:left w:val="single" w:sz="8" w:space="0" w:color="000000"/>
              <w:bottom w:val="single" w:sz="8" w:space="0" w:color="4F81BB"/>
              <w:right w:val="single" w:sz="8" w:space="0" w:color="4F81BB"/>
            </w:tcBorders>
            <w:vAlign w:val="center"/>
            <w:hideMark/>
          </w:tcPr>
          <w:p w14:paraId="1591F7E4" w14:textId="77777777" w:rsidR="00A20158" w:rsidRPr="003A5356" w:rsidRDefault="00A20158" w:rsidP="00632FCC">
            <w:pPr>
              <w:rPr>
                <w:rFonts w:eastAsia="Garamond" w:cs="Garamond"/>
              </w:rPr>
            </w:pPr>
          </w:p>
        </w:tc>
      </w:tr>
      <w:tr w:rsidR="00A20158" w:rsidRPr="003A5356" w14:paraId="0C95E151" w14:textId="77777777" w:rsidTr="00632FCC">
        <w:trPr>
          <w:trHeight w:val="288"/>
        </w:trPr>
        <w:tc>
          <w:tcPr>
            <w:tcW w:w="865" w:type="dxa"/>
            <w:tcBorders>
              <w:top w:val="single" w:sz="8" w:space="0" w:color="4F81BB"/>
              <w:left w:val="single" w:sz="8" w:space="0" w:color="4F81BB"/>
              <w:bottom w:val="single" w:sz="8" w:space="0" w:color="4F81BB"/>
              <w:right w:val="single" w:sz="8" w:space="0" w:color="000000" w:themeColor="text1"/>
            </w:tcBorders>
            <w:hideMark/>
          </w:tcPr>
          <w:p w14:paraId="6D50C843" w14:textId="77777777" w:rsidR="00A20158" w:rsidRPr="003A5356" w:rsidRDefault="00A20158" w:rsidP="00632FCC">
            <w:pPr>
              <w:rPr>
                <w:rFonts w:eastAsia="Garamond" w:cs="Garamond"/>
                <w:lang w:val="en-US"/>
              </w:rPr>
            </w:pPr>
            <w:r w:rsidRPr="003A5356">
              <w:rPr>
                <w:rFonts w:eastAsia="Garamond" w:cs="Garamond"/>
                <w:b/>
                <w:bCs/>
                <w:lang w:val="en-US"/>
              </w:rPr>
              <w:t>5</w:t>
            </w:r>
          </w:p>
        </w:tc>
        <w:tc>
          <w:tcPr>
            <w:tcW w:w="6120" w:type="dxa"/>
            <w:vMerge/>
            <w:tcBorders>
              <w:top w:val="single" w:sz="12" w:space="0" w:color="4F81BB"/>
              <w:left w:val="single" w:sz="8" w:space="0" w:color="000000"/>
              <w:bottom w:val="single" w:sz="8" w:space="0" w:color="4F81BB"/>
              <w:right w:val="single" w:sz="8" w:space="0" w:color="4F81BB"/>
            </w:tcBorders>
            <w:vAlign w:val="center"/>
            <w:hideMark/>
          </w:tcPr>
          <w:p w14:paraId="4F1FA8A7" w14:textId="77777777" w:rsidR="00A20158" w:rsidRPr="003A5356" w:rsidRDefault="00A20158" w:rsidP="00632FCC">
            <w:pPr>
              <w:rPr>
                <w:rFonts w:eastAsia="Garamond" w:cs="Garamond"/>
              </w:rPr>
            </w:pPr>
          </w:p>
        </w:tc>
      </w:tr>
      <w:tr w:rsidR="00A20158" w:rsidRPr="003A5356" w14:paraId="314842C0" w14:textId="77777777" w:rsidTr="00632FCC">
        <w:trPr>
          <w:trHeight w:val="290"/>
        </w:trPr>
        <w:tc>
          <w:tcPr>
            <w:tcW w:w="865" w:type="dxa"/>
            <w:tcBorders>
              <w:top w:val="single" w:sz="8" w:space="0" w:color="4F81BB"/>
              <w:left w:val="single" w:sz="8" w:space="0" w:color="4F81BB"/>
              <w:bottom w:val="single" w:sz="8" w:space="0" w:color="4F81BB"/>
              <w:right w:val="single" w:sz="8" w:space="0" w:color="000000" w:themeColor="text1"/>
            </w:tcBorders>
            <w:hideMark/>
          </w:tcPr>
          <w:p w14:paraId="6CF1A150" w14:textId="77777777" w:rsidR="00A20158" w:rsidRPr="003A5356" w:rsidRDefault="00A20158" w:rsidP="00632FCC">
            <w:pPr>
              <w:rPr>
                <w:rFonts w:eastAsia="Garamond" w:cs="Garamond"/>
                <w:lang w:val="en-US"/>
              </w:rPr>
            </w:pPr>
            <w:r w:rsidRPr="003A5356">
              <w:rPr>
                <w:rFonts w:eastAsia="Garamond" w:cs="Garamond"/>
                <w:b/>
                <w:bCs/>
                <w:lang w:val="en-US"/>
              </w:rPr>
              <w:t>6</w:t>
            </w:r>
          </w:p>
        </w:tc>
        <w:tc>
          <w:tcPr>
            <w:tcW w:w="6120" w:type="dxa"/>
            <w:vMerge/>
            <w:tcBorders>
              <w:top w:val="single" w:sz="12" w:space="0" w:color="4F81BB"/>
              <w:left w:val="single" w:sz="8" w:space="0" w:color="000000"/>
              <w:bottom w:val="single" w:sz="8" w:space="0" w:color="4F81BB"/>
              <w:right w:val="single" w:sz="8" w:space="0" w:color="4F81BB"/>
            </w:tcBorders>
            <w:vAlign w:val="center"/>
            <w:hideMark/>
          </w:tcPr>
          <w:p w14:paraId="0CC65F72" w14:textId="77777777" w:rsidR="00A20158" w:rsidRPr="003A5356" w:rsidRDefault="00A20158" w:rsidP="00632FCC">
            <w:pPr>
              <w:rPr>
                <w:rFonts w:eastAsia="Garamond" w:cs="Garamond"/>
              </w:rPr>
            </w:pPr>
          </w:p>
        </w:tc>
      </w:tr>
      <w:tr w:rsidR="00A20158" w:rsidRPr="003A5356" w14:paraId="726E9E50" w14:textId="77777777" w:rsidTr="00632FCC">
        <w:trPr>
          <w:trHeight w:val="290"/>
        </w:trPr>
        <w:tc>
          <w:tcPr>
            <w:tcW w:w="865" w:type="dxa"/>
            <w:tcBorders>
              <w:top w:val="single" w:sz="8" w:space="0" w:color="4F81BB"/>
              <w:left w:val="single" w:sz="8" w:space="0" w:color="4F81BB"/>
              <w:bottom w:val="single" w:sz="8" w:space="0" w:color="4F81BB"/>
              <w:right w:val="single" w:sz="8" w:space="0" w:color="000000" w:themeColor="text1"/>
            </w:tcBorders>
            <w:hideMark/>
          </w:tcPr>
          <w:p w14:paraId="3C358B47" w14:textId="77777777" w:rsidR="00A20158" w:rsidRPr="003A5356" w:rsidRDefault="00A20158" w:rsidP="00632FCC">
            <w:pPr>
              <w:rPr>
                <w:rFonts w:eastAsia="Garamond" w:cs="Garamond"/>
                <w:lang w:val="en-US"/>
              </w:rPr>
            </w:pPr>
            <w:r w:rsidRPr="003A5356">
              <w:rPr>
                <w:rFonts w:eastAsia="Garamond" w:cs="Garamond"/>
                <w:b/>
                <w:bCs/>
                <w:lang w:val="en-US"/>
              </w:rPr>
              <w:t>7</w:t>
            </w:r>
          </w:p>
        </w:tc>
        <w:tc>
          <w:tcPr>
            <w:tcW w:w="6120" w:type="dxa"/>
            <w:vMerge/>
            <w:tcBorders>
              <w:top w:val="single" w:sz="12" w:space="0" w:color="4F81BB"/>
              <w:left w:val="single" w:sz="8" w:space="0" w:color="000000"/>
              <w:bottom w:val="single" w:sz="8" w:space="0" w:color="4F81BB"/>
              <w:right w:val="single" w:sz="8" w:space="0" w:color="4F81BB"/>
            </w:tcBorders>
            <w:vAlign w:val="center"/>
            <w:hideMark/>
          </w:tcPr>
          <w:p w14:paraId="6D2D003A" w14:textId="77777777" w:rsidR="00A20158" w:rsidRPr="003A5356" w:rsidRDefault="00A20158" w:rsidP="00632FCC">
            <w:pPr>
              <w:rPr>
                <w:rFonts w:eastAsia="Garamond" w:cs="Garamond"/>
              </w:rPr>
            </w:pPr>
          </w:p>
        </w:tc>
      </w:tr>
      <w:tr w:rsidR="00A20158" w:rsidRPr="003A5356" w14:paraId="0BABD253" w14:textId="77777777" w:rsidTr="00632FCC">
        <w:trPr>
          <w:trHeight w:val="288"/>
        </w:trPr>
        <w:tc>
          <w:tcPr>
            <w:tcW w:w="865" w:type="dxa"/>
            <w:tcBorders>
              <w:top w:val="single" w:sz="8" w:space="0" w:color="4F81BB"/>
              <w:left w:val="single" w:sz="8" w:space="0" w:color="4F81BB"/>
              <w:bottom w:val="single" w:sz="8" w:space="0" w:color="4F81BB"/>
              <w:right w:val="single" w:sz="8" w:space="0" w:color="000000" w:themeColor="text1"/>
            </w:tcBorders>
            <w:hideMark/>
          </w:tcPr>
          <w:p w14:paraId="18BC5CF9" w14:textId="77777777" w:rsidR="00A20158" w:rsidRPr="003A5356" w:rsidRDefault="00A20158" w:rsidP="00632FCC">
            <w:pPr>
              <w:rPr>
                <w:rFonts w:eastAsia="Garamond" w:cs="Garamond"/>
                <w:lang w:val="en-US"/>
              </w:rPr>
            </w:pPr>
            <w:r w:rsidRPr="003A5356">
              <w:rPr>
                <w:rFonts w:eastAsia="Garamond" w:cs="Garamond"/>
                <w:b/>
                <w:bCs/>
                <w:lang w:val="en-US"/>
              </w:rPr>
              <w:t>8</w:t>
            </w:r>
          </w:p>
        </w:tc>
        <w:tc>
          <w:tcPr>
            <w:tcW w:w="6120" w:type="dxa"/>
            <w:vMerge/>
            <w:tcBorders>
              <w:top w:val="single" w:sz="12" w:space="0" w:color="4F81BB"/>
              <w:left w:val="single" w:sz="8" w:space="0" w:color="000000"/>
              <w:bottom w:val="single" w:sz="8" w:space="0" w:color="4F81BB"/>
              <w:right w:val="single" w:sz="8" w:space="0" w:color="4F81BB"/>
            </w:tcBorders>
            <w:vAlign w:val="center"/>
            <w:hideMark/>
          </w:tcPr>
          <w:p w14:paraId="0D478451" w14:textId="77777777" w:rsidR="00A20158" w:rsidRPr="003A5356" w:rsidRDefault="00A20158" w:rsidP="00632FCC">
            <w:pPr>
              <w:rPr>
                <w:rFonts w:eastAsia="Garamond" w:cs="Garamond"/>
              </w:rPr>
            </w:pPr>
          </w:p>
        </w:tc>
      </w:tr>
      <w:tr w:rsidR="00A20158" w:rsidRPr="003A5356" w14:paraId="1DF4AE30" w14:textId="77777777" w:rsidTr="00632FCC">
        <w:trPr>
          <w:trHeight w:val="293"/>
        </w:trPr>
        <w:tc>
          <w:tcPr>
            <w:tcW w:w="865" w:type="dxa"/>
            <w:tcBorders>
              <w:top w:val="single" w:sz="8" w:space="0" w:color="4F81BB"/>
              <w:left w:val="single" w:sz="8" w:space="0" w:color="4F81BB"/>
              <w:bottom w:val="single" w:sz="8" w:space="0" w:color="4F81BB"/>
              <w:right w:val="single" w:sz="8" w:space="0" w:color="000000" w:themeColor="text1"/>
            </w:tcBorders>
            <w:hideMark/>
          </w:tcPr>
          <w:p w14:paraId="59B064C9" w14:textId="77777777" w:rsidR="00A20158" w:rsidRPr="003A5356" w:rsidRDefault="00A20158" w:rsidP="00632FCC">
            <w:pPr>
              <w:rPr>
                <w:rFonts w:eastAsia="Garamond" w:cs="Garamond"/>
                <w:lang w:val="en-US"/>
              </w:rPr>
            </w:pPr>
            <w:r w:rsidRPr="003A5356">
              <w:rPr>
                <w:rFonts w:eastAsia="Garamond" w:cs="Garamond"/>
                <w:b/>
                <w:bCs/>
                <w:lang w:val="en-US"/>
              </w:rPr>
              <w:t>9</w:t>
            </w:r>
          </w:p>
        </w:tc>
        <w:tc>
          <w:tcPr>
            <w:tcW w:w="6120" w:type="dxa"/>
            <w:vMerge/>
            <w:tcBorders>
              <w:top w:val="single" w:sz="12" w:space="0" w:color="4F81BB"/>
              <w:left w:val="single" w:sz="8" w:space="0" w:color="000000"/>
              <w:bottom w:val="single" w:sz="8" w:space="0" w:color="4F81BB"/>
              <w:right w:val="single" w:sz="8" w:space="0" w:color="4F81BB"/>
            </w:tcBorders>
            <w:vAlign w:val="center"/>
            <w:hideMark/>
          </w:tcPr>
          <w:p w14:paraId="5F175A6B" w14:textId="77777777" w:rsidR="00A20158" w:rsidRPr="003A5356" w:rsidRDefault="00A20158" w:rsidP="00632FCC">
            <w:pPr>
              <w:rPr>
                <w:rFonts w:eastAsia="Garamond" w:cs="Garamond"/>
              </w:rPr>
            </w:pPr>
          </w:p>
        </w:tc>
      </w:tr>
    </w:tbl>
    <w:p w14:paraId="4ECB2FD1" w14:textId="77777777" w:rsidR="00A20158" w:rsidRPr="00496439" w:rsidRDefault="00A20158" w:rsidP="00A20158">
      <w:pPr>
        <w:rPr>
          <w:rFonts w:eastAsia="Verdana" w:cs="Verdana"/>
          <w:spacing w:val="-1"/>
          <w:sz w:val="24"/>
          <w:szCs w:val="24"/>
        </w:rPr>
      </w:pPr>
      <w:r>
        <w:rPr>
          <w:rFonts w:eastAsia="Verdana" w:cs="Verdana"/>
          <w:spacing w:val="-1"/>
          <w:sz w:val="24"/>
          <w:szCs w:val="24"/>
        </w:rPr>
        <w:t xml:space="preserve"> </w:t>
      </w:r>
    </w:p>
    <w:p w14:paraId="63F65099" w14:textId="77777777" w:rsidR="00A20158" w:rsidRPr="003A5356" w:rsidRDefault="00A20158" w:rsidP="00A20158">
      <w:pPr>
        <w:rPr>
          <w:rFonts w:eastAsia="Verdana" w:cs="Verdana"/>
        </w:rPr>
      </w:pPr>
      <w:r w:rsidRPr="003A5356">
        <w:rPr>
          <w:rFonts w:eastAsia="Verdana" w:cs="Verdana"/>
        </w:rPr>
        <w:t>Kä</w:t>
      </w:r>
      <w:r w:rsidRPr="003A5356">
        <w:rPr>
          <w:rFonts w:eastAsia="Verdana" w:cs="Verdana"/>
          <w:spacing w:val="-8"/>
        </w:rPr>
        <w:t>l</w:t>
      </w:r>
      <w:r w:rsidRPr="003A5356">
        <w:rPr>
          <w:rFonts w:eastAsia="Verdana" w:cs="Verdana"/>
          <w:spacing w:val="-16"/>
        </w:rPr>
        <w:t>l</w:t>
      </w:r>
      <w:r w:rsidRPr="003A5356">
        <w:rPr>
          <w:rFonts w:eastAsia="Verdana" w:cs="Verdana"/>
          <w:spacing w:val="-1"/>
        </w:rPr>
        <w:t>o</w:t>
      </w:r>
      <w:r w:rsidRPr="003A5356">
        <w:rPr>
          <w:rFonts w:eastAsia="Verdana" w:cs="Verdana"/>
          <w:spacing w:val="5"/>
        </w:rPr>
        <w:t>r</w:t>
      </w:r>
      <w:r w:rsidRPr="003A5356">
        <w:rPr>
          <w:rFonts w:eastAsia="Verdana" w:cs="Verdana"/>
        </w:rPr>
        <w:t>:</w:t>
      </w:r>
      <w:r w:rsidRPr="003A5356">
        <w:rPr>
          <w:rFonts w:eastAsia="Verdana" w:cs="Verdana"/>
          <w:spacing w:val="-14"/>
        </w:rPr>
        <w:t xml:space="preserve"> </w:t>
      </w:r>
      <w:r w:rsidRPr="003A5356">
        <w:rPr>
          <w:rFonts w:eastAsia="Verdana" w:cs="Verdana"/>
          <w:spacing w:val="5"/>
        </w:rPr>
        <w:t>1</w:t>
      </w:r>
      <w:r w:rsidRPr="003A5356">
        <w:rPr>
          <w:rFonts w:eastAsia="Verdana" w:cs="Verdana"/>
        </w:rPr>
        <w:t>)</w:t>
      </w:r>
      <w:r w:rsidRPr="003A5356">
        <w:rPr>
          <w:rFonts w:eastAsia="Verdana" w:cs="Verdana"/>
          <w:spacing w:val="-12"/>
        </w:rPr>
        <w:t xml:space="preserve"> </w:t>
      </w:r>
      <w:r w:rsidRPr="003A5356">
        <w:rPr>
          <w:rFonts w:eastAsia="Verdana" w:cs="Verdana"/>
          <w:spacing w:val="1"/>
        </w:rPr>
        <w:t>C</w:t>
      </w:r>
      <w:r w:rsidRPr="003A5356">
        <w:rPr>
          <w:rFonts w:eastAsia="Verdana" w:cs="Verdana"/>
          <w:spacing w:val="2"/>
        </w:rPr>
        <w:t>a</w:t>
      </w:r>
      <w:r w:rsidRPr="003A5356">
        <w:rPr>
          <w:rFonts w:eastAsia="Verdana" w:cs="Verdana"/>
          <w:spacing w:val="-1"/>
        </w:rPr>
        <w:t>m</w:t>
      </w:r>
      <w:r w:rsidRPr="003A5356">
        <w:rPr>
          <w:rFonts w:eastAsia="Verdana" w:cs="Verdana"/>
        </w:rPr>
        <w:t>m</w:t>
      </w:r>
      <w:r w:rsidRPr="003A5356">
        <w:rPr>
          <w:rFonts w:eastAsia="Verdana" w:cs="Verdana"/>
          <w:spacing w:val="-12"/>
        </w:rPr>
        <w:t xml:space="preserve"> </w:t>
      </w:r>
      <w:r w:rsidRPr="003A5356">
        <w:rPr>
          <w:rFonts w:eastAsia="Verdana" w:cs="Verdana"/>
          <w:spacing w:val="3"/>
        </w:rPr>
        <w:t>A</w:t>
      </w:r>
      <w:r w:rsidRPr="003A5356">
        <w:rPr>
          <w:rFonts w:eastAsia="Verdana" w:cs="Verdana"/>
        </w:rPr>
        <w:t>J</w:t>
      </w:r>
      <w:r w:rsidRPr="003A5356">
        <w:rPr>
          <w:rFonts w:eastAsia="Verdana" w:cs="Verdana"/>
          <w:spacing w:val="-13"/>
        </w:rPr>
        <w:t xml:space="preserve"> </w:t>
      </w:r>
      <w:r w:rsidRPr="003A5356">
        <w:rPr>
          <w:rFonts w:eastAsia="Verdana" w:cs="Verdana"/>
          <w:spacing w:val="1"/>
        </w:rPr>
        <w:t>e</w:t>
      </w:r>
      <w:r w:rsidRPr="003A5356">
        <w:rPr>
          <w:rFonts w:eastAsia="Verdana" w:cs="Verdana"/>
        </w:rPr>
        <w:t>t</w:t>
      </w:r>
      <w:r w:rsidRPr="003A5356">
        <w:rPr>
          <w:rFonts w:eastAsia="Verdana" w:cs="Verdana"/>
          <w:spacing w:val="-11"/>
        </w:rPr>
        <w:t xml:space="preserve"> </w:t>
      </w:r>
      <w:r w:rsidRPr="003A5356">
        <w:rPr>
          <w:rFonts w:eastAsia="Verdana" w:cs="Verdana"/>
          <w:spacing w:val="7"/>
        </w:rPr>
        <w:t>a</w:t>
      </w:r>
      <w:r w:rsidRPr="003A5356">
        <w:rPr>
          <w:rFonts w:eastAsia="Verdana" w:cs="Verdana"/>
          <w:spacing w:val="-8"/>
        </w:rPr>
        <w:t>l</w:t>
      </w:r>
      <w:r w:rsidRPr="003A5356">
        <w:rPr>
          <w:rFonts w:eastAsia="Verdana" w:cs="Verdana"/>
        </w:rPr>
        <w:t>.</w:t>
      </w:r>
      <w:r w:rsidRPr="003A5356">
        <w:rPr>
          <w:rFonts w:eastAsia="Verdana" w:cs="Verdana"/>
          <w:spacing w:val="-14"/>
        </w:rPr>
        <w:t xml:space="preserve"> </w:t>
      </w:r>
      <w:r w:rsidRPr="003A5356">
        <w:rPr>
          <w:rFonts w:eastAsia="Verdana" w:cs="Verdana"/>
        </w:rPr>
        <w:t>Eur</w:t>
      </w:r>
      <w:r w:rsidRPr="003A5356">
        <w:rPr>
          <w:rFonts w:eastAsia="Verdana" w:cs="Verdana"/>
          <w:spacing w:val="-14"/>
        </w:rPr>
        <w:t xml:space="preserve"> </w:t>
      </w:r>
      <w:r w:rsidRPr="003A5356">
        <w:rPr>
          <w:rFonts w:eastAsia="Verdana" w:cs="Verdana"/>
          <w:spacing w:val="1"/>
        </w:rPr>
        <w:t>H</w:t>
      </w:r>
      <w:r w:rsidRPr="003A5356">
        <w:rPr>
          <w:rFonts w:eastAsia="Verdana" w:cs="Verdana"/>
        </w:rPr>
        <w:t>eart</w:t>
      </w:r>
      <w:r w:rsidRPr="003A5356">
        <w:rPr>
          <w:rFonts w:eastAsia="Verdana" w:cs="Verdana"/>
          <w:spacing w:val="-5"/>
        </w:rPr>
        <w:t xml:space="preserve"> </w:t>
      </w:r>
      <w:r w:rsidRPr="003A5356">
        <w:rPr>
          <w:rFonts w:eastAsia="Verdana" w:cs="Verdana"/>
        </w:rPr>
        <w:t>J</w:t>
      </w:r>
      <w:r w:rsidRPr="003A5356">
        <w:rPr>
          <w:rFonts w:eastAsia="Verdana" w:cs="Verdana"/>
          <w:spacing w:val="-17"/>
        </w:rPr>
        <w:t xml:space="preserve"> </w:t>
      </w:r>
      <w:r w:rsidRPr="003A5356">
        <w:rPr>
          <w:rFonts w:eastAsia="Verdana" w:cs="Verdana"/>
          <w:spacing w:val="2"/>
        </w:rPr>
        <w:t>2</w:t>
      </w:r>
      <w:r w:rsidRPr="003A5356">
        <w:rPr>
          <w:rFonts w:eastAsia="Verdana" w:cs="Verdana"/>
        </w:rPr>
        <w:t>010</w:t>
      </w:r>
      <w:r w:rsidRPr="003A5356">
        <w:rPr>
          <w:rFonts w:eastAsia="Verdana" w:cs="Verdana"/>
          <w:spacing w:val="-4"/>
        </w:rPr>
        <w:t xml:space="preserve"> </w:t>
      </w:r>
      <w:r w:rsidRPr="003A5356">
        <w:rPr>
          <w:rFonts w:eastAsia="Verdana" w:cs="Verdana"/>
          <w:spacing w:val="5"/>
        </w:rPr>
        <w:t>3</w:t>
      </w:r>
      <w:r w:rsidRPr="003A5356">
        <w:rPr>
          <w:rFonts w:eastAsia="Verdana" w:cs="Verdana"/>
        </w:rPr>
        <w:t>1</w:t>
      </w:r>
      <w:r w:rsidRPr="003A5356">
        <w:rPr>
          <w:rFonts w:eastAsia="Verdana" w:cs="Verdana"/>
          <w:spacing w:val="-1"/>
        </w:rPr>
        <w:t>(</w:t>
      </w:r>
      <w:r w:rsidRPr="003A5356">
        <w:rPr>
          <w:rFonts w:eastAsia="Verdana" w:cs="Verdana"/>
        </w:rPr>
        <w:t>1</w:t>
      </w:r>
      <w:r w:rsidRPr="003A5356">
        <w:rPr>
          <w:rFonts w:eastAsia="Verdana" w:cs="Verdana"/>
          <w:spacing w:val="2"/>
        </w:rPr>
        <w:t>9</w:t>
      </w:r>
      <w:r w:rsidRPr="003A5356">
        <w:rPr>
          <w:rFonts w:eastAsia="Verdana" w:cs="Verdana"/>
          <w:spacing w:val="-1"/>
        </w:rPr>
        <w:t>):</w:t>
      </w:r>
      <w:r w:rsidRPr="003A5356">
        <w:rPr>
          <w:rFonts w:eastAsia="Verdana" w:cs="Verdana"/>
          <w:spacing w:val="2"/>
        </w:rPr>
        <w:t>2</w:t>
      </w:r>
      <w:r w:rsidRPr="003A5356">
        <w:rPr>
          <w:rFonts w:eastAsia="Verdana" w:cs="Verdana"/>
        </w:rPr>
        <w:t>369</w:t>
      </w:r>
      <w:r w:rsidRPr="003A5356">
        <w:rPr>
          <w:rFonts w:eastAsia="Verdana" w:cs="Verdana"/>
          <w:spacing w:val="-1"/>
        </w:rPr>
        <w:t>-</w:t>
      </w:r>
      <w:r w:rsidRPr="003A5356">
        <w:rPr>
          <w:rFonts w:eastAsia="Verdana" w:cs="Verdana"/>
        </w:rPr>
        <w:t>429</w:t>
      </w:r>
      <w:r w:rsidRPr="003A5356">
        <w:rPr>
          <w:rFonts w:eastAsia="Verdana" w:cs="Verdana"/>
          <w:spacing w:val="-9"/>
        </w:rPr>
        <w:t xml:space="preserve"> </w:t>
      </w:r>
      <w:r w:rsidRPr="003A5356">
        <w:rPr>
          <w:rFonts w:eastAsia="Verdana" w:cs="Verdana"/>
        </w:rPr>
        <w:t>•</w:t>
      </w:r>
      <w:r w:rsidRPr="003A5356">
        <w:rPr>
          <w:rFonts w:eastAsia="Verdana" w:cs="Verdana"/>
          <w:spacing w:val="-9"/>
        </w:rPr>
        <w:t xml:space="preserve"> </w:t>
      </w:r>
      <w:hyperlink r:id="rId84" w:history="1">
        <w:r w:rsidRPr="003A5356">
          <w:rPr>
            <w:rFonts w:eastAsia="Verdana" w:cs="Verdana"/>
            <w:color w:val="0000FF"/>
            <w:u w:val="single"/>
          </w:rPr>
          <w:t>P</w:t>
        </w:r>
        <w:r w:rsidRPr="003A5356">
          <w:rPr>
            <w:rFonts w:eastAsia="Verdana" w:cs="Verdana"/>
            <w:color w:val="0000FF"/>
            <w:spacing w:val="3"/>
            <w:u w:val="single"/>
          </w:rPr>
          <w:t>u</w:t>
        </w:r>
        <w:r w:rsidRPr="003A5356">
          <w:rPr>
            <w:rFonts w:eastAsia="Verdana" w:cs="Verdana"/>
            <w:color w:val="0000FF"/>
            <w:spacing w:val="-1"/>
            <w:u w:val="single"/>
          </w:rPr>
          <w:t>b</w:t>
        </w:r>
        <w:r w:rsidRPr="003A5356">
          <w:rPr>
            <w:rFonts w:eastAsia="Verdana" w:cs="Verdana"/>
            <w:color w:val="0000FF"/>
            <w:u w:val="single"/>
          </w:rPr>
          <w:t>M</w:t>
        </w:r>
        <w:r w:rsidRPr="003A5356">
          <w:rPr>
            <w:rFonts w:eastAsia="Verdana" w:cs="Verdana"/>
            <w:color w:val="0000FF"/>
            <w:spacing w:val="1"/>
            <w:u w:val="single"/>
          </w:rPr>
          <w:t>e</w:t>
        </w:r>
        <w:r w:rsidRPr="003A5356">
          <w:rPr>
            <w:rFonts w:eastAsia="Verdana" w:cs="Verdana"/>
            <w:color w:val="0000FF"/>
            <w:spacing w:val="2"/>
            <w:u w:val="single"/>
          </w:rPr>
          <w:t>d</w:t>
        </w:r>
        <w:r w:rsidRPr="003A5356">
          <w:rPr>
            <w:rFonts w:eastAsia="Verdana" w:cs="Verdana"/>
            <w:color w:val="000000"/>
            <w:u w:val="single"/>
          </w:rPr>
          <w:t>.</w:t>
        </w:r>
      </w:hyperlink>
    </w:p>
    <w:p w14:paraId="7B7ED818" w14:textId="77777777" w:rsidR="00A20158" w:rsidRPr="003A5356" w:rsidRDefault="00A20158" w:rsidP="00A20158">
      <w:pPr>
        <w:rPr>
          <w:rFonts w:eastAsia="Verdana" w:cs="Verdana"/>
          <w:color w:val="000000" w:themeColor="text1"/>
          <w:sz w:val="24"/>
          <w:szCs w:val="24"/>
          <w:u w:val="single"/>
          <w:lang w:val="en-US"/>
        </w:rPr>
      </w:pPr>
      <w:r w:rsidRPr="003A5356">
        <w:rPr>
          <w:rFonts w:eastAsia="Verdana" w:cs="Verdana"/>
          <w:spacing w:val="2"/>
          <w:lang w:val="en-US"/>
        </w:rPr>
        <w:t>2</w:t>
      </w:r>
      <w:r w:rsidRPr="003A5356">
        <w:rPr>
          <w:rFonts w:eastAsia="Verdana" w:cs="Verdana"/>
          <w:lang w:val="en-US"/>
        </w:rPr>
        <w:t>)</w:t>
      </w:r>
      <w:r w:rsidRPr="003A5356">
        <w:rPr>
          <w:rFonts w:eastAsia="Verdana" w:cs="Verdana"/>
          <w:spacing w:val="-21"/>
          <w:lang w:val="en-US"/>
        </w:rPr>
        <w:t xml:space="preserve"> </w:t>
      </w:r>
      <w:r w:rsidRPr="003A5356">
        <w:rPr>
          <w:rFonts w:eastAsia="Verdana" w:cs="Verdana"/>
          <w:spacing w:val="1"/>
          <w:lang w:val="en-US"/>
        </w:rPr>
        <w:t>L</w:t>
      </w:r>
      <w:r w:rsidRPr="003A5356">
        <w:rPr>
          <w:rFonts w:eastAsia="Verdana" w:cs="Verdana"/>
          <w:spacing w:val="-8"/>
          <w:lang w:val="en-US"/>
        </w:rPr>
        <w:t>i</w:t>
      </w:r>
      <w:r w:rsidRPr="003A5356">
        <w:rPr>
          <w:rFonts w:eastAsia="Verdana" w:cs="Verdana"/>
          <w:lang w:val="en-US"/>
        </w:rPr>
        <w:t>p</w:t>
      </w:r>
      <w:r w:rsidRPr="003A5356">
        <w:rPr>
          <w:rFonts w:eastAsia="Verdana" w:cs="Verdana"/>
          <w:spacing w:val="-19"/>
          <w:lang w:val="en-US"/>
        </w:rPr>
        <w:t xml:space="preserve"> </w:t>
      </w:r>
      <w:r w:rsidRPr="003A5356">
        <w:rPr>
          <w:rFonts w:eastAsia="Verdana" w:cs="Verdana"/>
          <w:spacing w:val="1"/>
          <w:lang w:val="en-US"/>
        </w:rPr>
        <w:t>e</w:t>
      </w:r>
      <w:r w:rsidRPr="003A5356">
        <w:rPr>
          <w:rFonts w:eastAsia="Verdana" w:cs="Verdana"/>
          <w:lang w:val="en-US"/>
        </w:rPr>
        <w:t>t</w:t>
      </w:r>
      <w:r w:rsidRPr="003A5356">
        <w:rPr>
          <w:rFonts w:eastAsia="Verdana" w:cs="Verdana"/>
          <w:spacing w:val="-13"/>
          <w:lang w:val="en-US"/>
        </w:rPr>
        <w:t xml:space="preserve"> </w:t>
      </w:r>
      <w:r w:rsidRPr="003A5356">
        <w:rPr>
          <w:rFonts w:eastAsia="Verdana" w:cs="Verdana"/>
          <w:spacing w:val="7"/>
          <w:lang w:val="en-US"/>
        </w:rPr>
        <w:t>a</w:t>
      </w:r>
      <w:r w:rsidRPr="003A5356">
        <w:rPr>
          <w:rFonts w:eastAsia="Verdana" w:cs="Verdana"/>
          <w:spacing w:val="-8"/>
          <w:lang w:val="en-US"/>
        </w:rPr>
        <w:t>l</w:t>
      </w:r>
      <w:r w:rsidRPr="003A5356">
        <w:rPr>
          <w:rFonts w:eastAsia="Verdana" w:cs="Verdana"/>
          <w:lang w:val="en-US"/>
        </w:rPr>
        <w:t>.</w:t>
      </w:r>
      <w:r w:rsidRPr="003A5356">
        <w:rPr>
          <w:rFonts w:eastAsia="Verdana" w:cs="Verdana"/>
          <w:spacing w:val="-20"/>
          <w:lang w:val="en-US"/>
        </w:rPr>
        <w:t xml:space="preserve"> </w:t>
      </w:r>
      <w:r w:rsidRPr="003A5356">
        <w:rPr>
          <w:rFonts w:eastAsia="Verdana" w:cs="Verdana"/>
          <w:spacing w:val="1"/>
          <w:lang w:val="en-US"/>
        </w:rPr>
        <w:t>C</w:t>
      </w:r>
      <w:r w:rsidRPr="003A5356">
        <w:rPr>
          <w:rFonts w:eastAsia="Verdana" w:cs="Verdana"/>
          <w:lang w:val="en-US"/>
        </w:rPr>
        <w:t>h</w:t>
      </w:r>
      <w:r w:rsidRPr="003A5356">
        <w:rPr>
          <w:rFonts w:eastAsia="Verdana" w:cs="Verdana"/>
          <w:spacing w:val="1"/>
          <w:lang w:val="en-US"/>
        </w:rPr>
        <w:t>e</w:t>
      </w:r>
      <w:r w:rsidRPr="003A5356">
        <w:rPr>
          <w:rFonts w:eastAsia="Verdana" w:cs="Verdana"/>
          <w:spacing w:val="-1"/>
          <w:lang w:val="en-US"/>
        </w:rPr>
        <w:t>s</w:t>
      </w:r>
      <w:r w:rsidRPr="003A5356">
        <w:rPr>
          <w:rFonts w:eastAsia="Verdana" w:cs="Verdana"/>
          <w:lang w:val="en-US"/>
        </w:rPr>
        <w:t>t</w:t>
      </w:r>
      <w:r w:rsidRPr="003A5356">
        <w:rPr>
          <w:rFonts w:eastAsia="Verdana" w:cs="Verdana"/>
          <w:spacing w:val="-17"/>
          <w:lang w:val="en-US"/>
        </w:rPr>
        <w:t xml:space="preserve"> </w:t>
      </w:r>
      <w:r w:rsidRPr="003A5356">
        <w:rPr>
          <w:rFonts w:eastAsia="Verdana" w:cs="Verdana"/>
          <w:lang w:val="en-US"/>
        </w:rPr>
        <w:t>20</w:t>
      </w:r>
      <w:r w:rsidRPr="003A5356">
        <w:rPr>
          <w:rFonts w:eastAsia="Verdana" w:cs="Verdana"/>
          <w:spacing w:val="2"/>
          <w:lang w:val="en-US"/>
        </w:rPr>
        <w:t>1</w:t>
      </w:r>
      <w:r w:rsidRPr="003A5356">
        <w:rPr>
          <w:rFonts w:eastAsia="Verdana" w:cs="Verdana"/>
          <w:lang w:val="en-US"/>
        </w:rPr>
        <w:t>0</w:t>
      </w:r>
      <w:r w:rsidRPr="003A5356">
        <w:rPr>
          <w:rFonts w:eastAsia="Verdana" w:cs="Verdana"/>
          <w:spacing w:val="-15"/>
          <w:lang w:val="en-US"/>
        </w:rPr>
        <w:t xml:space="preserve"> </w:t>
      </w:r>
      <w:r w:rsidRPr="003A5356">
        <w:rPr>
          <w:rFonts w:eastAsia="Verdana" w:cs="Verdana"/>
          <w:lang w:val="en-US"/>
        </w:rPr>
        <w:t>1</w:t>
      </w:r>
      <w:r w:rsidRPr="003A5356">
        <w:rPr>
          <w:rFonts w:eastAsia="Verdana" w:cs="Verdana"/>
          <w:spacing w:val="2"/>
          <w:lang w:val="en-US"/>
        </w:rPr>
        <w:t>3</w:t>
      </w:r>
      <w:r w:rsidRPr="003A5356">
        <w:rPr>
          <w:rFonts w:eastAsia="Verdana" w:cs="Verdana"/>
          <w:lang w:val="en-US"/>
        </w:rPr>
        <w:t>7</w:t>
      </w:r>
      <w:r w:rsidRPr="003A5356">
        <w:rPr>
          <w:rFonts w:eastAsia="Verdana" w:cs="Verdana"/>
          <w:spacing w:val="-1"/>
          <w:lang w:val="en-US"/>
        </w:rPr>
        <w:t>(</w:t>
      </w:r>
      <w:r w:rsidRPr="003A5356">
        <w:rPr>
          <w:rFonts w:eastAsia="Verdana" w:cs="Verdana"/>
          <w:spacing w:val="2"/>
          <w:lang w:val="en-US"/>
        </w:rPr>
        <w:t>2</w:t>
      </w:r>
      <w:r w:rsidRPr="003A5356">
        <w:rPr>
          <w:rFonts w:eastAsia="Verdana" w:cs="Verdana"/>
          <w:spacing w:val="-1"/>
          <w:lang w:val="en-US"/>
        </w:rPr>
        <w:t>):</w:t>
      </w:r>
      <w:r w:rsidRPr="003A5356">
        <w:rPr>
          <w:rFonts w:eastAsia="Verdana" w:cs="Verdana"/>
          <w:spacing w:val="2"/>
          <w:lang w:val="en-US"/>
        </w:rPr>
        <w:t>2</w:t>
      </w:r>
      <w:r w:rsidRPr="003A5356">
        <w:rPr>
          <w:rFonts w:eastAsia="Verdana" w:cs="Verdana"/>
          <w:spacing w:val="5"/>
          <w:lang w:val="en-US"/>
        </w:rPr>
        <w:t>6</w:t>
      </w:r>
      <w:r w:rsidRPr="003A5356">
        <w:rPr>
          <w:rFonts w:eastAsia="Verdana" w:cs="Verdana"/>
          <w:spacing w:val="2"/>
          <w:lang w:val="en-US"/>
        </w:rPr>
        <w:t>3</w:t>
      </w:r>
      <w:r w:rsidRPr="003A5356">
        <w:rPr>
          <w:rFonts w:eastAsia="Verdana" w:cs="Verdana"/>
          <w:spacing w:val="-1"/>
          <w:lang w:val="en-US"/>
        </w:rPr>
        <w:t>-</w:t>
      </w:r>
      <w:r w:rsidRPr="003A5356">
        <w:rPr>
          <w:rFonts w:eastAsia="Verdana" w:cs="Verdana"/>
          <w:lang w:val="en-US"/>
        </w:rPr>
        <w:t>72</w:t>
      </w:r>
      <w:r w:rsidRPr="003A5356">
        <w:rPr>
          <w:rFonts w:eastAsia="Verdana" w:cs="Verdana"/>
          <w:spacing w:val="-19"/>
          <w:lang w:val="en-US"/>
        </w:rPr>
        <w:t xml:space="preserve"> </w:t>
      </w:r>
      <w:r w:rsidRPr="003A5356">
        <w:rPr>
          <w:rFonts w:eastAsia="Verdana" w:cs="Verdana"/>
          <w:lang w:val="en-US"/>
        </w:rPr>
        <w:t>•</w:t>
      </w:r>
      <w:r w:rsidRPr="003A5356">
        <w:rPr>
          <w:rFonts w:eastAsia="Verdana" w:cs="Verdana"/>
          <w:spacing w:val="-14"/>
          <w:lang w:val="en-US"/>
        </w:rPr>
        <w:t xml:space="preserve"> </w:t>
      </w:r>
      <w:hyperlink r:id="rId85" w:history="1">
        <w:r w:rsidRPr="003A5356">
          <w:rPr>
            <w:rFonts w:eastAsia="Verdana" w:cs="Verdana"/>
            <w:color w:val="0000FF"/>
            <w:u w:val="single"/>
            <w:lang w:val="en-US"/>
          </w:rPr>
          <w:t>Pu</w:t>
        </w:r>
        <w:r w:rsidRPr="003A5356">
          <w:rPr>
            <w:rFonts w:eastAsia="Verdana" w:cs="Verdana"/>
            <w:color w:val="0000FF"/>
            <w:spacing w:val="-1"/>
            <w:u w:val="single"/>
            <w:lang w:val="en-US"/>
          </w:rPr>
          <w:t>b</w:t>
        </w:r>
        <w:r w:rsidRPr="003A5356">
          <w:rPr>
            <w:rFonts w:eastAsia="Verdana" w:cs="Verdana"/>
            <w:color w:val="0000FF"/>
            <w:u w:val="single"/>
            <w:lang w:val="en-US"/>
          </w:rPr>
          <w:t>M</w:t>
        </w:r>
        <w:r w:rsidRPr="003A5356">
          <w:rPr>
            <w:rFonts w:eastAsia="Verdana" w:cs="Verdana"/>
            <w:color w:val="0000FF"/>
            <w:spacing w:val="1"/>
            <w:u w:val="single"/>
            <w:lang w:val="en-US"/>
          </w:rPr>
          <w:t>e</w:t>
        </w:r>
        <w:r w:rsidRPr="003A5356">
          <w:rPr>
            <w:rFonts w:eastAsia="Verdana" w:cs="Verdana"/>
            <w:color w:val="0000FF"/>
            <w:spacing w:val="2"/>
            <w:u w:val="single"/>
            <w:lang w:val="en-US"/>
          </w:rPr>
          <w:t>d</w:t>
        </w:r>
        <w:r w:rsidRPr="003A5356">
          <w:rPr>
            <w:rFonts w:eastAsia="Verdana" w:cs="Verdana"/>
            <w:color w:val="000000"/>
            <w:u w:val="single"/>
            <w:lang w:val="en-US"/>
          </w:rPr>
          <w:t>.</w:t>
        </w:r>
      </w:hyperlink>
      <w:r w:rsidRPr="003A5356">
        <w:rPr>
          <w:rFonts w:eastAsia="Verdana" w:cs="Verdana"/>
          <w:color w:val="000000"/>
          <w:sz w:val="24"/>
          <w:szCs w:val="24"/>
          <w:u w:val="single"/>
          <w:lang w:val="en-US"/>
        </w:rPr>
        <w:t xml:space="preserve"> </w:t>
      </w:r>
    </w:p>
    <w:p w14:paraId="4C34FABE" w14:textId="77777777" w:rsidR="00A20158" w:rsidRDefault="00A20158" w:rsidP="00A20158">
      <w:pPr>
        <w:rPr>
          <w:rFonts w:eastAsia="Verdana" w:cs="Verdana"/>
          <w:color w:val="000000" w:themeColor="text1"/>
          <w:sz w:val="24"/>
          <w:szCs w:val="24"/>
          <w:u w:val="single"/>
          <w:lang w:val="en-US"/>
        </w:rPr>
      </w:pPr>
    </w:p>
    <w:p w14:paraId="278425C3" w14:textId="77777777" w:rsidR="00A20158" w:rsidRPr="0067390A" w:rsidRDefault="00A20158" w:rsidP="00A20158">
      <w:pPr>
        <w:rPr>
          <w:sz w:val="24"/>
          <w:szCs w:val="24"/>
          <w:lang w:val="en-US"/>
        </w:rPr>
      </w:pPr>
    </w:p>
    <w:p w14:paraId="13A98268" w14:textId="77777777" w:rsidR="00A20158" w:rsidRPr="00214432" w:rsidRDefault="00A20158" w:rsidP="00A20158">
      <w:pPr>
        <w:rPr>
          <w:rFonts w:eastAsia="Verdana" w:cs="Verdana"/>
          <w:color w:val="000000" w:themeColor="text1"/>
          <w:sz w:val="24"/>
          <w:szCs w:val="24"/>
          <w:u w:val="single"/>
        </w:rPr>
      </w:pPr>
      <w:r w:rsidRPr="7E0BD4B5">
        <w:rPr>
          <w:sz w:val="24"/>
          <w:szCs w:val="24"/>
        </w:rPr>
        <w:t>Som beslutstöd av värdering av blödningsrisken kan HASBLED övervägas.</w:t>
      </w:r>
    </w:p>
    <w:p w14:paraId="68FC9E14" w14:textId="77777777" w:rsidR="00A20158" w:rsidRPr="00496439" w:rsidRDefault="00A20158" w:rsidP="00A20158"/>
    <w:tbl>
      <w:tblPr>
        <w:tblW w:w="8402" w:type="dxa"/>
        <w:tblInd w:w="93" w:type="dxa"/>
        <w:tblLayout w:type="fixed"/>
        <w:tblLook w:val="01E0" w:firstRow="1" w:lastRow="1" w:firstColumn="1" w:lastColumn="1" w:noHBand="0" w:noVBand="0"/>
      </w:tblPr>
      <w:tblGrid>
        <w:gridCol w:w="885"/>
        <w:gridCol w:w="5948"/>
        <w:gridCol w:w="1569"/>
      </w:tblGrid>
      <w:tr w:rsidR="00A20158" w:rsidRPr="003A5356" w14:paraId="7F7030FC" w14:textId="77777777" w:rsidTr="00632FCC">
        <w:trPr>
          <w:trHeight w:hRule="exact" w:val="526"/>
        </w:trPr>
        <w:tc>
          <w:tcPr>
            <w:tcW w:w="885" w:type="dxa"/>
            <w:tcBorders>
              <w:top w:val="single" w:sz="24" w:space="0" w:color="4F81BB"/>
              <w:left w:val="single" w:sz="8" w:space="0" w:color="4F81BB"/>
              <w:bottom w:val="nil"/>
              <w:right w:val="nil"/>
            </w:tcBorders>
            <w:hideMark/>
          </w:tcPr>
          <w:p w14:paraId="3E495E5A" w14:textId="77777777" w:rsidR="00A20158" w:rsidRPr="003A5356" w:rsidRDefault="00A20158" w:rsidP="00632FCC">
            <w:pPr>
              <w:rPr>
                <w:rFonts w:eastAsia="Garamond" w:cs="Garamond"/>
                <w:b/>
                <w:bCs/>
                <w:lang w:val="en-US"/>
              </w:rPr>
            </w:pPr>
            <w:r w:rsidRPr="003A5356">
              <w:rPr>
                <w:rFonts w:eastAsia="Garamond" w:cs="Garamond"/>
                <w:b/>
                <w:bCs/>
                <w:lang w:val="en-US"/>
              </w:rPr>
              <w:t>B</w:t>
            </w:r>
            <w:r w:rsidRPr="003A5356">
              <w:rPr>
                <w:rFonts w:eastAsia="Garamond" w:cs="Garamond"/>
                <w:b/>
                <w:bCs/>
                <w:spacing w:val="-1"/>
                <w:lang w:val="en-US"/>
              </w:rPr>
              <w:t>ok</w:t>
            </w:r>
            <w:r w:rsidRPr="003A5356">
              <w:rPr>
                <w:rFonts w:eastAsia="Garamond" w:cs="Garamond"/>
                <w:b/>
                <w:bCs/>
                <w:lang w:val="en-US"/>
              </w:rPr>
              <w:t>s</w:t>
            </w:r>
            <w:r w:rsidRPr="003A5356">
              <w:rPr>
                <w:rFonts w:eastAsia="Garamond" w:cs="Garamond"/>
                <w:b/>
                <w:bCs/>
                <w:spacing w:val="-7"/>
                <w:lang w:val="en-US"/>
              </w:rPr>
              <w:t>t</w:t>
            </w:r>
            <w:r w:rsidRPr="003A5356">
              <w:rPr>
                <w:rFonts w:eastAsia="Garamond" w:cs="Garamond"/>
                <w:b/>
                <w:bCs/>
                <w:spacing w:val="-3"/>
                <w:lang w:val="en-US"/>
              </w:rPr>
              <w:t>av</w:t>
            </w:r>
          </w:p>
        </w:tc>
        <w:tc>
          <w:tcPr>
            <w:tcW w:w="5948" w:type="dxa"/>
            <w:tcBorders>
              <w:top w:val="single" w:sz="24" w:space="0" w:color="4F81BB"/>
              <w:left w:val="nil"/>
              <w:bottom w:val="nil"/>
              <w:right w:val="nil"/>
            </w:tcBorders>
          </w:tcPr>
          <w:p w14:paraId="1FB56A8E" w14:textId="77777777" w:rsidR="00A20158" w:rsidRPr="003A5356" w:rsidRDefault="00A20158" w:rsidP="00632FCC">
            <w:pPr>
              <w:rPr>
                <w:rFonts w:eastAsia="Garamond" w:cs="Garamond"/>
                <w:b/>
                <w:bCs/>
                <w:lang w:val="en-US"/>
              </w:rPr>
            </w:pPr>
            <w:r w:rsidRPr="003A5356">
              <w:rPr>
                <w:rFonts w:eastAsia="Garamond" w:cs="Garamond"/>
                <w:b/>
                <w:bCs/>
                <w:lang w:val="en-US"/>
              </w:rPr>
              <w:t>Kl</w:t>
            </w:r>
            <w:r w:rsidRPr="003A5356">
              <w:rPr>
                <w:rFonts w:eastAsia="Garamond" w:cs="Garamond"/>
                <w:b/>
                <w:bCs/>
                <w:spacing w:val="-1"/>
                <w:lang w:val="en-US"/>
              </w:rPr>
              <w:t>in</w:t>
            </w:r>
            <w:r w:rsidRPr="003A5356">
              <w:rPr>
                <w:rFonts w:eastAsia="Garamond" w:cs="Garamond"/>
                <w:b/>
                <w:bCs/>
                <w:spacing w:val="-8"/>
                <w:lang w:val="en-US"/>
              </w:rPr>
              <w:t>i</w:t>
            </w:r>
            <w:r w:rsidRPr="003A5356">
              <w:rPr>
                <w:rFonts w:eastAsia="Garamond" w:cs="Garamond"/>
                <w:b/>
                <w:bCs/>
                <w:lang w:val="en-US"/>
              </w:rPr>
              <w:t>ska</w:t>
            </w:r>
            <w:r w:rsidRPr="003A5356">
              <w:rPr>
                <w:rFonts w:eastAsia="Garamond" w:cs="Garamond"/>
                <w:b/>
                <w:bCs/>
                <w:spacing w:val="-49"/>
                <w:lang w:val="en-US"/>
              </w:rPr>
              <w:t xml:space="preserve">       </w:t>
            </w:r>
            <w:r w:rsidRPr="003A5356">
              <w:rPr>
                <w:rFonts w:eastAsia="Garamond" w:cs="Garamond"/>
                <w:b/>
                <w:bCs/>
                <w:spacing w:val="-1"/>
                <w:lang w:val="en-US"/>
              </w:rPr>
              <w:t>för</w:t>
            </w:r>
            <w:r w:rsidRPr="003A5356">
              <w:rPr>
                <w:rFonts w:eastAsia="Garamond" w:cs="Garamond"/>
                <w:b/>
                <w:bCs/>
                <w:spacing w:val="-3"/>
                <w:lang w:val="en-US"/>
              </w:rPr>
              <w:t>u</w:t>
            </w:r>
            <w:r w:rsidRPr="003A5356">
              <w:rPr>
                <w:rFonts w:eastAsia="Garamond" w:cs="Garamond"/>
                <w:b/>
                <w:bCs/>
                <w:spacing w:val="-1"/>
                <w:lang w:val="en-US"/>
              </w:rPr>
              <w:t>t</w:t>
            </w:r>
            <w:r w:rsidRPr="003A5356">
              <w:rPr>
                <w:rFonts w:eastAsia="Garamond" w:cs="Garamond"/>
                <w:b/>
                <w:bCs/>
                <w:spacing w:val="-2"/>
                <w:lang w:val="en-US"/>
              </w:rPr>
              <w:t>s</w:t>
            </w:r>
            <w:r w:rsidRPr="003A5356">
              <w:rPr>
                <w:rFonts w:eastAsia="Garamond" w:cs="Garamond"/>
                <w:b/>
                <w:bCs/>
                <w:lang w:val="en-US"/>
              </w:rPr>
              <w:t>ä</w:t>
            </w:r>
            <w:r w:rsidRPr="003A5356">
              <w:rPr>
                <w:rFonts w:eastAsia="Garamond" w:cs="Garamond"/>
                <w:b/>
                <w:bCs/>
                <w:spacing w:val="-1"/>
                <w:lang w:val="en-US"/>
              </w:rPr>
              <w:t>t</w:t>
            </w:r>
            <w:r w:rsidRPr="003A5356">
              <w:rPr>
                <w:rFonts w:eastAsia="Garamond" w:cs="Garamond"/>
                <w:b/>
                <w:bCs/>
                <w:spacing w:val="-3"/>
                <w:lang w:val="en-US"/>
              </w:rPr>
              <w:t>t</w:t>
            </w:r>
            <w:r w:rsidRPr="003A5356">
              <w:rPr>
                <w:rFonts w:eastAsia="Garamond" w:cs="Garamond"/>
                <w:b/>
                <w:bCs/>
                <w:spacing w:val="-1"/>
                <w:lang w:val="en-US"/>
              </w:rPr>
              <w:t>ni</w:t>
            </w:r>
            <w:r w:rsidRPr="003A5356">
              <w:rPr>
                <w:rFonts w:eastAsia="Garamond" w:cs="Garamond"/>
                <w:b/>
                <w:bCs/>
                <w:spacing w:val="-8"/>
                <w:lang w:val="en-US"/>
              </w:rPr>
              <w:t>n</w:t>
            </w:r>
            <w:r w:rsidRPr="003A5356">
              <w:rPr>
                <w:rFonts w:eastAsia="Garamond" w:cs="Garamond"/>
                <w:b/>
                <w:bCs/>
                <w:spacing w:val="-1"/>
                <w:lang w:val="en-US"/>
              </w:rPr>
              <w:t>g</w:t>
            </w:r>
            <w:r w:rsidRPr="003A5356">
              <w:rPr>
                <w:rFonts w:eastAsia="Garamond" w:cs="Garamond"/>
                <w:b/>
                <w:bCs/>
                <w:lang w:val="en-US"/>
              </w:rPr>
              <w:t xml:space="preserve">ar </w:t>
            </w:r>
          </w:p>
          <w:p w14:paraId="0DC5847C" w14:textId="77777777" w:rsidR="00A20158" w:rsidRPr="003A5356" w:rsidRDefault="00A20158" w:rsidP="00632FCC">
            <w:pPr>
              <w:rPr>
                <w:rFonts w:eastAsia="Garamond" w:cs="Garamond"/>
                <w:b/>
                <w:bCs/>
                <w:lang w:val="en-US"/>
              </w:rPr>
            </w:pPr>
          </w:p>
          <w:p w14:paraId="6D7833AE" w14:textId="77777777" w:rsidR="00A20158" w:rsidRPr="003A5356" w:rsidRDefault="00A20158" w:rsidP="00632FCC">
            <w:pPr>
              <w:rPr>
                <w:rFonts w:eastAsia="Garamond" w:cs="Garamond"/>
                <w:lang w:val="en-US"/>
              </w:rPr>
            </w:pPr>
          </w:p>
        </w:tc>
        <w:tc>
          <w:tcPr>
            <w:tcW w:w="1569" w:type="dxa"/>
            <w:tcBorders>
              <w:top w:val="single" w:sz="24" w:space="0" w:color="4F81BB"/>
              <w:left w:val="nil"/>
              <w:bottom w:val="nil"/>
              <w:right w:val="single" w:sz="8" w:space="0" w:color="4F81BB"/>
            </w:tcBorders>
            <w:hideMark/>
          </w:tcPr>
          <w:p w14:paraId="3763819D" w14:textId="77777777" w:rsidR="00A20158" w:rsidRPr="003A5356" w:rsidRDefault="00A20158" w:rsidP="00632FCC">
            <w:pPr>
              <w:rPr>
                <w:rFonts w:eastAsia="Garamond" w:cs="Garamond"/>
                <w:lang w:val="en-US"/>
              </w:rPr>
            </w:pPr>
            <w:r w:rsidRPr="003A5356">
              <w:rPr>
                <w:rFonts w:eastAsia="Garamond" w:cs="Garamond"/>
                <w:b/>
                <w:bCs/>
                <w:spacing w:val="-10"/>
                <w:lang w:val="en-US"/>
              </w:rPr>
              <w:t>P</w:t>
            </w:r>
            <w:r w:rsidRPr="003A5356">
              <w:rPr>
                <w:rFonts w:eastAsia="Garamond" w:cs="Garamond"/>
                <w:b/>
                <w:bCs/>
                <w:spacing w:val="-1"/>
                <w:lang w:val="en-US"/>
              </w:rPr>
              <w:t>o</w:t>
            </w:r>
            <w:r w:rsidRPr="003A5356">
              <w:rPr>
                <w:rFonts w:eastAsia="Garamond" w:cs="Garamond"/>
                <w:b/>
                <w:bCs/>
                <w:lang w:val="en-US"/>
              </w:rPr>
              <w:t>ä</w:t>
            </w:r>
            <w:r w:rsidRPr="003A5356">
              <w:rPr>
                <w:rFonts w:eastAsia="Garamond" w:cs="Garamond"/>
                <w:b/>
                <w:bCs/>
                <w:spacing w:val="-1"/>
                <w:lang w:val="en-US"/>
              </w:rPr>
              <w:t>n</w:t>
            </w:r>
            <w:r w:rsidRPr="003A5356">
              <w:rPr>
                <w:rFonts w:eastAsia="Garamond" w:cs="Garamond"/>
                <w:b/>
                <w:bCs/>
                <w:lang w:val="en-US"/>
              </w:rPr>
              <w:t>g</w:t>
            </w:r>
          </w:p>
        </w:tc>
      </w:tr>
      <w:tr w:rsidR="00A20158" w:rsidRPr="003A5356" w14:paraId="685812E2" w14:textId="77777777" w:rsidTr="00632FCC">
        <w:trPr>
          <w:trHeight w:hRule="exact" w:val="340"/>
        </w:trPr>
        <w:tc>
          <w:tcPr>
            <w:tcW w:w="885" w:type="dxa"/>
            <w:tcBorders>
              <w:top w:val="nil"/>
              <w:left w:val="single" w:sz="8" w:space="0" w:color="4F81BB"/>
              <w:bottom w:val="nil"/>
              <w:right w:val="nil"/>
            </w:tcBorders>
            <w:hideMark/>
          </w:tcPr>
          <w:p w14:paraId="0E14224B" w14:textId="77777777" w:rsidR="00A20158" w:rsidRPr="003A5356" w:rsidRDefault="00A20158" w:rsidP="00632FCC">
            <w:pPr>
              <w:rPr>
                <w:rFonts w:eastAsia="Garamond" w:cs="Garamond"/>
                <w:lang w:val="en-US"/>
              </w:rPr>
            </w:pPr>
            <w:r w:rsidRPr="003A5356">
              <w:rPr>
                <w:rFonts w:eastAsia="Garamond" w:cs="Garamond"/>
                <w:b/>
                <w:bCs/>
                <w:lang w:val="en-US"/>
              </w:rPr>
              <w:t>H</w:t>
            </w:r>
          </w:p>
        </w:tc>
        <w:tc>
          <w:tcPr>
            <w:tcW w:w="5948" w:type="dxa"/>
            <w:hideMark/>
          </w:tcPr>
          <w:p w14:paraId="35745CB5" w14:textId="77777777" w:rsidR="00A20158" w:rsidRPr="003A5356" w:rsidRDefault="00A20158" w:rsidP="00632FCC">
            <w:pPr>
              <w:rPr>
                <w:rFonts w:eastAsia="Garamond" w:cs="Garamond"/>
                <w:lang w:val="en-US"/>
              </w:rPr>
            </w:pPr>
            <w:r w:rsidRPr="003A5356">
              <w:rPr>
                <w:rFonts w:eastAsia="Garamond" w:cs="Garamond"/>
                <w:b/>
                <w:bCs/>
                <w:spacing w:val="-10"/>
                <w:lang w:val="en-US"/>
              </w:rPr>
              <w:t>H</w:t>
            </w:r>
            <w:r w:rsidRPr="003A5356">
              <w:rPr>
                <w:rFonts w:eastAsia="Garamond" w:cs="Garamond"/>
                <w:lang w:val="en-US"/>
              </w:rPr>
              <w:t>ype</w:t>
            </w:r>
            <w:r w:rsidRPr="003A5356">
              <w:rPr>
                <w:rFonts w:eastAsia="Garamond" w:cs="Garamond"/>
                <w:spacing w:val="-1"/>
                <w:lang w:val="en-US"/>
              </w:rPr>
              <w:t>rt</w:t>
            </w:r>
            <w:r w:rsidRPr="003A5356">
              <w:rPr>
                <w:rFonts w:eastAsia="Garamond" w:cs="Garamond"/>
                <w:lang w:val="en-US"/>
              </w:rPr>
              <w:t>oni</w:t>
            </w:r>
            <w:r w:rsidRPr="003A5356">
              <w:rPr>
                <w:rFonts w:eastAsia="Garamond" w:cs="Garamond"/>
                <w:spacing w:val="20"/>
                <w:lang w:val="en-US"/>
              </w:rPr>
              <w:t xml:space="preserve"> </w:t>
            </w:r>
            <w:r w:rsidRPr="003A5356">
              <w:rPr>
                <w:rFonts w:eastAsia="Garamond" w:cs="Garamond"/>
                <w:spacing w:val="-1"/>
                <w:lang w:val="en-US"/>
              </w:rPr>
              <w:t>(</w:t>
            </w:r>
            <w:r w:rsidRPr="003A5356">
              <w:rPr>
                <w:rFonts w:eastAsia="Garamond" w:cs="Garamond"/>
                <w:spacing w:val="-10"/>
                <w:lang w:val="en-US"/>
              </w:rPr>
              <w:t>s</w:t>
            </w:r>
            <w:r w:rsidRPr="003A5356">
              <w:rPr>
                <w:rFonts w:eastAsia="Garamond" w:cs="Garamond"/>
                <w:lang w:val="en-US"/>
              </w:rPr>
              <w:t>y</w:t>
            </w:r>
            <w:r w:rsidRPr="003A5356">
              <w:rPr>
                <w:rFonts w:eastAsia="Garamond" w:cs="Garamond"/>
                <w:spacing w:val="-7"/>
                <w:lang w:val="en-US"/>
              </w:rPr>
              <w:t>s</w:t>
            </w:r>
            <w:r w:rsidRPr="003A5356">
              <w:rPr>
                <w:rFonts w:eastAsia="Garamond" w:cs="Garamond"/>
                <w:spacing w:val="-1"/>
                <w:lang w:val="en-US"/>
              </w:rPr>
              <w:t>t</w:t>
            </w:r>
            <w:r w:rsidRPr="003A5356">
              <w:rPr>
                <w:rFonts w:eastAsia="Garamond" w:cs="Garamond"/>
                <w:spacing w:val="-3"/>
                <w:lang w:val="en-US"/>
              </w:rPr>
              <w:t>o</w:t>
            </w:r>
            <w:r w:rsidRPr="003A5356">
              <w:rPr>
                <w:rFonts w:eastAsia="Garamond" w:cs="Garamond"/>
                <w:lang w:val="en-US"/>
              </w:rPr>
              <w:t>l</w:t>
            </w:r>
            <w:r w:rsidRPr="003A5356">
              <w:rPr>
                <w:rFonts w:eastAsia="Garamond" w:cs="Garamond"/>
                <w:spacing w:val="2"/>
                <w:lang w:val="en-US"/>
              </w:rPr>
              <w:t>i</w:t>
            </w:r>
            <w:r w:rsidRPr="003A5356">
              <w:rPr>
                <w:rFonts w:eastAsia="Garamond" w:cs="Garamond"/>
                <w:spacing w:val="-10"/>
                <w:lang w:val="en-US"/>
              </w:rPr>
              <w:t>s</w:t>
            </w:r>
            <w:r w:rsidRPr="003A5356">
              <w:rPr>
                <w:rFonts w:eastAsia="Garamond" w:cs="Garamond"/>
                <w:lang w:val="en-US"/>
              </w:rPr>
              <w:t>k</w:t>
            </w:r>
            <w:r w:rsidRPr="003A5356">
              <w:rPr>
                <w:rFonts w:eastAsia="Garamond" w:cs="Garamond"/>
                <w:spacing w:val="-19"/>
                <w:lang w:val="en-US"/>
              </w:rPr>
              <w:t xml:space="preserve"> </w:t>
            </w:r>
            <w:r w:rsidRPr="003A5356">
              <w:rPr>
                <w:rFonts w:eastAsia="Garamond" w:cs="Garamond"/>
                <w:lang w:val="en-US"/>
              </w:rPr>
              <w:t>blod</w:t>
            </w:r>
            <w:r w:rsidRPr="003A5356">
              <w:rPr>
                <w:rFonts w:eastAsia="Garamond" w:cs="Garamond"/>
                <w:spacing w:val="-3"/>
                <w:lang w:val="en-US"/>
              </w:rPr>
              <w:t>t</w:t>
            </w:r>
            <w:r w:rsidRPr="003A5356">
              <w:rPr>
                <w:rFonts w:eastAsia="Garamond" w:cs="Garamond"/>
                <w:spacing w:val="-1"/>
                <w:lang w:val="en-US"/>
              </w:rPr>
              <w:t>r</w:t>
            </w:r>
            <w:r w:rsidRPr="003A5356">
              <w:rPr>
                <w:rFonts w:eastAsia="Garamond" w:cs="Garamond"/>
                <w:lang w:val="en-US"/>
              </w:rPr>
              <w:t>yck</w:t>
            </w:r>
            <w:r w:rsidRPr="003A5356">
              <w:rPr>
                <w:rFonts w:eastAsia="Garamond" w:cs="Garamond"/>
                <w:spacing w:val="-20"/>
                <w:lang w:val="en-US"/>
              </w:rPr>
              <w:t xml:space="preserve"> </w:t>
            </w:r>
            <w:r w:rsidRPr="003A5356">
              <w:rPr>
                <w:rFonts w:eastAsia="Garamond" w:cs="Garamond"/>
                <w:lang w:val="en-US"/>
              </w:rPr>
              <w:t>&gt;</w:t>
            </w:r>
            <w:r w:rsidRPr="003A5356">
              <w:rPr>
                <w:rFonts w:eastAsia="Garamond" w:cs="Garamond"/>
                <w:spacing w:val="-16"/>
                <w:lang w:val="en-US"/>
              </w:rPr>
              <w:t xml:space="preserve"> </w:t>
            </w:r>
            <w:r w:rsidRPr="003A5356">
              <w:rPr>
                <w:rFonts w:eastAsia="Garamond" w:cs="Garamond"/>
                <w:lang w:val="en-US"/>
              </w:rPr>
              <w:t>16</w:t>
            </w:r>
            <w:r w:rsidRPr="003A5356">
              <w:rPr>
                <w:rFonts w:eastAsia="Garamond" w:cs="Garamond"/>
                <w:spacing w:val="-8"/>
                <w:lang w:val="en-US"/>
              </w:rPr>
              <w:t>0</w:t>
            </w:r>
            <w:r w:rsidRPr="003A5356">
              <w:rPr>
                <w:rFonts w:eastAsia="Garamond" w:cs="Garamond"/>
                <w:spacing w:val="-1"/>
                <w:lang w:val="en-US"/>
              </w:rPr>
              <w:t>mm</w:t>
            </w:r>
            <w:r w:rsidRPr="003A5356">
              <w:rPr>
                <w:rFonts w:eastAsia="Garamond" w:cs="Garamond"/>
                <w:spacing w:val="-3"/>
                <w:lang w:val="en-US"/>
              </w:rPr>
              <w:t>H</w:t>
            </w:r>
            <w:r w:rsidRPr="003A5356">
              <w:rPr>
                <w:rFonts w:eastAsia="Garamond" w:cs="Garamond"/>
                <w:lang w:val="en-US"/>
              </w:rPr>
              <w:t>g)</w:t>
            </w:r>
          </w:p>
        </w:tc>
        <w:tc>
          <w:tcPr>
            <w:tcW w:w="1569" w:type="dxa"/>
            <w:tcBorders>
              <w:top w:val="nil"/>
              <w:left w:val="nil"/>
              <w:bottom w:val="nil"/>
              <w:right w:val="single" w:sz="8" w:space="0" w:color="4F81BB"/>
            </w:tcBorders>
            <w:hideMark/>
          </w:tcPr>
          <w:p w14:paraId="4C154DD7" w14:textId="77777777" w:rsidR="00A20158" w:rsidRPr="003A5356" w:rsidRDefault="00A20158" w:rsidP="00632FCC">
            <w:pPr>
              <w:rPr>
                <w:rFonts w:eastAsia="Garamond" w:cs="Garamond"/>
                <w:lang w:val="en-US"/>
              </w:rPr>
            </w:pPr>
            <w:r w:rsidRPr="003A5356">
              <w:rPr>
                <w:rFonts w:eastAsia="Garamond" w:cs="Garamond"/>
                <w:lang w:val="en-US"/>
              </w:rPr>
              <w:t>1</w:t>
            </w:r>
          </w:p>
        </w:tc>
      </w:tr>
      <w:tr w:rsidR="00A20158" w:rsidRPr="003A5356" w14:paraId="0275C963" w14:textId="77777777" w:rsidTr="00632FCC">
        <w:trPr>
          <w:trHeight w:hRule="exact" w:val="340"/>
        </w:trPr>
        <w:tc>
          <w:tcPr>
            <w:tcW w:w="885" w:type="dxa"/>
            <w:tcBorders>
              <w:top w:val="nil"/>
              <w:left w:val="single" w:sz="8" w:space="0" w:color="4F81BB"/>
              <w:bottom w:val="nil"/>
              <w:right w:val="nil"/>
            </w:tcBorders>
            <w:hideMark/>
          </w:tcPr>
          <w:p w14:paraId="15D969E1" w14:textId="77777777" w:rsidR="00A20158" w:rsidRPr="003A5356" w:rsidRDefault="00A20158" w:rsidP="00632FCC">
            <w:pPr>
              <w:rPr>
                <w:rFonts w:eastAsia="Garamond" w:cs="Garamond"/>
                <w:lang w:val="en-US"/>
              </w:rPr>
            </w:pPr>
            <w:r w:rsidRPr="003A5356">
              <w:rPr>
                <w:rFonts w:eastAsia="Garamond" w:cs="Garamond"/>
                <w:b/>
                <w:bCs/>
                <w:lang w:val="en-US"/>
              </w:rPr>
              <w:t>A</w:t>
            </w:r>
          </w:p>
        </w:tc>
        <w:tc>
          <w:tcPr>
            <w:tcW w:w="5948" w:type="dxa"/>
            <w:hideMark/>
          </w:tcPr>
          <w:p w14:paraId="50BFA74B" w14:textId="77777777" w:rsidR="00A20158" w:rsidRPr="003A5356" w:rsidRDefault="00A20158" w:rsidP="00632FCC">
            <w:pPr>
              <w:rPr>
                <w:rFonts w:eastAsia="Garamond" w:cs="Garamond"/>
              </w:rPr>
            </w:pPr>
            <w:r w:rsidRPr="003A5356">
              <w:rPr>
                <w:rFonts w:eastAsia="Garamond" w:cs="Garamond"/>
                <w:b/>
                <w:bCs/>
              </w:rPr>
              <w:t>A</w:t>
            </w:r>
            <w:r w:rsidRPr="003A5356">
              <w:rPr>
                <w:rFonts w:eastAsia="Garamond" w:cs="Garamond"/>
                <w:spacing w:val="-1"/>
              </w:rPr>
              <w:t>b</w:t>
            </w:r>
            <w:r w:rsidRPr="003A5356">
              <w:rPr>
                <w:rFonts w:eastAsia="Garamond" w:cs="Garamond"/>
              </w:rPr>
              <w:t>n</w:t>
            </w:r>
            <w:r w:rsidRPr="003A5356">
              <w:rPr>
                <w:rFonts w:eastAsia="Garamond" w:cs="Garamond"/>
                <w:spacing w:val="-1"/>
              </w:rPr>
              <w:t>o</w:t>
            </w:r>
            <w:r w:rsidRPr="003A5356">
              <w:rPr>
                <w:rFonts w:eastAsia="Garamond" w:cs="Garamond"/>
                <w:spacing w:val="-9"/>
              </w:rPr>
              <w:t>r</w:t>
            </w:r>
            <w:r w:rsidRPr="003A5356">
              <w:rPr>
                <w:rFonts w:eastAsia="Garamond" w:cs="Garamond"/>
              </w:rPr>
              <w:t>m</w:t>
            </w:r>
            <w:r w:rsidRPr="003A5356">
              <w:rPr>
                <w:rFonts w:eastAsia="Garamond" w:cs="Garamond"/>
                <w:spacing w:val="-15"/>
              </w:rPr>
              <w:t xml:space="preserve"> </w:t>
            </w:r>
            <w:r w:rsidRPr="003A5356">
              <w:rPr>
                <w:rFonts w:eastAsia="Garamond" w:cs="Garamond"/>
              </w:rPr>
              <w:t>njur</w:t>
            </w:r>
            <w:r w:rsidRPr="003A5356">
              <w:rPr>
                <w:rFonts w:eastAsia="Garamond" w:cs="Garamond"/>
                <w:spacing w:val="-13"/>
              </w:rPr>
              <w:t xml:space="preserve"> </w:t>
            </w:r>
            <w:r w:rsidRPr="003A5356">
              <w:rPr>
                <w:rFonts w:eastAsia="Garamond" w:cs="Garamond"/>
              </w:rPr>
              <w:t>och/eller</w:t>
            </w:r>
            <w:r w:rsidRPr="003A5356">
              <w:rPr>
                <w:rFonts w:eastAsia="Garamond" w:cs="Garamond"/>
                <w:spacing w:val="-9"/>
              </w:rPr>
              <w:t xml:space="preserve"> </w:t>
            </w:r>
            <w:r w:rsidRPr="003A5356">
              <w:rPr>
                <w:rFonts w:eastAsia="Garamond" w:cs="Garamond"/>
              </w:rPr>
              <w:t>leve</w:t>
            </w:r>
            <w:r w:rsidRPr="003A5356">
              <w:rPr>
                <w:rFonts w:eastAsia="Garamond" w:cs="Garamond"/>
                <w:spacing w:val="-1"/>
              </w:rPr>
              <w:t>r</w:t>
            </w:r>
            <w:r w:rsidRPr="003A5356">
              <w:rPr>
                <w:rFonts w:eastAsia="Garamond" w:cs="Garamond"/>
                <w:spacing w:val="-7"/>
              </w:rPr>
              <w:t>f</w:t>
            </w:r>
            <w:r w:rsidRPr="003A5356">
              <w:rPr>
                <w:rFonts w:eastAsia="Garamond" w:cs="Garamond"/>
                <w:spacing w:val="-9"/>
              </w:rPr>
              <w:t>u</w:t>
            </w:r>
            <w:r w:rsidRPr="003A5356">
              <w:rPr>
                <w:rFonts w:eastAsia="Garamond" w:cs="Garamond"/>
              </w:rPr>
              <w:t>nk</w:t>
            </w:r>
            <w:r w:rsidRPr="003A5356">
              <w:rPr>
                <w:rFonts w:eastAsia="Garamond" w:cs="Garamond"/>
                <w:spacing w:val="-1"/>
              </w:rPr>
              <w:t>t</w:t>
            </w:r>
            <w:r w:rsidRPr="003A5356">
              <w:rPr>
                <w:rFonts w:eastAsia="Garamond" w:cs="Garamond"/>
              </w:rPr>
              <w:t>ion</w:t>
            </w:r>
            <w:r w:rsidRPr="003A5356">
              <w:rPr>
                <w:rFonts w:eastAsia="Garamond" w:cs="Garamond"/>
                <w:spacing w:val="-12"/>
              </w:rPr>
              <w:t xml:space="preserve"> </w:t>
            </w:r>
            <w:r w:rsidRPr="003A5356">
              <w:rPr>
                <w:rFonts w:eastAsia="Garamond" w:cs="Garamond"/>
                <w:spacing w:val="-1"/>
              </w:rPr>
              <w:t>(</w:t>
            </w:r>
            <w:r w:rsidRPr="003A5356">
              <w:rPr>
                <w:rFonts w:eastAsia="Garamond" w:cs="Garamond"/>
              </w:rPr>
              <w:t>1</w:t>
            </w:r>
            <w:r w:rsidRPr="003A5356">
              <w:rPr>
                <w:rFonts w:eastAsia="Garamond" w:cs="Garamond"/>
                <w:spacing w:val="-12"/>
              </w:rPr>
              <w:t xml:space="preserve"> </w:t>
            </w:r>
            <w:r w:rsidRPr="003A5356">
              <w:rPr>
                <w:rFonts w:eastAsia="Garamond" w:cs="Garamond"/>
              </w:rPr>
              <w:t>poäng</w:t>
            </w:r>
            <w:r w:rsidRPr="003A5356">
              <w:rPr>
                <w:rFonts w:eastAsia="Garamond" w:cs="Garamond"/>
                <w:spacing w:val="-11"/>
              </w:rPr>
              <w:t xml:space="preserve"> </w:t>
            </w:r>
            <w:r w:rsidRPr="003A5356">
              <w:rPr>
                <w:rFonts w:eastAsia="Garamond" w:cs="Garamond"/>
              </w:rPr>
              <w:t>va</w:t>
            </w:r>
            <w:r w:rsidRPr="003A5356">
              <w:rPr>
                <w:rFonts w:eastAsia="Garamond" w:cs="Garamond"/>
                <w:spacing w:val="-1"/>
              </w:rPr>
              <w:t>r</w:t>
            </w:r>
            <w:r w:rsidRPr="003A5356">
              <w:rPr>
                <w:rFonts w:eastAsia="Garamond" w:cs="Garamond"/>
              </w:rPr>
              <w:t>)</w:t>
            </w:r>
          </w:p>
        </w:tc>
        <w:tc>
          <w:tcPr>
            <w:tcW w:w="1569" w:type="dxa"/>
            <w:tcBorders>
              <w:top w:val="nil"/>
              <w:left w:val="nil"/>
              <w:bottom w:val="nil"/>
              <w:right w:val="single" w:sz="8" w:space="0" w:color="4F81BB"/>
            </w:tcBorders>
            <w:hideMark/>
          </w:tcPr>
          <w:p w14:paraId="6381B7D1" w14:textId="77777777" w:rsidR="00A20158" w:rsidRPr="003A5356" w:rsidRDefault="00A20158" w:rsidP="00632FCC">
            <w:pPr>
              <w:rPr>
                <w:rFonts w:eastAsia="Garamond" w:cs="Garamond"/>
                <w:lang w:val="en-US"/>
              </w:rPr>
            </w:pPr>
            <w:r w:rsidRPr="003A5356">
              <w:rPr>
                <w:rFonts w:eastAsia="Garamond" w:cs="Garamond"/>
                <w:lang w:val="en-US"/>
              </w:rPr>
              <w:t>1</w:t>
            </w:r>
            <w:r w:rsidRPr="003A5356">
              <w:rPr>
                <w:rFonts w:eastAsia="Garamond" w:cs="Garamond"/>
                <w:spacing w:val="-1"/>
                <w:lang w:val="en-US"/>
              </w:rPr>
              <w:t>–</w:t>
            </w:r>
            <w:r w:rsidRPr="003A5356">
              <w:rPr>
                <w:rFonts w:eastAsia="Garamond" w:cs="Garamond"/>
                <w:lang w:val="en-US"/>
              </w:rPr>
              <w:t>2</w:t>
            </w:r>
          </w:p>
        </w:tc>
      </w:tr>
      <w:tr w:rsidR="00A20158" w:rsidRPr="003A5356" w14:paraId="0CB1757D" w14:textId="77777777" w:rsidTr="00632FCC">
        <w:trPr>
          <w:trHeight w:hRule="exact" w:val="340"/>
        </w:trPr>
        <w:tc>
          <w:tcPr>
            <w:tcW w:w="885" w:type="dxa"/>
            <w:tcBorders>
              <w:top w:val="nil"/>
              <w:left w:val="single" w:sz="8" w:space="0" w:color="4F81BB"/>
              <w:bottom w:val="nil"/>
              <w:right w:val="nil"/>
            </w:tcBorders>
            <w:hideMark/>
          </w:tcPr>
          <w:p w14:paraId="7BBB8320" w14:textId="77777777" w:rsidR="00A20158" w:rsidRPr="003A5356" w:rsidRDefault="00A20158" w:rsidP="00632FCC">
            <w:pPr>
              <w:rPr>
                <w:rFonts w:eastAsia="Garamond" w:cs="Garamond"/>
                <w:lang w:val="en-US"/>
              </w:rPr>
            </w:pPr>
            <w:r w:rsidRPr="003A5356">
              <w:rPr>
                <w:rFonts w:eastAsia="Garamond" w:cs="Garamond"/>
                <w:b/>
                <w:bCs/>
                <w:lang w:val="en-US"/>
              </w:rPr>
              <w:t>S</w:t>
            </w:r>
          </w:p>
        </w:tc>
        <w:tc>
          <w:tcPr>
            <w:tcW w:w="5948" w:type="dxa"/>
            <w:hideMark/>
          </w:tcPr>
          <w:p w14:paraId="63A24A40" w14:textId="77777777" w:rsidR="00A20158" w:rsidRPr="003A5356" w:rsidRDefault="00A20158" w:rsidP="00632FCC">
            <w:pPr>
              <w:rPr>
                <w:rFonts w:eastAsia="Garamond" w:cs="Garamond"/>
                <w:lang w:val="en-US"/>
              </w:rPr>
            </w:pPr>
            <w:r w:rsidRPr="003A5356">
              <w:rPr>
                <w:rFonts w:eastAsia="Garamond" w:cs="Garamond"/>
                <w:b/>
                <w:bCs/>
                <w:spacing w:val="-1"/>
                <w:lang w:val="en-US"/>
              </w:rPr>
              <w:t>S</w:t>
            </w:r>
            <w:r w:rsidRPr="003A5356">
              <w:rPr>
                <w:rFonts w:eastAsia="Garamond" w:cs="Garamond"/>
                <w:spacing w:val="-1"/>
                <w:lang w:val="en-US"/>
              </w:rPr>
              <w:t>t</w:t>
            </w:r>
            <w:r w:rsidRPr="003A5356">
              <w:rPr>
                <w:rFonts w:eastAsia="Garamond" w:cs="Garamond"/>
                <w:spacing w:val="-4"/>
                <w:lang w:val="en-US"/>
              </w:rPr>
              <w:t>r</w:t>
            </w:r>
            <w:r w:rsidRPr="003A5356">
              <w:rPr>
                <w:rFonts w:eastAsia="Garamond" w:cs="Garamond"/>
                <w:spacing w:val="-1"/>
                <w:lang w:val="en-US"/>
              </w:rPr>
              <w:t>o</w:t>
            </w:r>
            <w:r w:rsidRPr="003A5356">
              <w:rPr>
                <w:rFonts w:eastAsia="Garamond" w:cs="Garamond"/>
                <w:spacing w:val="-8"/>
                <w:lang w:val="en-US"/>
              </w:rPr>
              <w:t>ke</w:t>
            </w:r>
          </w:p>
        </w:tc>
        <w:tc>
          <w:tcPr>
            <w:tcW w:w="1569" w:type="dxa"/>
            <w:tcBorders>
              <w:top w:val="nil"/>
              <w:left w:val="nil"/>
              <w:bottom w:val="nil"/>
              <w:right w:val="single" w:sz="8" w:space="0" w:color="4F81BB"/>
            </w:tcBorders>
            <w:hideMark/>
          </w:tcPr>
          <w:p w14:paraId="6407721C" w14:textId="77777777" w:rsidR="00A20158" w:rsidRPr="003A5356" w:rsidRDefault="00A20158" w:rsidP="00632FCC">
            <w:pPr>
              <w:rPr>
                <w:rFonts w:eastAsia="Garamond" w:cs="Garamond"/>
                <w:lang w:val="en-US"/>
              </w:rPr>
            </w:pPr>
            <w:r w:rsidRPr="003A5356">
              <w:rPr>
                <w:rFonts w:eastAsia="Garamond" w:cs="Garamond"/>
                <w:lang w:val="en-US"/>
              </w:rPr>
              <w:t>1</w:t>
            </w:r>
          </w:p>
        </w:tc>
      </w:tr>
      <w:tr w:rsidR="00A20158" w:rsidRPr="003A5356" w14:paraId="3F2AF890" w14:textId="77777777" w:rsidTr="00632FCC">
        <w:trPr>
          <w:trHeight w:hRule="exact" w:val="340"/>
        </w:trPr>
        <w:tc>
          <w:tcPr>
            <w:tcW w:w="885" w:type="dxa"/>
            <w:tcBorders>
              <w:top w:val="nil"/>
              <w:left w:val="single" w:sz="8" w:space="0" w:color="4F81BB"/>
              <w:bottom w:val="nil"/>
              <w:right w:val="nil"/>
            </w:tcBorders>
            <w:hideMark/>
          </w:tcPr>
          <w:p w14:paraId="0EF503AC" w14:textId="77777777" w:rsidR="00A20158" w:rsidRPr="003A5356" w:rsidRDefault="00A20158" w:rsidP="00632FCC">
            <w:pPr>
              <w:rPr>
                <w:rFonts w:eastAsia="Garamond" w:cs="Garamond"/>
                <w:lang w:val="en-US"/>
              </w:rPr>
            </w:pPr>
            <w:r w:rsidRPr="003A5356">
              <w:rPr>
                <w:rFonts w:eastAsia="Garamond" w:cs="Garamond"/>
                <w:b/>
                <w:bCs/>
                <w:lang w:val="en-US"/>
              </w:rPr>
              <w:t>B</w:t>
            </w:r>
          </w:p>
        </w:tc>
        <w:tc>
          <w:tcPr>
            <w:tcW w:w="5948" w:type="dxa"/>
            <w:hideMark/>
          </w:tcPr>
          <w:p w14:paraId="689A86FE" w14:textId="77777777" w:rsidR="00A20158" w:rsidRPr="003A5356" w:rsidRDefault="00A20158" w:rsidP="00632FCC">
            <w:pPr>
              <w:rPr>
                <w:rFonts w:eastAsia="Garamond" w:cs="Garamond"/>
                <w:lang w:val="en-US"/>
              </w:rPr>
            </w:pPr>
            <w:r w:rsidRPr="003A5356">
              <w:rPr>
                <w:rFonts w:eastAsia="Garamond" w:cs="Garamond"/>
                <w:b/>
                <w:bCs/>
                <w:lang w:val="en-US"/>
              </w:rPr>
              <w:t>B</w:t>
            </w:r>
            <w:r w:rsidRPr="003A5356">
              <w:rPr>
                <w:rFonts w:eastAsia="Garamond" w:cs="Garamond"/>
                <w:lang w:val="en-US"/>
              </w:rPr>
              <w:t>lödnings</w:t>
            </w:r>
            <w:r w:rsidRPr="003A5356">
              <w:rPr>
                <w:rFonts w:eastAsia="Garamond" w:cs="Garamond"/>
                <w:spacing w:val="-1"/>
                <w:lang w:val="en-US"/>
              </w:rPr>
              <w:t>b</w:t>
            </w:r>
            <w:r w:rsidRPr="003A5356">
              <w:rPr>
                <w:rFonts w:eastAsia="Garamond" w:cs="Garamond"/>
                <w:spacing w:val="-2"/>
                <w:lang w:val="en-US"/>
              </w:rPr>
              <w:t>e</w:t>
            </w:r>
            <w:r w:rsidRPr="003A5356">
              <w:rPr>
                <w:rFonts w:eastAsia="Garamond" w:cs="Garamond"/>
                <w:spacing w:val="-3"/>
                <w:lang w:val="en-US"/>
              </w:rPr>
              <w:t>n</w:t>
            </w:r>
            <w:r w:rsidRPr="003A5356">
              <w:rPr>
                <w:rFonts w:eastAsia="Garamond" w:cs="Garamond"/>
                <w:lang w:val="en-US"/>
              </w:rPr>
              <w:t>ä</w:t>
            </w:r>
            <w:r w:rsidRPr="003A5356">
              <w:rPr>
                <w:rFonts w:eastAsia="Garamond" w:cs="Garamond"/>
                <w:spacing w:val="-2"/>
                <w:lang w:val="en-US"/>
              </w:rPr>
              <w:t>g</w:t>
            </w:r>
            <w:r w:rsidRPr="003A5356">
              <w:rPr>
                <w:rFonts w:eastAsia="Garamond" w:cs="Garamond"/>
                <w:lang w:val="en-US"/>
              </w:rPr>
              <w:t>e</w:t>
            </w:r>
            <w:r w:rsidRPr="003A5356">
              <w:rPr>
                <w:rFonts w:eastAsia="Garamond" w:cs="Garamond"/>
                <w:spacing w:val="-1"/>
                <w:lang w:val="en-US"/>
              </w:rPr>
              <w:t>n</w:t>
            </w:r>
            <w:r w:rsidRPr="003A5356">
              <w:rPr>
                <w:rFonts w:eastAsia="Garamond" w:cs="Garamond"/>
                <w:spacing w:val="-8"/>
                <w:lang w:val="en-US"/>
              </w:rPr>
              <w:t>h</w:t>
            </w:r>
            <w:r w:rsidRPr="003A5356">
              <w:rPr>
                <w:rFonts w:eastAsia="Garamond" w:cs="Garamond"/>
                <w:lang w:val="en-US"/>
              </w:rPr>
              <w:t>et</w:t>
            </w:r>
            <w:r w:rsidRPr="003A5356">
              <w:rPr>
                <w:rFonts w:eastAsia="Garamond" w:cs="Garamond"/>
                <w:spacing w:val="-13"/>
                <w:lang w:val="en-US"/>
              </w:rPr>
              <w:t xml:space="preserve"> </w:t>
            </w:r>
            <w:r w:rsidRPr="003A5356">
              <w:rPr>
                <w:rFonts w:eastAsia="Garamond" w:cs="Garamond"/>
                <w:lang w:val="en-US"/>
              </w:rPr>
              <w:t>e</w:t>
            </w:r>
            <w:r w:rsidRPr="003A5356">
              <w:rPr>
                <w:rFonts w:eastAsia="Garamond" w:cs="Garamond"/>
                <w:spacing w:val="-5"/>
                <w:lang w:val="en-US"/>
              </w:rPr>
              <w:t>l</w:t>
            </w:r>
            <w:r w:rsidRPr="003A5356">
              <w:rPr>
                <w:rFonts w:eastAsia="Garamond" w:cs="Garamond"/>
                <w:spacing w:val="-3"/>
                <w:lang w:val="en-US"/>
              </w:rPr>
              <w:t>l</w:t>
            </w:r>
            <w:r w:rsidRPr="003A5356">
              <w:rPr>
                <w:rFonts w:eastAsia="Garamond" w:cs="Garamond"/>
                <w:spacing w:val="-10"/>
                <w:lang w:val="en-US"/>
              </w:rPr>
              <w:t>e</w:t>
            </w:r>
            <w:r w:rsidRPr="003A5356">
              <w:rPr>
                <w:rFonts w:eastAsia="Garamond" w:cs="Garamond"/>
                <w:lang w:val="en-US"/>
              </w:rPr>
              <w:t>r</w:t>
            </w:r>
            <w:r w:rsidRPr="003A5356">
              <w:rPr>
                <w:rFonts w:eastAsia="Garamond" w:cs="Garamond"/>
                <w:spacing w:val="-15"/>
                <w:lang w:val="en-US"/>
              </w:rPr>
              <w:t xml:space="preserve"> </w:t>
            </w:r>
            <w:r w:rsidRPr="003A5356">
              <w:rPr>
                <w:rFonts w:eastAsia="Garamond" w:cs="Garamond"/>
                <w:lang w:val="en-US"/>
              </w:rPr>
              <w:t>di</w:t>
            </w:r>
            <w:r w:rsidRPr="003A5356">
              <w:rPr>
                <w:rFonts w:eastAsia="Garamond" w:cs="Garamond"/>
                <w:spacing w:val="-7"/>
                <w:lang w:val="en-US"/>
              </w:rPr>
              <w:t>s</w:t>
            </w:r>
            <w:r w:rsidRPr="003A5356">
              <w:rPr>
                <w:rFonts w:eastAsia="Garamond" w:cs="Garamond"/>
                <w:lang w:val="en-US"/>
              </w:rPr>
              <w:t>pone</w:t>
            </w:r>
            <w:r w:rsidRPr="003A5356">
              <w:rPr>
                <w:rFonts w:eastAsia="Garamond" w:cs="Garamond"/>
                <w:spacing w:val="-1"/>
                <w:lang w:val="en-US"/>
              </w:rPr>
              <w:t>r</w:t>
            </w:r>
            <w:r w:rsidRPr="003A5356">
              <w:rPr>
                <w:rFonts w:eastAsia="Garamond" w:cs="Garamond"/>
                <w:lang w:val="en-US"/>
              </w:rPr>
              <w:t>ad</w:t>
            </w:r>
          </w:p>
        </w:tc>
        <w:tc>
          <w:tcPr>
            <w:tcW w:w="1569" w:type="dxa"/>
            <w:tcBorders>
              <w:top w:val="nil"/>
              <w:left w:val="nil"/>
              <w:bottom w:val="nil"/>
              <w:right w:val="single" w:sz="8" w:space="0" w:color="4F81BB"/>
            </w:tcBorders>
            <w:hideMark/>
          </w:tcPr>
          <w:p w14:paraId="0B39B03E" w14:textId="77777777" w:rsidR="00A20158" w:rsidRPr="003A5356" w:rsidRDefault="00A20158" w:rsidP="00632FCC">
            <w:pPr>
              <w:rPr>
                <w:rFonts w:eastAsia="Garamond" w:cs="Garamond"/>
                <w:lang w:val="en-US"/>
              </w:rPr>
            </w:pPr>
            <w:r w:rsidRPr="003A5356">
              <w:rPr>
                <w:rFonts w:eastAsia="Garamond" w:cs="Garamond"/>
                <w:lang w:val="en-US"/>
              </w:rPr>
              <w:t>1</w:t>
            </w:r>
          </w:p>
        </w:tc>
      </w:tr>
      <w:tr w:rsidR="00A20158" w:rsidRPr="003A5356" w14:paraId="5EBEFB8A" w14:textId="77777777" w:rsidTr="00632FCC">
        <w:trPr>
          <w:trHeight w:hRule="exact" w:val="340"/>
        </w:trPr>
        <w:tc>
          <w:tcPr>
            <w:tcW w:w="885" w:type="dxa"/>
            <w:tcBorders>
              <w:top w:val="nil"/>
              <w:left w:val="single" w:sz="8" w:space="0" w:color="4F81BB"/>
              <w:bottom w:val="nil"/>
              <w:right w:val="nil"/>
            </w:tcBorders>
            <w:hideMark/>
          </w:tcPr>
          <w:p w14:paraId="6E8E956F" w14:textId="77777777" w:rsidR="00A20158" w:rsidRPr="003A5356" w:rsidRDefault="00A20158" w:rsidP="00632FCC">
            <w:pPr>
              <w:rPr>
                <w:rFonts w:eastAsia="Garamond" w:cs="Garamond"/>
                <w:lang w:val="en-US"/>
              </w:rPr>
            </w:pPr>
            <w:r w:rsidRPr="003A5356">
              <w:rPr>
                <w:rFonts w:eastAsia="Garamond" w:cs="Garamond"/>
                <w:b/>
                <w:bCs/>
                <w:lang w:val="en-US"/>
              </w:rPr>
              <w:t>L</w:t>
            </w:r>
          </w:p>
        </w:tc>
        <w:tc>
          <w:tcPr>
            <w:tcW w:w="5948" w:type="dxa"/>
            <w:hideMark/>
          </w:tcPr>
          <w:p w14:paraId="6F07BD74" w14:textId="77777777" w:rsidR="00A20158" w:rsidRPr="003A5356" w:rsidRDefault="00A20158" w:rsidP="00632FCC">
            <w:pPr>
              <w:rPr>
                <w:rFonts w:eastAsia="Garamond" w:cs="Garamond"/>
              </w:rPr>
            </w:pPr>
            <w:r w:rsidRPr="003A5356">
              <w:rPr>
                <w:rFonts w:eastAsia="Garamond" w:cs="Garamond"/>
                <w:b/>
                <w:bCs/>
                <w:spacing w:val="1"/>
              </w:rPr>
              <w:t>L</w:t>
            </w:r>
            <w:r w:rsidRPr="003A5356">
              <w:rPr>
                <w:rFonts w:eastAsia="Garamond" w:cs="Garamond"/>
              </w:rPr>
              <w:t>a</w:t>
            </w:r>
            <w:r w:rsidRPr="003A5356">
              <w:rPr>
                <w:rFonts w:eastAsia="Garamond" w:cs="Garamond"/>
                <w:spacing w:val="-1"/>
              </w:rPr>
              <w:t>b</w:t>
            </w:r>
            <w:r w:rsidRPr="003A5356">
              <w:rPr>
                <w:rFonts w:eastAsia="Garamond" w:cs="Garamond"/>
              </w:rPr>
              <w:t>ila</w:t>
            </w:r>
            <w:r w:rsidRPr="003A5356">
              <w:rPr>
                <w:rFonts w:eastAsia="Garamond" w:cs="Garamond"/>
                <w:spacing w:val="-9"/>
              </w:rPr>
              <w:t xml:space="preserve"> </w:t>
            </w:r>
            <w:r w:rsidRPr="003A5356">
              <w:rPr>
                <w:rFonts w:eastAsia="Garamond" w:cs="Garamond"/>
                <w:spacing w:val="-1"/>
              </w:rPr>
              <w:t>I</w:t>
            </w:r>
            <w:r w:rsidRPr="003A5356">
              <w:rPr>
                <w:rFonts w:eastAsia="Garamond" w:cs="Garamond"/>
                <w:spacing w:val="-11"/>
              </w:rPr>
              <w:t>N</w:t>
            </w:r>
            <w:r w:rsidRPr="003A5356">
              <w:rPr>
                <w:rFonts w:eastAsia="Garamond" w:cs="Garamond"/>
              </w:rPr>
              <w:t>R</w:t>
            </w:r>
            <w:r w:rsidRPr="003A5356">
              <w:rPr>
                <w:rFonts w:eastAsia="Garamond" w:cs="Garamond"/>
                <w:spacing w:val="-1"/>
              </w:rPr>
              <w:t xml:space="preserve"> </w:t>
            </w:r>
            <w:r w:rsidRPr="003A5356">
              <w:rPr>
                <w:rFonts w:eastAsia="Garamond" w:cs="Garamond"/>
              </w:rPr>
              <w:t>(vid</w:t>
            </w:r>
            <w:r w:rsidRPr="003A5356">
              <w:rPr>
                <w:rFonts w:eastAsia="Garamond" w:cs="Garamond"/>
                <w:spacing w:val="-14"/>
              </w:rPr>
              <w:t xml:space="preserve"> </w:t>
            </w:r>
            <w:r w:rsidRPr="003A5356">
              <w:rPr>
                <w:rFonts w:eastAsia="Garamond" w:cs="Garamond"/>
                <w:spacing w:val="-2"/>
              </w:rPr>
              <w:t>w</w:t>
            </w:r>
            <w:r w:rsidRPr="003A5356">
              <w:rPr>
                <w:rFonts w:eastAsia="Garamond" w:cs="Garamond"/>
              </w:rPr>
              <w:t>a</w:t>
            </w:r>
            <w:r w:rsidRPr="003A5356">
              <w:rPr>
                <w:rFonts w:eastAsia="Garamond" w:cs="Garamond"/>
                <w:spacing w:val="-1"/>
              </w:rPr>
              <w:t>r</w:t>
            </w:r>
            <w:r w:rsidRPr="003A5356">
              <w:rPr>
                <w:rFonts w:eastAsia="Garamond" w:cs="Garamond"/>
                <w:spacing w:val="-9"/>
              </w:rPr>
              <w:t>f</w:t>
            </w:r>
            <w:r w:rsidRPr="003A5356">
              <w:rPr>
                <w:rFonts w:eastAsia="Garamond" w:cs="Garamond"/>
              </w:rPr>
              <w:t>a</w:t>
            </w:r>
            <w:r w:rsidRPr="003A5356">
              <w:rPr>
                <w:rFonts w:eastAsia="Garamond" w:cs="Garamond"/>
                <w:spacing w:val="-1"/>
              </w:rPr>
              <w:t>r</w:t>
            </w:r>
            <w:r w:rsidRPr="003A5356">
              <w:rPr>
                <w:rFonts w:eastAsia="Garamond" w:cs="Garamond"/>
              </w:rPr>
              <w:t>in</w:t>
            </w:r>
            <w:r w:rsidRPr="003A5356">
              <w:rPr>
                <w:rFonts w:eastAsia="Garamond" w:cs="Garamond"/>
                <w:spacing w:val="-21"/>
              </w:rPr>
              <w:t>-</w:t>
            </w:r>
            <w:r w:rsidRPr="003A5356">
              <w:rPr>
                <w:rFonts w:eastAsia="Garamond" w:cs="Garamond"/>
              </w:rPr>
              <w:t>behandling)</w:t>
            </w:r>
          </w:p>
        </w:tc>
        <w:tc>
          <w:tcPr>
            <w:tcW w:w="1569" w:type="dxa"/>
            <w:tcBorders>
              <w:top w:val="nil"/>
              <w:left w:val="nil"/>
              <w:bottom w:val="nil"/>
              <w:right w:val="single" w:sz="8" w:space="0" w:color="4F81BB"/>
            </w:tcBorders>
            <w:hideMark/>
          </w:tcPr>
          <w:p w14:paraId="16FC0E58" w14:textId="77777777" w:rsidR="00A20158" w:rsidRPr="003A5356" w:rsidRDefault="00A20158" w:rsidP="00632FCC">
            <w:pPr>
              <w:rPr>
                <w:rFonts w:eastAsia="Garamond" w:cs="Garamond"/>
                <w:lang w:val="en-US"/>
              </w:rPr>
            </w:pPr>
            <w:r w:rsidRPr="003A5356">
              <w:rPr>
                <w:rFonts w:eastAsia="Garamond" w:cs="Garamond"/>
                <w:lang w:val="en-US"/>
              </w:rPr>
              <w:t>1</w:t>
            </w:r>
          </w:p>
        </w:tc>
      </w:tr>
      <w:tr w:rsidR="00A20158" w:rsidRPr="003A5356" w14:paraId="2172611A" w14:textId="77777777" w:rsidTr="00632FCC">
        <w:trPr>
          <w:trHeight w:hRule="exact" w:val="340"/>
        </w:trPr>
        <w:tc>
          <w:tcPr>
            <w:tcW w:w="885" w:type="dxa"/>
            <w:tcBorders>
              <w:top w:val="nil"/>
              <w:left w:val="single" w:sz="8" w:space="0" w:color="4F81BB"/>
              <w:bottom w:val="nil"/>
              <w:right w:val="nil"/>
            </w:tcBorders>
            <w:hideMark/>
          </w:tcPr>
          <w:p w14:paraId="5FC4D877" w14:textId="77777777" w:rsidR="00A20158" w:rsidRPr="003A5356" w:rsidRDefault="00A20158" w:rsidP="00632FCC">
            <w:pPr>
              <w:rPr>
                <w:rFonts w:eastAsia="Garamond" w:cs="Garamond"/>
                <w:lang w:val="en-US"/>
              </w:rPr>
            </w:pPr>
            <w:r w:rsidRPr="003A5356">
              <w:rPr>
                <w:rFonts w:eastAsia="Garamond" w:cs="Garamond"/>
                <w:b/>
                <w:bCs/>
                <w:lang w:val="en-US"/>
              </w:rPr>
              <w:t>E</w:t>
            </w:r>
          </w:p>
        </w:tc>
        <w:tc>
          <w:tcPr>
            <w:tcW w:w="5948" w:type="dxa"/>
            <w:hideMark/>
          </w:tcPr>
          <w:p w14:paraId="1DB12653" w14:textId="77777777" w:rsidR="00A20158" w:rsidRPr="003A5356" w:rsidRDefault="00A20158" w:rsidP="00632FCC">
            <w:pPr>
              <w:rPr>
                <w:rFonts w:eastAsia="Garamond" w:cs="Garamond"/>
                <w:lang w:val="en-US"/>
              </w:rPr>
            </w:pPr>
            <w:r w:rsidRPr="003A5356">
              <w:rPr>
                <w:rFonts w:eastAsia="Garamond" w:cs="Garamond"/>
                <w:b/>
                <w:bCs/>
                <w:lang w:val="en-US"/>
              </w:rPr>
              <w:t>E</w:t>
            </w:r>
            <w:r w:rsidRPr="003A5356">
              <w:rPr>
                <w:rFonts w:eastAsia="Garamond" w:cs="Garamond"/>
                <w:lang w:val="en-US"/>
              </w:rPr>
              <w:t>lde</w:t>
            </w:r>
            <w:r w:rsidRPr="003A5356">
              <w:rPr>
                <w:rFonts w:eastAsia="Garamond" w:cs="Garamond"/>
                <w:spacing w:val="-1"/>
                <w:lang w:val="en-US"/>
              </w:rPr>
              <w:t>r</w:t>
            </w:r>
            <w:r w:rsidRPr="003A5356">
              <w:rPr>
                <w:rFonts w:eastAsia="Garamond" w:cs="Garamond"/>
                <w:lang w:val="en-US"/>
              </w:rPr>
              <w:t>ly</w:t>
            </w:r>
            <w:r w:rsidRPr="003A5356">
              <w:rPr>
                <w:rFonts w:eastAsia="Garamond" w:cs="Garamond"/>
                <w:spacing w:val="-18"/>
                <w:lang w:val="en-US"/>
              </w:rPr>
              <w:t xml:space="preserve"> </w:t>
            </w:r>
            <w:r w:rsidRPr="003A5356">
              <w:rPr>
                <w:rFonts w:eastAsia="Garamond" w:cs="Garamond"/>
                <w:lang w:val="en-US"/>
              </w:rPr>
              <w:t>(ålder</w:t>
            </w:r>
            <w:r w:rsidRPr="003A5356">
              <w:rPr>
                <w:rFonts w:eastAsia="Garamond" w:cs="Garamond"/>
                <w:spacing w:val="-16"/>
                <w:lang w:val="en-US"/>
              </w:rPr>
              <w:t xml:space="preserve"> </w:t>
            </w:r>
            <w:r w:rsidRPr="003A5356">
              <w:rPr>
                <w:rFonts w:eastAsia="Garamond" w:cs="Garamond"/>
                <w:spacing w:val="-2"/>
                <w:lang w:val="en-US"/>
              </w:rPr>
              <w:t>&gt;</w:t>
            </w:r>
            <w:r w:rsidRPr="003A5356">
              <w:rPr>
                <w:rFonts w:eastAsia="Garamond" w:cs="Garamond"/>
                <w:lang w:val="en-US"/>
              </w:rPr>
              <w:t>65</w:t>
            </w:r>
            <w:r w:rsidRPr="003A5356">
              <w:rPr>
                <w:rFonts w:eastAsia="Garamond" w:cs="Garamond"/>
                <w:spacing w:val="-20"/>
                <w:lang w:val="en-US"/>
              </w:rPr>
              <w:t xml:space="preserve"> </w:t>
            </w:r>
            <w:r w:rsidRPr="003A5356">
              <w:rPr>
                <w:rFonts w:eastAsia="Garamond" w:cs="Garamond"/>
                <w:lang w:val="en-US"/>
              </w:rPr>
              <w:t>å</w:t>
            </w:r>
            <w:r w:rsidRPr="003A5356">
              <w:rPr>
                <w:rFonts w:eastAsia="Garamond" w:cs="Garamond"/>
                <w:spacing w:val="-1"/>
                <w:lang w:val="en-US"/>
              </w:rPr>
              <w:t>r</w:t>
            </w:r>
            <w:r w:rsidRPr="003A5356">
              <w:rPr>
                <w:rFonts w:eastAsia="Garamond" w:cs="Garamond"/>
                <w:lang w:val="en-US"/>
              </w:rPr>
              <w:t>)</w:t>
            </w:r>
          </w:p>
        </w:tc>
        <w:tc>
          <w:tcPr>
            <w:tcW w:w="1569" w:type="dxa"/>
            <w:tcBorders>
              <w:top w:val="nil"/>
              <w:left w:val="nil"/>
              <w:bottom w:val="nil"/>
              <w:right w:val="single" w:sz="8" w:space="0" w:color="4F81BB"/>
            </w:tcBorders>
            <w:hideMark/>
          </w:tcPr>
          <w:p w14:paraId="3017F081" w14:textId="77777777" w:rsidR="00A20158" w:rsidRPr="003A5356" w:rsidRDefault="00A20158" w:rsidP="00632FCC">
            <w:pPr>
              <w:rPr>
                <w:rFonts w:eastAsia="Garamond" w:cs="Garamond"/>
                <w:lang w:val="en-US"/>
              </w:rPr>
            </w:pPr>
            <w:r w:rsidRPr="003A5356">
              <w:rPr>
                <w:rFonts w:eastAsia="Garamond" w:cs="Garamond"/>
                <w:lang w:val="en-US"/>
              </w:rPr>
              <w:t>1</w:t>
            </w:r>
          </w:p>
        </w:tc>
      </w:tr>
      <w:tr w:rsidR="00A20158" w:rsidRPr="003A5356" w14:paraId="5768F775" w14:textId="77777777" w:rsidTr="00632FCC">
        <w:trPr>
          <w:trHeight w:hRule="exact" w:val="455"/>
        </w:trPr>
        <w:tc>
          <w:tcPr>
            <w:tcW w:w="885" w:type="dxa"/>
            <w:tcBorders>
              <w:top w:val="nil"/>
              <w:left w:val="single" w:sz="8" w:space="0" w:color="4F81BB"/>
              <w:bottom w:val="single" w:sz="18" w:space="0" w:color="4F81BB"/>
              <w:right w:val="nil"/>
            </w:tcBorders>
            <w:hideMark/>
          </w:tcPr>
          <w:p w14:paraId="3C03ECED" w14:textId="77777777" w:rsidR="00A20158" w:rsidRPr="003A5356" w:rsidRDefault="00A20158" w:rsidP="00632FCC">
            <w:pPr>
              <w:rPr>
                <w:rFonts w:eastAsia="Garamond" w:cs="Garamond"/>
                <w:lang w:val="en-US"/>
              </w:rPr>
            </w:pPr>
            <w:r w:rsidRPr="003A5356">
              <w:rPr>
                <w:rFonts w:eastAsia="Garamond" w:cs="Garamond"/>
                <w:b/>
                <w:bCs/>
                <w:lang w:val="en-US"/>
              </w:rPr>
              <w:t>D</w:t>
            </w:r>
          </w:p>
        </w:tc>
        <w:tc>
          <w:tcPr>
            <w:tcW w:w="5948" w:type="dxa"/>
            <w:tcBorders>
              <w:top w:val="nil"/>
              <w:left w:val="nil"/>
              <w:bottom w:val="single" w:sz="18" w:space="0" w:color="4F81BB"/>
              <w:right w:val="nil"/>
            </w:tcBorders>
            <w:hideMark/>
          </w:tcPr>
          <w:p w14:paraId="7DA508B3" w14:textId="77777777" w:rsidR="00A20158" w:rsidRPr="003A5356" w:rsidRDefault="00A20158" w:rsidP="00632FCC">
            <w:pPr>
              <w:rPr>
                <w:rFonts w:eastAsia="Garamond" w:cs="Garamond"/>
              </w:rPr>
            </w:pPr>
            <w:r w:rsidRPr="003A5356">
              <w:rPr>
                <w:rFonts w:eastAsia="Garamond" w:cs="Garamond"/>
                <w:b/>
                <w:bCs/>
                <w:spacing w:val="-1"/>
              </w:rPr>
              <w:t>D</w:t>
            </w:r>
            <w:r w:rsidRPr="003A5356">
              <w:rPr>
                <w:rFonts w:eastAsia="Garamond" w:cs="Garamond"/>
                <w:spacing w:val="-1"/>
              </w:rPr>
              <w:t>r</w:t>
            </w:r>
            <w:r w:rsidRPr="003A5356">
              <w:rPr>
                <w:rFonts w:eastAsia="Garamond" w:cs="Garamond"/>
              </w:rPr>
              <w:t>og</w:t>
            </w:r>
            <w:r w:rsidRPr="003A5356">
              <w:rPr>
                <w:rFonts w:eastAsia="Garamond" w:cs="Garamond"/>
                <w:spacing w:val="-13"/>
              </w:rPr>
              <w:t xml:space="preserve"> </w:t>
            </w:r>
            <w:r w:rsidRPr="003A5356">
              <w:rPr>
                <w:rFonts w:eastAsia="Garamond" w:cs="Garamond"/>
                <w:spacing w:val="-1"/>
              </w:rPr>
              <w:t>(</w:t>
            </w:r>
            <w:r w:rsidRPr="003A5356">
              <w:rPr>
                <w:rFonts w:eastAsia="Garamond" w:cs="Garamond"/>
                <w:spacing w:val="-3"/>
              </w:rPr>
              <w:t>N</w:t>
            </w:r>
            <w:r w:rsidRPr="003A5356">
              <w:rPr>
                <w:rFonts w:eastAsia="Garamond" w:cs="Garamond"/>
              </w:rPr>
              <w:t>SA</w:t>
            </w:r>
            <w:r w:rsidRPr="003A5356">
              <w:rPr>
                <w:rFonts w:eastAsia="Garamond" w:cs="Garamond"/>
                <w:spacing w:val="-1"/>
              </w:rPr>
              <w:t>ID</w:t>
            </w:r>
            <w:r w:rsidRPr="003A5356">
              <w:rPr>
                <w:rFonts w:eastAsia="Garamond" w:cs="Garamond"/>
                <w:spacing w:val="-8"/>
              </w:rPr>
              <w:t>/</w:t>
            </w:r>
            <w:r w:rsidRPr="003A5356">
              <w:rPr>
                <w:rFonts w:eastAsia="Garamond" w:cs="Garamond"/>
              </w:rPr>
              <w:t>ASA)</w:t>
            </w:r>
            <w:r w:rsidRPr="003A5356">
              <w:rPr>
                <w:rFonts w:eastAsia="Garamond" w:cs="Garamond"/>
                <w:spacing w:val="-15"/>
              </w:rPr>
              <w:t xml:space="preserve"> </w:t>
            </w:r>
            <w:r w:rsidRPr="003A5356">
              <w:rPr>
                <w:rFonts w:eastAsia="Garamond" w:cs="Garamond"/>
              </w:rPr>
              <w:t>o/el</w:t>
            </w:r>
            <w:r w:rsidRPr="003A5356">
              <w:rPr>
                <w:rFonts w:eastAsia="Garamond" w:cs="Garamond"/>
                <w:spacing w:val="-16"/>
              </w:rPr>
              <w:t xml:space="preserve"> </w:t>
            </w:r>
            <w:r w:rsidRPr="003A5356">
              <w:rPr>
                <w:rFonts w:eastAsia="Garamond" w:cs="Garamond"/>
              </w:rPr>
              <w:t>alkoh</w:t>
            </w:r>
            <w:r w:rsidRPr="003A5356">
              <w:rPr>
                <w:rFonts w:eastAsia="Garamond" w:cs="Garamond"/>
                <w:spacing w:val="1"/>
              </w:rPr>
              <w:t>o</w:t>
            </w:r>
            <w:r w:rsidRPr="003A5356">
              <w:rPr>
                <w:rFonts w:eastAsia="Garamond" w:cs="Garamond"/>
              </w:rPr>
              <w:t>l</w:t>
            </w:r>
            <w:r w:rsidRPr="003A5356">
              <w:rPr>
                <w:rFonts w:eastAsia="Garamond" w:cs="Garamond"/>
                <w:spacing w:val="-1"/>
              </w:rPr>
              <w:t>m</w:t>
            </w:r>
            <w:r w:rsidRPr="003A5356">
              <w:rPr>
                <w:rFonts w:eastAsia="Garamond" w:cs="Garamond"/>
                <w:spacing w:val="-3"/>
              </w:rPr>
              <w:t>i</w:t>
            </w:r>
            <w:r w:rsidRPr="003A5356">
              <w:rPr>
                <w:rFonts w:eastAsia="Garamond" w:cs="Garamond"/>
                <w:spacing w:val="-10"/>
              </w:rPr>
              <w:t>s</w:t>
            </w:r>
            <w:r w:rsidRPr="003A5356">
              <w:rPr>
                <w:rFonts w:eastAsia="Garamond" w:cs="Garamond"/>
                <w:spacing w:val="-7"/>
              </w:rPr>
              <w:t>s</w:t>
            </w:r>
            <w:r w:rsidRPr="003A5356">
              <w:rPr>
                <w:rFonts w:eastAsia="Garamond" w:cs="Garamond"/>
                <w:spacing w:val="-1"/>
              </w:rPr>
              <w:t>br</w:t>
            </w:r>
            <w:r w:rsidRPr="003A5356">
              <w:rPr>
                <w:rFonts w:eastAsia="Garamond" w:cs="Garamond"/>
              </w:rPr>
              <w:t>uk</w:t>
            </w:r>
            <w:r w:rsidRPr="003A5356">
              <w:rPr>
                <w:rFonts w:eastAsia="Garamond" w:cs="Garamond"/>
                <w:spacing w:val="-13"/>
              </w:rPr>
              <w:t xml:space="preserve"> </w:t>
            </w:r>
            <w:r w:rsidRPr="003A5356">
              <w:rPr>
                <w:rFonts w:eastAsia="Garamond" w:cs="Garamond"/>
                <w:spacing w:val="-1"/>
              </w:rPr>
              <w:t>(</w:t>
            </w:r>
            <w:r w:rsidRPr="003A5356">
              <w:rPr>
                <w:rFonts w:eastAsia="Garamond" w:cs="Garamond"/>
              </w:rPr>
              <w:t>1</w:t>
            </w:r>
            <w:r w:rsidRPr="003A5356">
              <w:rPr>
                <w:rFonts w:eastAsia="Garamond" w:cs="Garamond"/>
                <w:spacing w:val="-13"/>
              </w:rPr>
              <w:t xml:space="preserve"> </w:t>
            </w:r>
            <w:r w:rsidRPr="003A5356">
              <w:rPr>
                <w:rFonts w:eastAsia="Garamond" w:cs="Garamond"/>
              </w:rPr>
              <w:t>poä</w:t>
            </w:r>
            <w:r w:rsidRPr="003A5356">
              <w:rPr>
                <w:rFonts w:eastAsia="Garamond" w:cs="Garamond"/>
                <w:spacing w:val="-3"/>
              </w:rPr>
              <w:t>n</w:t>
            </w:r>
            <w:r w:rsidRPr="003A5356">
              <w:rPr>
                <w:rFonts w:eastAsia="Garamond" w:cs="Garamond"/>
              </w:rPr>
              <w:t>g</w:t>
            </w:r>
            <w:r w:rsidRPr="003A5356">
              <w:rPr>
                <w:rFonts w:eastAsia="Garamond" w:cs="Garamond"/>
                <w:spacing w:val="-19"/>
              </w:rPr>
              <w:t xml:space="preserve"> </w:t>
            </w:r>
            <w:r w:rsidRPr="003A5356">
              <w:rPr>
                <w:rFonts w:eastAsia="Garamond" w:cs="Garamond"/>
              </w:rPr>
              <w:t>va</w:t>
            </w:r>
            <w:r w:rsidRPr="003A5356">
              <w:rPr>
                <w:rFonts w:eastAsia="Garamond" w:cs="Garamond"/>
                <w:spacing w:val="-1"/>
              </w:rPr>
              <w:t>r</w:t>
            </w:r>
            <w:r w:rsidRPr="003A5356">
              <w:rPr>
                <w:rFonts w:eastAsia="Garamond" w:cs="Garamond"/>
              </w:rPr>
              <w:t>)</w:t>
            </w:r>
          </w:p>
        </w:tc>
        <w:tc>
          <w:tcPr>
            <w:tcW w:w="1569" w:type="dxa"/>
            <w:tcBorders>
              <w:top w:val="nil"/>
              <w:left w:val="nil"/>
              <w:bottom w:val="single" w:sz="18" w:space="0" w:color="4F81BB"/>
              <w:right w:val="single" w:sz="8" w:space="0" w:color="4F81BB"/>
            </w:tcBorders>
            <w:hideMark/>
          </w:tcPr>
          <w:p w14:paraId="3F4BBB9B" w14:textId="77777777" w:rsidR="00A20158" w:rsidRPr="003A5356" w:rsidRDefault="00A20158" w:rsidP="00632FCC">
            <w:pPr>
              <w:rPr>
                <w:rFonts w:eastAsia="Garamond" w:cs="Garamond"/>
                <w:lang w:val="en-US"/>
              </w:rPr>
            </w:pPr>
            <w:r w:rsidRPr="003A5356">
              <w:rPr>
                <w:rFonts w:eastAsia="Garamond" w:cs="Garamond"/>
                <w:lang w:val="en-US"/>
              </w:rPr>
              <w:t>1</w:t>
            </w:r>
            <w:r w:rsidRPr="003A5356">
              <w:rPr>
                <w:rFonts w:eastAsia="Garamond" w:cs="Garamond"/>
                <w:spacing w:val="-1"/>
                <w:lang w:val="en-US"/>
              </w:rPr>
              <w:t>–</w:t>
            </w:r>
            <w:r w:rsidRPr="003A5356">
              <w:rPr>
                <w:rFonts w:eastAsia="Garamond" w:cs="Garamond"/>
                <w:lang w:val="en-US"/>
              </w:rPr>
              <w:t>2</w:t>
            </w:r>
          </w:p>
        </w:tc>
      </w:tr>
    </w:tbl>
    <w:p w14:paraId="70EA2EA6" w14:textId="77777777" w:rsidR="00A20158" w:rsidRPr="00965F42" w:rsidRDefault="00A20158" w:rsidP="00A20158">
      <w:pPr>
        <w:rPr>
          <w:sz w:val="24"/>
          <w:szCs w:val="24"/>
        </w:rPr>
      </w:pPr>
      <w:r>
        <w:rPr>
          <w:sz w:val="24"/>
          <w:szCs w:val="24"/>
        </w:rPr>
        <w:br/>
      </w:r>
      <w:r w:rsidRPr="00965F42">
        <w:rPr>
          <w:sz w:val="24"/>
          <w:szCs w:val="24"/>
        </w:rPr>
        <w:t>Vid en HASBLED score på mer än 3 rekommenderas försiktighet och täta kontroller av patienten. Ur embolisynpunkt betraktas paroxysmala förmaksflimmerattacker som ett kroniskt förmaksflimmer men dokumentationen är något osäker.</w:t>
      </w:r>
    </w:p>
    <w:p w14:paraId="630C8CC4" w14:textId="77777777" w:rsidR="00A20158" w:rsidRPr="00965F42" w:rsidRDefault="00A20158" w:rsidP="00A20158">
      <w:pPr>
        <w:rPr>
          <w:sz w:val="28"/>
          <w:szCs w:val="28"/>
        </w:rPr>
      </w:pPr>
    </w:p>
    <w:p w14:paraId="73811BC8" w14:textId="77777777" w:rsidR="00A20158" w:rsidRPr="00B7367B" w:rsidRDefault="00A20158" w:rsidP="00A20158">
      <w:pPr>
        <w:rPr>
          <w:sz w:val="24"/>
          <w:szCs w:val="24"/>
        </w:rPr>
      </w:pPr>
      <w:bookmarkStart w:id="87" w:name="_Hlk198191216"/>
      <w:r w:rsidRPr="00B7367B">
        <w:rPr>
          <w:sz w:val="24"/>
          <w:szCs w:val="24"/>
        </w:rPr>
        <w:t xml:space="preserve">Vid </w:t>
      </w:r>
      <w:r w:rsidRPr="00B7367B">
        <w:rPr>
          <w:b/>
          <w:bCs/>
          <w:sz w:val="24"/>
          <w:szCs w:val="24"/>
        </w:rPr>
        <w:t>nyinsättning</w:t>
      </w:r>
      <w:r w:rsidRPr="00B7367B">
        <w:rPr>
          <w:sz w:val="24"/>
          <w:szCs w:val="24"/>
        </w:rPr>
        <w:t xml:space="preserve"> av peroral antikoagulation av icke valvulärt förmaksflimmer skall man i första hand överväga att använda NOAK. De på marknaden tillgängliga alternativen uppvisar relativt likvärdig effekt varför tidigare inbördes rangordning ej gjorts. Dock har patentet för Pradaxa (dabigatran) gått ut vilket medfört tillkomst av generika vilket det även gör för Xarelto (rivaroxaban) även om en patentstrid här pågår. I Blekinge är det överlägset mest förskrivna preparatet Eliquis vars patent upphör november 2026. </w:t>
      </w:r>
    </w:p>
    <w:p w14:paraId="3B13CD07" w14:textId="77777777" w:rsidR="00A20158" w:rsidRPr="00B7367B" w:rsidRDefault="00A20158" w:rsidP="00A20158">
      <w:pPr>
        <w:rPr>
          <w:sz w:val="24"/>
          <w:szCs w:val="24"/>
        </w:rPr>
      </w:pPr>
    </w:p>
    <w:p w14:paraId="01AD6BAD" w14:textId="77777777" w:rsidR="00A20158" w:rsidRDefault="00A20158" w:rsidP="00A20158">
      <w:pPr>
        <w:rPr>
          <w:b/>
          <w:bCs/>
          <w:sz w:val="24"/>
          <w:szCs w:val="24"/>
        </w:rPr>
      </w:pPr>
      <w:r w:rsidRPr="00B7367B">
        <w:rPr>
          <w:b/>
          <w:bCs/>
          <w:sz w:val="24"/>
          <w:szCs w:val="24"/>
        </w:rPr>
        <w:t>Betydande besparing kan uppnås genom väljande av generika varför beslut fattats om att i första hand, vid nyinsättning, förskriva dabigatran eller rivaroxaban.</w:t>
      </w:r>
    </w:p>
    <w:bookmarkEnd w:id="87"/>
    <w:p w14:paraId="75086F10" w14:textId="77777777" w:rsidR="00A20158" w:rsidRPr="004819DD" w:rsidRDefault="00A20158" w:rsidP="00A20158">
      <w:pPr>
        <w:rPr>
          <w:b/>
          <w:bCs/>
          <w:sz w:val="24"/>
          <w:szCs w:val="24"/>
        </w:rPr>
      </w:pPr>
    </w:p>
    <w:p w14:paraId="5F99A0E3" w14:textId="77777777" w:rsidR="00A20158" w:rsidRPr="00576313" w:rsidRDefault="00A20158" w:rsidP="00A20158">
      <w:pPr>
        <w:pStyle w:val="Rubrik2"/>
      </w:pPr>
      <w:r w:rsidRPr="00576313">
        <w:t>Antikoagulantia</w:t>
      </w:r>
    </w:p>
    <w:p w14:paraId="23BE20C6" w14:textId="77777777" w:rsidR="00A20158" w:rsidRPr="000167A1" w:rsidRDefault="00A20158" w:rsidP="00A20158">
      <w:pPr>
        <w:pStyle w:val="Rubrik2"/>
        <w:rPr>
          <w:strike/>
          <w:sz w:val="24"/>
          <w:szCs w:val="24"/>
        </w:rPr>
      </w:pPr>
      <w:bookmarkStart w:id="88" w:name="_Hlk198191310"/>
      <w:r w:rsidRPr="000167A1">
        <w:rPr>
          <w:sz w:val="24"/>
          <w:szCs w:val="24"/>
        </w:rPr>
        <w:t>Non Vitamin K Orala Antikoagulantia (NOAK)</w:t>
      </w:r>
    </w:p>
    <w:p w14:paraId="4FFC0C84" w14:textId="77777777" w:rsidR="00A20158" w:rsidRPr="00B7367B" w:rsidRDefault="00A20158" w:rsidP="00A20158">
      <w:pPr>
        <w:pStyle w:val="Rubrik3"/>
        <w:rPr>
          <w:strike/>
        </w:rPr>
      </w:pPr>
      <w:r w:rsidRPr="00B7367B">
        <w:t>Dabigatran (Pradaxa)</w:t>
      </w:r>
    </w:p>
    <w:p w14:paraId="137913D3" w14:textId="77777777" w:rsidR="00A20158" w:rsidRPr="00B7367B" w:rsidRDefault="00A20158" w:rsidP="00A20158">
      <w:pPr>
        <w:rPr>
          <w:sz w:val="24"/>
          <w:szCs w:val="24"/>
        </w:rPr>
      </w:pPr>
      <w:r w:rsidRPr="00B7367B">
        <w:rPr>
          <w:sz w:val="24"/>
          <w:szCs w:val="24"/>
        </w:rPr>
        <w:t>Trombinhämmare för behandling av icke-valvulärt förmaksflimmer. Dosen är 150 mg två gånger dagligen. För patienter &gt;80 år reduceras dosen till 110 mg två gånger dagligen samt vid samtidig behandling med Verapamil. Behandling med dabigatran är kontrainducerat vid njurinsufficiens CrCl &lt;30 ml/min. Specifik antidot finns i form av idarucizumab (Praxbind).</w:t>
      </w:r>
    </w:p>
    <w:p w14:paraId="26FA4066" w14:textId="77777777" w:rsidR="00A20158" w:rsidRPr="00B7367B" w:rsidRDefault="00A20158" w:rsidP="00A20158">
      <w:pPr>
        <w:rPr>
          <w:sz w:val="24"/>
          <w:szCs w:val="24"/>
        </w:rPr>
      </w:pPr>
      <w:r w:rsidRPr="00B7367B">
        <w:rPr>
          <w:sz w:val="24"/>
          <w:szCs w:val="24"/>
        </w:rPr>
        <w:t>Dabigatran är ej dispenserbart i Apodos utan måste förskrivas i originalförpackning.</w:t>
      </w:r>
      <w:r>
        <w:rPr>
          <w:sz w:val="24"/>
          <w:szCs w:val="24"/>
        </w:rPr>
        <w:br/>
        <w:t>Speciellt anpassad dosett för Pradaxa finns att köpa på apotek.</w:t>
      </w:r>
    </w:p>
    <w:p w14:paraId="69854C1D" w14:textId="77777777" w:rsidR="00A20158" w:rsidRPr="004819DD" w:rsidRDefault="00A20158" w:rsidP="00A20158">
      <w:pPr>
        <w:rPr>
          <w:b/>
          <w:bCs/>
          <w:sz w:val="24"/>
          <w:szCs w:val="24"/>
        </w:rPr>
      </w:pPr>
      <w:r w:rsidRPr="00B7367B">
        <w:rPr>
          <w:b/>
          <w:bCs/>
          <w:sz w:val="24"/>
          <w:szCs w:val="24"/>
        </w:rPr>
        <w:t>Dabigatran finns tillgängligt som generiskt preparat vid receptförskrivning och är förstahandsval vid nyinsättning.</w:t>
      </w:r>
    </w:p>
    <w:bookmarkEnd w:id="88"/>
    <w:p w14:paraId="39C5E42E" w14:textId="77777777" w:rsidR="00A20158" w:rsidRDefault="00A20158" w:rsidP="00A20158">
      <w:pPr>
        <w:rPr>
          <w:rFonts w:ascii="Corbel" w:hAnsi="Corbel"/>
          <w:b/>
          <w:sz w:val="24"/>
          <w:szCs w:val="24"/>
        </w:rPr>
      </w:pPr>
    </w:p>
    <w:p w14:paraId="77CF84E9" w14:textId="77777777" w:rsidR="00A20158" w:rsidRDefault="00A20158" w:rsidP="00A20158">
      <w:pPr>
        <w:rPr>
          <w:rFonts w:ascii="Corbel" w:hAnsi="Corbel"/>
          <w:b/>
          <w:bCs/>
          <w:sz w:val="24"/>
          <w:szCs w:val="24"/>
        </w:rPr>
      </w:pPr>
    </w:p>
    <w:p w14:paraId="6F2AD46E" w14:textId="77777777" w:rsidR="00A20158" w:rsidRPr="00B7367B" w:rsidRDefault="00A20158" w:rsidP="00A20158">
      <w:pPr>
        <w:pStyle w:val="Rubrik3"/>
      </w:pPr>
      <w:bookmarkStart w:id="89" w:name="_Hlk198191363"/>
      <w:r w:rsidRPr="00B7367B">
        <w:lastRenderedPageBreak/>
        <w:t>Rivaroxaban  (Xarelto )</w:t>
      </w:r>
    </w:p>
    <w:p w14:paraId="59246E7B" w14:textId="77777777" w:rsidR="00A20158" w:rsidRPr="00B7367B" w:rsidRDefault="00A20158" w:rsidP="00A20158">
      <w:pPr>
        <w:rPr>
          <w:sz w:val="24"/>
          <w:szCs w:val="24"/>
        </w:rPr>
      </w:pPr>
      <w:r w:rsidRPr="00B7367B">
        <w:rPr>
          <w:sz w:val="24"/>
          <w:szCs w:val="24"/>
        </w:rPr>
        <w:t>Faktor Xa–hämmare för behandling av icke-valvulärt förmaksflimmer. Dosen är 20 mg en gång dagligen. Vid nedsatt njurfunktion CrCl 15-49 rekommenderas 15 mg dagligen. Vid njurinsufficiens &lt;15 ml/min är rivaroxaban tveksamt/olämpligt.</w:t>
      </w:r>
    </w:p>
    <w:p w14:paraId="65AF3B86" w14:textId="77777777" w:rsidR="00A20158" w:rsidRPr="00965F42" w:rsidRDefault="00A20158" w:rsidP="00A20158">
      <w:pPr>
        <w:rPr>
          <w:b/>
          <w:bCs/>
          <w:sz w:val="24"/>
          <w:szCs w:val="24"/>
        </w:rPr>
      </w:pPr>
      <w:r w:rsidRPr="00B7367B">
        <w:rPr>
          <w:b/>
          <w:bCs/>
          <w:sz w:val="24"/>
          <w:szCs w:val="24"/>
        </w:rPr>
        <w:t>Rivaroxaban finns tillgängligt som generiskt preparat vid receptförskrivning och är förstahandsval vid nyinsättning.</w:t>
      </w:r>
    </w:p>
    <w:bookmarkEnd w:id="89"/>
    <w:p w14:paraId="0E8B7187" w14:textId="77777777" w:rsidR="00A20158" w:rsidRPr="00E96831" w:rsidRDefault="00A20158" w:rsidP="00A20158">
      <w:pPr>
        <w:pStyle w:val="Rubrik3"/>
      </w:pPr>
      <w:r w:rsidRPr="00E96831">
        <w:t>Edoxaban - Lixiana</w:t>
      </w:r>
    </w:p>
    <w:p w14:paraId="168F0676" w14:textId="77777777" w:rsidR="00A20158" w:rsidRPr="00E96831" w:rsidRDefault="00A20158" w:rsidP="00A20158">
      <w:pPr>
        <w:rPr>
          <w:sz w:val="24"/>
          <w:szCs w:val="24"/>
        </w:rPr>
      </w:pPr>
      <w:r w:rsidRPr="00E96831">
        <w:rPr>
          <w:sz w:val="24"/>
          <w:szCs w:val="24"/>
        </w:rPr>
        <w:t>Edoxaban är en Faktor Xa hämmare. I studien ENGAGE AF-TIMI 48 var både högdos (60 mg/d) och lågdos (30 mg/d) edoxaban noninferior till warfarin (median TTR, 68,4 %). (1). När det gäller prevention av stroke och systemisk embolism hade högdos edoxaban en trend mot bättre effekt än warfarin. Frekvensen av ischemiska stroke var lika i högdos och warfarin studiearmarna men högre i lågdos studiearmen. Hemorragiska stroke incidensen och risken för kardiovaskulär död var lägre för båda edoxaban doserna än för warfarin.</w:t>
      </w:r>
    </w:p>
    <w:p w14:paraId="07F79C1C" w14:textId="77777777" w:rsidR="00A20158" w:rsidRPr="00E96831" w:rsidRDefault="00A20158" w:rsidP="00A20158">
      <w:pPr>
        <w:rPr>
          <w:sz w:val="24"/>
          <w:szCs w:val="24"/>
        </w:rPr>
      </w:pPr>
      <w:r w:rsidRPr="00E96831">
        <w:rPr>
          <w:sz w:val="24"/>
          <w:szCs w:val="24"/>
        </w:rPr>
        <w:t>Rekommenderas ej vid nyinsättning av kostnadskäl.</w:t>
      </w:r>
    </w:p>
    <w:p w14:paraId="412C9D56" w14:textId="77777777" w:rsidR="00A20158" w:rsidRPr="00E96831" w:rsidRDefault="00A20158" w:rsidP="00A20158">
      <w:pPr>
        <w:pStyle w:val="Rubrik3"/>
      </w:pPr>
      <w:r w:rsidRPr="00E96831">
        <w:t>Apixaban - Eliquis</w:t>
      </w:r>
    </w:p>
    <w:p w14:paraId="679CCACD" w14:textId="77777777" w:rsidR="00A20158" w:rsidRPr="00E96831" w:rsidRDefault="00A20158" w:rsidP="00A20158">
      <w:pPr>
        <w:rPr>
          <w:sz w:val="24"/>
          <w:szCs w:val="24"/>
        </w:rPr>
      </w:pPr>
      <w:r w:rsidRPr="00E96831">
        <w:rPr>
          <w:sz w:val="24"/>
          <w:szCs w:val="24"/>
        </w:rPr>
        <w:t>Faktor Xa–hämmare för behandling av icke-valvulärt förmaksflimmer. Dosen är 5 mg två gånger dagligen. Dosminskning vid minst två av följande ålder &gt;80 år, vikt ≤ 60 kg eller kreatinin &gt;133 till 2.5 mg två gånger dagligen. Behandling med apixaban är tveksamt/olämpligt vid njurinsufficiens &lt;15 ml/min.</w:t>
      </w:r>
    </w:p>
    <w:p w14:paraId="051CFD28" w14:textId="77777777" w:rsidR="00A20158" w:rsidRPr="00E96831" w:rsidRDefault="00A20158" w:rsidP="00A20158">
      <w:pPr>
        <w:rPr>
          <w:sz w:val="24"/>
          <w:szCs w:val="24"/>
        </w:rPr>
      </w:pPr>
      <w:r w:rsidRPr="00E96831">
        <w:rPr>
          <w:sz w:val="24"/>
          <w:szCs w:val="24"/>
        </w:rPr>
        <w:t>Rekommenderas ej vid nyinsättning av kostnadsskäl.</w:t>
      </w:r>
    </w:p>
    <w:p w14:paraId="4428A379" w14:textId="77777777" w:rsidR="00A20158" w:rsidRPr="00E96831" w:rsidRDefault="00A20158" w:rsidP="00A20158">
      <w:pPr>
        <w:rPr>
          <w:sz w:val="24"/>
          <w:szCs w:val="24"/>
        </w:rPr>
      </w:pPr>
    </w:p>
    <w:p w14:paraId="66143EC8" w14:textId="77777777" w:rsidR="00A20158" w:rsidRPr="00E96831" w:rsidRDefault="00A20158" w:rsidP="00A20158">
      <w:pPr>
        <w:rPr>
          <w:sz w:val="24"/>
          <w:szCs w:val="24"/>
        </w:rPr>
      </w:pPr>
      <w:r w:rsidRPr="00E96831">
        <w:rPr>
          <w:sz w:val="24"/>
          <w:szCs w:val="24"/>
        </w:rPr>
        <w:t>För Faktor Xa-hämmare finns i form av andexanet alfa (Ondexxya) men NT-rådet avråder tillsvidare regionerna från användning.</w:t>
      </w:r>
    </w:p>
    <w:p w14:paraId="31B97917" w14:textId="77777777" w:rsidR="00A20158" w:rsidRPr="00E96831" w:rsidRDefault="00A20158" w:rsidP="00A20158">
      <w:pPr>
        <w:pStyle w:val="Rubrik3"/>
      </w:pPr>
      <w:r w:rsidRPr="00E96831">
        <w:t>Warfarin</w:t>
      </w:r>
    </w:p>
    <w:p w14:paraId="3367398E" w14:textId="77777777" w:rsidR="00A20158" w:rsidRPr="00E96831" w:rsidRDefault="00A20158" w:rsidP="00A20158">
      <w:pPr>
        <w:rPr>
          <w:sz w:val="24"/>
          <w:szCs w:val="24"/>
        </w:rPr>
      </w:pPr>
      <w:r w:rsidRPr="00E96831">
        <w:rPr>
          <w:sz w:val="24"/>
          <w:szCs w:val="24"/>
        </w:rPr>
        <w:t>Warfarin har något sämre förebyggande effekt mot stroke jämfört med NOAK. Risken för blödningar (framför allt hjärnblödning) är högre. Warfarin kan inte sällan ge interaktionsproblem med föda och läkemedel.  Behandlingen fordrar regelbunden monitorering. Warfarin ger färre GI – blödningar än dabigatran och rivaroxaban. Warfarin ger en låg</w:t>
      </w:r>
      <w:r w:rsidRPr="00E96831">
        <w:rPr>
          <w:sz w:val="28"/>
          <w:szCs w:val="28"/>
        </w:rPr>
        <w:t xml:space="preserve"> </w:t>
      </w:r>
      <w:r w:rsidRPr="00E96831">
        <w:rPr>
          <w:sz w:val="24"/>
          <w:szCs w:val="24"/>
        </w:rPr>
        <w:t>direkt kostnad. Vid mekanisk hjärtklaff eller vid valvulärt förmaksflimmer är Warfarin fortfarande indicerat.</w:t>
      </w:r>
    </w:p>
    <w:p w14:paraId="1A17BA08" w14:textId="77777777" w:rsidR="00A20158" w:rsidRPr="00E96831" w:rsidRDefault="00A20158" w:rsidP="00A20158">
      <w:pPr>
        <w:rPr>
          <w:sz w:val="24"/>
          <w:szCs w:val="24"/>
        </w:rPr>
      </w:pPr>
      <w:r w:rsidRPr="00E96831">
        <w:rPr>
          <w:sz w:val="24"/>
          <w:szCs w:val="24"/>
        </w:rPr>
        <w:t xml:space="preserve">Det finns effektiv behandling för att reversera effekten av Warfarin (”antidot”). </w:t>
      </w:r>
    </w:p>
    <w:p w14:paraId="1B487649" w14:textId="77777777" w:rsidR="00A20158" w:rsidRPr="00E96831" w:rsidRDefault="00A20158" w:rsidP="00A20158">
      <w:pPr>
        <w:rPr>
          <w:sz w:val="28"/>
          <w:szCs w:val="28"/>
        </w:rPr>
      </w:pPr>
    </w:p>
    <w:p w14:paraId="45EE9CE5" w14:textId="77777777" w:rsidR="00A20158" w:rsidRPr="00E96831" w:rsidRDefault="00A20158" w:rsidP="00A20158">
      <w:pPr>
        <w:rPr>
          <w:sz w:val="24"/>
          <w:szCs w:val="24"/>
        </w:rPr>
      </w:pPr>
      <w:r w:rsidRPr="00E96831">
        <w:rPr>
          <w:sz w:val="24"/>
          <w:szCs w:val="24"/>
        </w:rPr>
        <w:t>Generellt gäller att antalet interaktioner är färre för NOAK än för warfarin. Observera att interaktionerna skiljer sig mellan de olika NOAK. Viktiga läkemedelsgrupper att beakta vid behandling med NOAK är antimykotika, antiepileptika, proteashämmare, vissa antibiotika (till exempel makrolider och rifampicin) och vissa antiarytmika (till exempel verapamil, amiodaron och dronedaron).</w:t>
      </w:r>
    </w:p>
    <w:p w14:paraId="6E05D6E1" w14:textId="77777777" w:rsidR="00A20158" w:rsidRPr="003A5356" w:rsidRDefault="00A20158" w:rsidP="00A20158">
      <w:pPr>
        <w:rPr>
          <w:sz w:val="24"/>
          <w:szCs w:val="24"/>
        </w:rPr>
      </w:pPr>
      <w:r w:rsidRPr="00E96831">
        <w:rPr>
          <w:sz w:val="24"/>
          <w:szCs w:val="24"/>
        </w:rPr>
        <w:t>Nyligen publicerade data talar mot att byta ut välfungerande Warfarinbehandling hos sköra patienter &gt;75 år. FRAIL-AF (2)</w:t>
      </w:r>
    </w:p>
    <w:p w14:paraId="71115FD6" w14:textId="77777777" w:rsidR="00A20158" w:rsidRPr="000167A1" w:rsidRDefault="00A20158" w:rsidP="00A20158">
      <w:pPr>
        <w:pStyle w:val="Rubrik2"/>
        <w:rPr>
          <w:sz w:val="24"/>
          <w:szCs w:val="24"/>
        </w:rPr>
      </w:pPr>
      <w:r w:rsidRPr="000167A1">
        <w:rPr>
          <w:sz w:val="24"/>
          <w:szCs w:val="24"/>
        </w:rPr>
        <w:lastRenderedPageBreak/>
        <w:t>Kliniska råd vid behandling med NOAK</w:t>
      </w:r>
    </w:p>
    <w:p w14:paraId="42967660" w14:textId="77777777" w:rsidR="00A20158" w:rsidRPr="00E96831" w:rsidRDefault="00A20158" w:rsidP="00A20158">
      <w:pPr>
        <w:rPr>
          <w:sz w:val="24"/>
          <w:szCs w:val="24"/>
        </w:rPr>
      </w:pPr>
      <w:r w:rsidRPr="00E96831">
        <w:rPr>
          <w:sz w:val="24"/>
          <w:szCs w:val="24"/>
        </w:rPr>
        <w:t>Svenska Sällskapet för Trombos och Hemostas - Kliniska råd vid behandling med Non-vitamin K-beroende Orala Anti Koagulantia (NOAK)</w:t>
      </w:r>
    </w:p>
    <w:p w14:paraId="21480E6E" w14:textId="77777777" w:rsidR="00A20158" w:rsidRPr="00E96831" w:rsidRDefault="00A20158" w:rsidP="00A20158">
      <w:pPr>
        <w:rPr>
          <w:sz w:val="24"/>
          <w:szCs w:val="24"/>
        </w:rPr>
      </w:pPr>
      <w:r w:rsidRPr="00E96831">
        <w:rPr>
          <w:sz w:val="24"/>
          <w:szCs w:val="24"/>
        </w:rPr>
        <w:t xml:space="preserve">Hur man handhar NOAK inför planerade enkla eller större kirurgiska ingrepp samt vid akut blödning. - </w:t>
      </w:r>
      <w:hyperlink r:id="rId86">
        <w:r w:rsidRPr="00E96831">
          <w:rPr>
            <w:sz w:val="24"/>
            <w:szCs w:val="24"/>
          </w:rPr>
          <w:t>NOAK 211109 (ssth.se)</w:t>
        </w:r>
      </w:hyperlink>
    </w:p>
    <w:p w14:paraId="645E455C" w14:textId="77777777" w:rsidR="00A20158" w:rsidRPr="000167A1" w:rsidRDefault="00A20158" w:rsidP="00A20158">
      <w:pPr>
        <w:keepNext/>
        <w:spacing w:before="360" w:after="40" w:line="240" w:lineRule="auto"/>
        <w:outlineLvl w:val="2"/>
        <w:rPr>
          <w:rFonts w:asciiTheme="majorHAnsi" w:eastAsiaTheme="majorEastAsia" w:hAnsiTheme="majorHAnsi"/>
          <w:b/>
          <w:bCs/>
          <w:sz w:val="24"/>
          <w:szCs w:val="24"/>
        </w:rPr>
      </w:pPr>
      <w:r w:rsidRPr="000167A1">
        <w:rPr>
          <w:rFonts w:asciiTheme="majorHAnsi" w:eastAsiaTheme="majorEastAsia" w:hAnsiTheme="majorHAnsi"/>
          <w:b/>
          <w:bCs/>
          <w:sz w:val="24"/>
          <w:szCs w:val="24"/>
        </w:rPr>
        <w:t xml:space="preserve">Insättning och </w:t>
      </w:r>
      <w:r w:rsidRPr="000167A1">
        <w:rPr>
          <w:rStyle w:val="Rubrik2Char"/>
          <w:sz w:val="24"/>
          <w:szCs w:val="24"/>
        </w:rPr>
        <w:t>uppföljning</w:t>
      </w:r>
      <w:r w:rsidRPr="000167A1">
        <w:rPr>
          <w:rFonts w:asciiTheme="majorHAnsi" w:eastAsiaTheme="majorEastAsia" w:hAnsiTheme="majorHAnsi"/>
          <w:b/>
          <w:bCs/>
          <w:sz w:val="24"/>
          <w:szCs w:val="24"/>
        </w:rPr>
        <w:t xml:space="preserve"> av perorala antikoagulantia</w:t>
      </w:r>
    </w:p>
    <w:p w14:paraId="0F97CB7E" w14:textId="77777777" w:rsidR="00A20158" w:rsidRPr="00E96831" w:rsidRDefault="00A20158" w:rsidP="00A20158">
      <w:pPr>
        <w:rPr>
          <w:sz w:val="24"/>
          <w:szCs w:val="24"/>
        </w:rPr>
      </w:pPr>
      <w:r w:rsidRPr="00E96831">
        <w:rPr>
          <w:sz w:val="24"/>
          <w:szCs w:val="24"/>
        </w:rPr>
        <w:t>Det är viktigt att förskrivare som möter patienter med förmaksflimmer initierar antikoagulansbehandling, vilket kan ske både i primärvård och i slutenvård. Beslutstöd finns att få från kardiolog eller speciellt intresserad internmedicinare. I första hand rekommenderas dabigatran eller rivaroxaban. Man ska tänka på att behandlingen kräver uppföljning med avseende på njurfunktion och observans på biverkningar. Behandlingen skall registreras i Journalia på liknande sätt som för warfarin.</w:t>
      </w:r>
    </w:p>
    <w:p w14:paraId="4D6657EC" w14:textId="77777777" w:rsidR="00A20158" w:rsidRPr="00E96831" w:rsidRDefault="00A20158" w:rsidP="00A20158">
      <w:pPr>
        <w:rPr>
          <w:sz w:val="28"/>
          <w:szCs w:val="28"/>
        </w:rPr>
      </w:pPr>
    </w:p>
    <w:p w14:paraId="6A47C695" w14:textId="77777777" w:rsidR="00A20158" w:rsidRPr="00E96831" w:rsidRDefault="00A20158" w:rsidP="00A20158">
      <w:pPr>
        <w:rPr>
          <w:sz w:val="24"/>
          <w:szCs w:val="24"/>
        </w:rPr>
      </w:pPr>
      <w:r w:rsidRPr="00E96831">
        <w:rPr>
          <w:sz w:val="24"/>
          <w:szCs w:val="24"/>
        </w:rPr>
        <w:t>Patienter med NOAK ska rapporteras, brevledes (remiss) eller telefonledes, till AK-mottagningen för registrering i Journalia. AK-mottagningen följer upp med S-Kreatinin efter 3, 6 och 12 månader, därefter var 6:e månad. När provsvar anlänt räknas eGFR ut. Vid för lågt värde kontaktas PAL (patientansvarig läkare). Omprövning sker minst årsvis, liksom vid Waranbehandling.</w:t>
      </w:r>
    </w:p>
    <w:p w14:paraId="5E9A37C4" w14:textId="77777777" w:rsidR="00A20158" w:rsidRPr="003A5356" w:rsidRDefault="00A20158" w:rsidP="00A20158">
      <w:pPr>
        <w:rPr>
          <w:sz w:val="24"/>
          <w:szCs w:val="24"/>
        </w:rPr>
      </w:pPr>
      <w:r w:rsidRPr="00E96831">
        <w:rPr>
          <w:sz w:val="24"/>
          <w:szCs w:val="24"/>
        </w:rPr>
        <w:t>Prover som ska tas inför behandling med NOAK är: vikt, s-Krea, Hb, trombocyter, PK, APT-tid, ASAT och ALAT. Andra prover beslutas av behandlande läkare. Alla blödningar skall rapporteras till AK-mottagningen för registrering i Journalia (för statistik/uppföljning).</w:t>
      </w:r>
    </w:p>
    <w:p w14:paraId="5D5A3AC9" w14:textId="77777777" w:rsidR="00A20158" w:rsidRPr="00A6512B" w:rsidRDefault="00A20158" w:rsidP="00A20158">
      <w:pPr>
        <w:pStyle w:val="Rubrik2"/>
      </w:pPr>
      <w:r w:rsidRPr="00A6512B">
        <w:t xml:space="preserve">Arytmibehandling </w:t>
      </w:r>
    </w:p>
    <w:p w14:paraId="698E1007" w14:textId="77777777" w:rsidR="00A20158" w:rsidRPr="000167A1" w:rsidRDefault="00A20158" w:rsidP="00A20158">
      <w:pPr>
        <w:pStyle w:val="Rubrik2"/>
        <w:rPr>
          <w:sz w:val="24"/>
          <w:szCs w:val="24"/>
        </w:rPr>
      </w:pPr>
      <w:r w:rsidRPr="000167A1">
        <w:rPr>
          <w:sz w:val="24"/>
          <w:szCs w:val="24"/>
        </w:rPr>
        <w:t>Allmänt </w:t>
      </w:r>
    </w:p>
    <w:p w14:paraId="0A09C2AD" w14:textId="77777777" w:rsidR="00A20158" w:rsidRPr="00E96831" w:rsidRDefault="00A20158" w:rsidP="00A20158">
      <w:pPr>
        <w:rPr>
          <w:sz w:val="24"/>
          <w:szCs w:val="24"/>
        </w:rPr>
      </w:pPr>
      <w:r w:rsidRPr="00E96831">
        <w:rPr>
          <w:sz w:val="24"/>
          <w:szCs w:val="24"/>
        </w:rPr>
        <w:t xml:space="preserve">Behandla bakomliggande sjukdomar och riskfaktorer som hypertoni, diabetes, övervikt och obstruktiv sömnapné. Förmaksflimmer förekommer i paroxysmal, persisterande och permanent (kronisk) form. Data visar att prevalensen av förmaksflimmer i Sverige är ca 4 %, d v s det finns minst 300 000 patienter med förmaksflimmer. Ungefär 0,4 % av befolkningen under 70 år och 12 % över 75 år drabbas. Förekomsten av den paroxysmala varianten i befolkningen är osäker. Paroxysmalt förmaksflimmer har en duration mellan 0 och 7 dagar, är självlimiterande och återkommande. Det persisterande förmaksflimret konverterar ej spontant, utan kräver farmakologisk eller elektrisk konvertering för att sinusrytmen ska återställas. Förmaksflimret benämns permanent (tidigare nomenklatur kroniskt) när det persisterande flimret ej går att konvertera, alternativt då det ej är medicinskt indicerat med ytterligare konverteringar. Behandlingsstrategierna skiljer sig mellan de olika typerna liksom etiologin. </w:t>
      </w:r>
    </w:p>
    <w:p w14:paraId="337E0A11" w14:textId="77777777" w:rsidR="00A20158" w:rsidRPr="00E96831" w:rsidRDefault="00A20158" w:rsidP="00A20158">
      <w:pPr>
        <w:rPr>
          <w:rFonts w:ascii="Corbel" w:eastAsia="Times New Roman" w:hAnsi="Corbel"/>
          <w:b/>
          <w:bCs/>
          <w:color w:val="000000" w:themeColor="text1"/>
          <w:sz w:val="32"/>
          <w:szCs w:val="32"/>
        </w:rPr>
      </w:pPr>
      <w:r w:rsidRPr="00E96831">
        <w:rPr>
          <w:sz w:val="24"/>
          <w:szCs w:val="24"/>
        </w:rPr>
        <w:t xml:space="preserve">Alla antiarytmika ska betraktas som potentiellt proarytmiska ur både taky- och bradykardisynpunkt. </w:t>
      </w:r>
      <w:r w:rsidRPr="00E96831">
        <w:br/>
      </w:r>
      <w:r w:rsidRPr="00E96831">
        <w:rPr>
          <w:sz w:val="24"/>
          <w:szCs w:val="24"/>
        </w:rPr>
        <w:t xml:space="preserve">Därav följer att indikationen för behandling alltid måste vägas mot de potentiella risker som finns och att behandling med antiarytmika är en kardiologisk specialistangelägenhet.  </w:t>
      </w:r>
      <w:r>
        <w:rPr>
          <w:sz w:val="24"/>
          <w:szCs w:val="24"/>
        </w:rPr>
        <w:br/>
      </w:r>
      <w:r>
        <w:rPr>
          <w:sz w:val="24"/>
          <w:szCs w:val="24"/>
        </w:rPr>
        <w:br/>
      </w:r>
      <w:r w:rsidRPr="00E96831">
        <w:rPr>
          <w:sz w:val="24"/>
          <w:szCs w:val="24"/>
        </w:rPr>
        <w:t xml:space="preserve">Beträffande emboliprofylax vid förmaksflimmer, se avsnitt ”Tromboemboliprofylax vid förmaksflimmer”. </w:t>
      </w:r>
      <w:r w:rsidRPr="00E96831">
        <w:rPr>
          <w:sz w:val="28"/>
          <w:szCs w:val="28"/>
        </w:rPr>
        <w:t> </w:t>
      </w:r>
    </w:p>
    <w:p w14:paraId="0554EFE4" w14:textId="77777777" w:rsidR="00A20158" w:rsidRPr="004A079B" w:rsidRDefault="00A20158" w:rsidP="00A20158">
      <w:pPr>
        <w:pStyle w:val="Rubrik2"/>
        <w:rPr>
          <w:sz w:val="24"/>
          <w:szCs w:val="24"/>
        </w:rPr>
      </w:pPr>
      <w:r w:rsidRPr="004A079B">
        <w:rPr>
          <w:sz w:val="24"/>
          <w:szCs w:val="24"/>
        </w:rPr>
        <w:lastRenderedPageBreak/>
        <w:t>Paroxysmalt förmaksflimmer</w:t>
      </w:r>
    </w:p>
    <w:p w14:paraId="2683BCC5" w14:textId="77777777" w:rsidR="00A20158" w:rsidRPr="00E96831" w:rsidRDefault="00A20158" w:rsidP="00A20158">
      <w:pPr>
        <w:rPr>
          <w:rFonts w:asciiTheme="majorHAnsi" w:eastAsiaTheme="majorEastAsia" w:hAnsiTheme="majorHAnsi"/>
          <w:b/>
          <w:bCs/>
          <w:sz w:val="24"/>
          <w:szCs w:val="24"/>
        </w:rPr>
      </w:pPr>
      <w:r w:rsidRPr="00E96831">
        <w:rPr>
          <w:sz w:val="24"/>
          <w:szCs w:val="24"/>
        </w:rPr>
        <w:t xml:space="preserve">Paroxysmalt förmaksflimmer är oftare idiopatiskt, det vill säga att någon associerad bakomliggande hjärtsjukdom inte förekommer. Preexcitationssyndrom (WPW- syndrom) och sick sinus syndrom är några tillstånd som ofta är förknippade med förmaksflimmerattacker. </w:t>
      </w:r>
      <w:r w:rsidRPr="00E96831">
        <w:br/>
      </w:r>
      <w:r w:rsidRPr="00E96831">
        <w:rPr>
          <w:sz w:val="24"/>
          <w:szCs w:val="24"/>
        </w:rPr>
        <w:t> </w:t>
      </w:r>
      <w:r w:rsidRPr="00E96831">
        <w:br/>
      </w:r>
      <w:r w:rsidRPr="00E96831">
        <w:rPr>
          <w:sz w:val="24"/>
          <w:szCs w:val="24"/>
        </w:rPr>
        <w:t>Flimmerattackerna uppträder ofta med varierande duration oftast 0–3 dygn, men kan vara upp till 7 dygn. Episoder med längre varaktighet betraktas som persisterande förmaksflimmer och då krävs elkonvertering för att återskapa sinusrytm. Vid glesa attacker kan betablockerare eller verapamil (ej verapamil vid WPW-syndrom, då ska patienten remitteras för ablation) användas vid behov för att moderera kammarfrekvensen. Som arytmiprofylax rekommenderas, framför allt med hänsyn till låg risk av allvarlig proarytmi och möjlighet att hantera medicininsättning polikliniskt, i första hand vanlig betablockerare, men dokumentationen är sparsam. Nyinsättning och uppföljning av antiarytmika (tex dronedaron, flekainid, amiodaron och sotalol) ska ske via en kardiologisk specialistenhet med hänsyn till risken för proarytmier. Insättning av flekainid och sotalol görs inneliggande på hjärtavdelning med kontinuerlig övervakning under några dygn. Akut elkonvertering utan föregående antikoagulantiabehandling kan övervägas vid pågående attack med klar</w:t>
      </w:r>
      <w:r w:rsidRPr="00E96831">
        <w:rPr>
          <w:sz w:val="28"/>
          <w:szCs w:val="28"/>
        </w:rPr>
        <w:t xml:space="preserve"> </w:t>
      </w:r>
      <w:r w:rsidRPr="00E96831">
        <w:rPr>
          <w:sz w:val="24"/>
          <w:szCs w:val="24"/>
        </w:rPr>
        <w:t>symptomdebut och varaktighet som ej överstiger 48 timmar.</w:t>
      </w:r>
      <w:r w:rsidRPr="00E96831">
        <w:rPr>
          <w:sz w:val="28"/>
          <w:szCs w:val="28"/>
        </w:rPr>
        <w:t xml:space="preserve"> </w:t>
      </w:r>
      <w:r w:rsidRPr="00E96831">
        <w:br/>
      </w:r>
      <w:r w:rsidRPr="00E96831">
        <w:rPr>
          <w:sz w:val="28"/>
          <w:szCs w:val="28"/>
        </w:rPr>
        <w:t> </w:t>
      </w:r>
      <w:r w:rsidRPr="00E96831">
        <w:br/>
      </w:r>
      <w:r w:rsidRPr="00E96831">
        <w:rPr>
          <w:sz w:val="24"/>
          <w:szCs w:val="24"/>
        </w:rPr>
        <w:t>Dronedaron (Multaq) sätts in polikliniskt och är indicerat för bibehållande av sinusrytm efter framgångsrik konvertering hos vuxna, kliniskt stabila patienter med paroxysmalt eller persisterande förmaksflimmer. Dronedaron ska inte ges till patienter med systolisk vänsterkammardysfunktion eller till patienter med tidigare eller pågående episoder av hjärtsvikt. Bedöms som specialistpreparat och patienter som behandlas med preparatet ska följas upp hos hjärtspecialist.</w:t>
      </w:r>
      <w:r w:rsidRPr="00E96831">
        <w:rPr>
          <w:sz w:val="28"/>
          <w:szCs w:val="28"/>
        </w:rPr>
        <w:t xml:space="preserve"> </w:t>
      </w:r>
    </w:p>
    <w:p w14:paraId="26ED9B39" w14:textId="77777777" w:rsidR="00A20158" w:rsidRPr="004A079B" w:rsidRDefault="00A20158" w:rsidP="00A20158">
      <w:pPr>
        <w:pStyle w:val="Rubrik2"/>
        <w:rPr>
          <w:sz w:val="24"/>
          <w:szCs w:val="24"/>
        </w:rPr>
      </w:pPr>
      <w:r w:rsidRPr="004A079B">
        <w:rPr>
          <w:sz w:val="24"/>
          <w:szCs w:val="24"/>
        </w:rPr>
        <w:t>Persisterande förmaksflimmer</w:t>
      </w:r>
    </w:p>
    <w:p w14:paraId="0468A264" w14:textId="77777777" w:rsidR="00A20158" w:rsidRPr="00E96831" w:rsidRDefault="00A20158" w:rsidP="00A20158">
      <w:pPr>
        <w:rPr>
          <w:sz w:val="24"/>
          <w:szCs w:val="24"/>
        </w:rPr>
      </w:pPr>
      <w:r w:rsidRPr="00E96831">
        <w:rPr>
          <w:sz w:val="24"/>
          <w:szCs w:val="24"/>
        </w:rPr>
        <w:t xml:space="preserve">Elkonvertering bör övervägas hos patienter som förblir symptomatiska trots adekvat reglering av kammarfrekvens. Beslut om elkonverteringen bör tas med hänsyn till symptombördan, sannolikheten att bibehålla sinusrytm och komorbiditeter. Vid låg sannolikhet av bestående sinusrytm efter elkonvertering och begränsad påverkan på patientens livskvalitet och aktivitetsnivå kan frekvensreglering med fördel övervägas, särskilt på äldre. Förmaksflimmer som förelegat mindre än 24 timmar kan man försöka konvertera direkt. Vid förmaksflimmerduration mer än 24 timmar och utan hemodynamisk påverkan kan elektiv elkonvertering utföras efter 3-4 veckors behandling med NOAK, alternativt direkt efter uteslutande av tromb via TEE (transesofagealt EKO) och samtidigt insättande av NOAK. Behandlingen med NOAK bör pågå minst fyra veckor efter konverteringsförsöket och tills vidare vid förekomst av riskfaktorer enligt CHA2DS2-VA för ischemisk stroke. </w:t>
      </w:r>
    </w:p>
    <w:p w14:paraId="3D2A9126" w14:textId="77777777" w:rsidR="00A20158" w:rsidRPr="008B11FD" w:rsidRDefault="00A20158" w:rsidP="00A20158">
      <w:pPr>
        <w:rPr>
          <w:sz w:val="24"/>
          <w:szCs w:val="24"/>
          <w:highlight w:val="yellow"/>
        </w:rPr>
      </w:pPr>
    </w:p>
    <w:p w14:paraId="250F28D6" w14:textId="77777777" w:rsidR="00A20158" w:rsidRPr="00E96831" w:rsidRDefault="00A20158" w:rsidP="00A20158">
      <w:pPr>
        <w:rPr>
          <w:sz w:val="24"/>
          <w:szCs w:val="24"/>
        </w:rPr>
      </w:pPr>
      <w:r w:rsidRPr="00E96831">
        <w:rPr>
          <w:sz w:val="24"/>
          <w:szCs w:val="24"/>
        </w:rPr>
        <w:t xml:space="preserve">Efter framgångsrik elkonvertering till sinusrytm är det önskvärt att försöka bibehålla sinusrytm så länge som möjligt. Man brukar dock rekommendera att i rutinfallet inte gå in med profylaktisk, specifik antiarytmisk behandling efter den första regulariseringen till sinusrytm, utan brukar nöja sig med vanlig betablockad. Vid recidiv av förmaksflimret kan det om patienten är symptomatisk bli aktuellt med en ytterligare elkonvertering. Recidivprofylax är vanliga betablockerare, flekainid, dronedaron, amiodaron eller sotalol. </w:t>
      </w:r>
    </w:p>
    <w:p w14:paraId="519E5EE6" w14:textId="77777777" w:rsidR="00A20158" w:rsidRPr="00E96831" w:rsidRDefault="00A20158" w:rsidP="00A20158">
      <w:pPr>
        <w:rPr>
          <w:sz w:val="24"/>
          <w:szCs w:val="24"/>
        </w:rPr>
      </w:pPr>
      <w:r w:rsidRPr="00E96831">
        <w:rPr>
          <w:sz w:val="24"/>
          <w:szCs w:val="24"/>
        </w:rPr>
        <w:lastRenderedPageBreak/>
        <w:t xml:space="preserve">Nyinsättning av antiarytmisk behandling är en specialistangelägenhet med hänsyn till risken för proarytmi.  </w:t>
      </w:r>
      <w:r w:rsidRPr="00E96831">
        <w:br/>
      </w:r>
      <w:r w:rsidRPr="00E96831">
        <w:rPr>
          <w:sz w:val="24"/>
          <w:szCs w:val="24"/>
        </w:rPr>
        <w:t> </w:t>
      </w:r>
      <w:r w:rsidRPr="00E96831">
        <w:br/>
      </w:r>
      <w:r w:rsidRPr="00E96831">
        <w:rPr>
          <w:sz w:val="24"/>
          <w:szCs w:val="24"/>
        </w:rPr>
        <w:t>Vid symptomgivande paroxysmalt och persisterande förmaksflimmer är lungvensablation en effektiv behandlingsmöjlighet som har kommit att få allt större plats i behandlingen av förmaksflimmer senaste åren. Denna metod lämpar sig bra för patienter med uttalade symptom och som har provat adekvata antiarytmika med utebliven profylaktisk effekt eller biverkningar. Bäst resultat uppnår man i frånvaro av andra komorbiditeter (ex övervikt, sömnapnésyndrom, stort vänster förmak, långvarigt persisterande flimmer, hög ålder mm).</w:t>
      </w:r>
      <w:r w:rsidRPr="00E96831">
        <w:br/>
      </w:r>
      <w:r w:rsidRPr="00E96831">
        <w:rPr>
          <w:sz w:val="24"/>
          <w:szCs w:val="24"/>
        </w:rPr>
        <w:t> </w:t>
      </w:r>
      <w:r w:rsidRPr="00E96831">
        <w:br/>
      </w:r>
      <w:r w:rsidRPr="00E96831">
        <w:rPr>
          <w:sz w:val="24"/>
          <w:szCs w:val="24"/>
        </w:rPr>
        <w:t>Vernakalant (Brinavess) har blivit tillgängligt för farmakologisk konvertering av nyligen debuterat förmaksflimmer och har visat bra konverterande effekt hos 60–70 % patienter efter i v infusion. Ordination av vernakalant är en specialistangelägenhet.  </w:t>
      </w:r>
    </w:p>
    <w:p w14:paraId="43AB907F" w14:textId="77777777" w:rsidR="00A20158" w:rsidRPr="004A079B" w:rsidRDefault="00A20158" w:rsidP="00A20158">
      <w:pPr>
        <w:pStyle w:val="Rubrik2"/>
        <w:rPr>
          <w:sz w:val="24"/>
          <w:szCs w:val="24"/>
        </w:rPr>
      </w:pPr>
      <w:r w:rsidRPr="004A079B">
        <w:rPr>
          <w:sz w:val="24"/>
          <w:szCs w:val="24"/>
        </w:rPr>
        <w:t>Permanent förmaksflimmer</w:t>
      </w:r>
    </w:p>
    <w:p w14:paraId="27D3240A" w14:textId="77777777" w:rsidR="00A20158" w:rsidRPr="00E96831" w:rsidRDefault="00A20158" w:rsidP="00A20158">
      <w:pPr>
        <w:rPr>
          <w:sz w:val="24"/>
          <w:szCs w:val="24"/>
        </w:rPr>
      </w:pPr>
      <w:r w:rsidRPr="00E96831">
        <w:rPr>
          <w:sz w:val="24"/>
          <w:szCs w:val="24"/>
        </w:rPr>
        <w:t xml:space="preserve">Målet vid kammarfrekvensreglering hos patienter med permanent förmaksflimmer är att tillse att kammarfrekvensen varken blir för hög eller för låg oberoende av fysisk aktivitetsgrad eller emotionell stress. Vid obehandlat förmaksflimmer är kammarfrekvensen oftast för hög. </w:t>
      </w:r>
      <w:r w:rsidRPr="00E96831">
        <w:br/>
      </w:r>
      <w:r w:rsidRPr="00E96831">
        <w:rPr>
          <w:sz w:val="24"/>
          <w:szCs w:val="24"/>
        </w:rPr>
        <w:t> </w:t>
      </w:r>
      <w:r w:rsidRPr="00E96831">
        <w:br/>
      </w:r>
      <w:r w:rsidRPr="00E96831">
        <w:rPr>
          <w:sz w:val="24"/>
          <w:szCs w:val="24"/>
        </w:rPr>
        <w:t xml:space="preserve">Trots stort antal patienter som behöver frekvensreglerande behandling finns det begränsat antal kontrollerade studier som skulle kunna motivera val av enskilda preparat. Betablockerare förblir basmedlet för kammarfrekvensreglering. Vid otillfredsställande effekt eller biverkningar kan kalciumantagonisterna verapamil eller diltiazem användas såvida inte hjärtsvikt föreligger. </w:t>
      </w:r>
      <w:r w:rsidRPr="00E96831">
        <w:br/>
      </w:r>
      <w:r w:rsidRPr="00E96831">
        <w:rPr>
          <w:sz w:val="24"/>
          <w:szCs w:val="24"/>
        </w:rPr>
        <w:t> </w:t>
      </w:r>
      <w:r w:rsidRPr="00E96831">
        <w:br/>
      </w:r>
      <w:r w:rsidRPr="00E96831">
        <w:rPr>
          <w:sz w:val="24"/>
          <w:szCs w:val="24"/>
        </w:rPr>
        <w:t>Sotalol får ej användas som frekvensreglerare vid permanent förmaksflimmer p g a risken för proarytmier och bör endast i undantagsfall nyttjas på indikationen förmaksflimmer, och då alltid vid kardiologisk mottagning.</w:t>
      </w:r>
    </w:p>
    <w:p w14:paraId="6A1A6D8B" w14:textId="77777777" w:rsidR="00A20158" w:rsidRPr="00E96831" w:rsidRDefault="00A20158" w:rsidP="00A20158">
      <w:pPr>
        <w:rPr>
          <w:sz w:val="24"/>
          <w:szCs w:val="24"/>
        </w:rPr>
      </w:pPr>
    </w:p>
    <w:p w14:paraId="12E96C81" w14:textId="77777777" w:rsidR="00A20158" w:rsidRPr="00824C50" w:rsidRDefault="00A20158" w:rsidP="00A20158">
      <w:r w:rsidRPr="00E96831">
        <w:rPr>
          <w:sz w:val="24"/>
          <w:szCs w:val="24"/>
        </w:rPr>
        <w:t>Digitalis påverkar kammarfrekvensen främst i vila och behöver oftast kombineras med antingen en betablockerare eller en kalciumantagonist för att förhindra en ogynnsamt hög kammarfrekvens vid fysisk aktivitet. Kombinationen med kalcuimantagonist bör ske med försiktighet då man kan få kraftig effekt på AV knutan med risk för totalblock. Digitalis har en särskild plats vid förmaksflimmer och samtidig hjärtsvikt. Det kräver särskild monitorering av serumkoncentrationen av digitalis samt njur och saltbalans.</w:t>
      </w:r>
      <w:r w:rsidRPr="00E96831">
        <w:br/>
      </w:r>
      <w:r w:rsidRPr="00E96831">
        <w:rPr>
          <w:sz w:val="24"/>
          <w:szCs w:val="24"/>
        </w:rPr>
        <w:t>Vid svårigheter att uppnå frekvensreglering med läkemedel eller biverkningar av dessa kan hisablation med föregående implantation av pacemakervara en effektiv behandling.</w:t>
      </w:r>
      <w:r w:rsidRPr="003A5356">
        <w:rPr>
          <w:sz w:val="24"/>
          <w:szCs w:val="24"/>
        </w:rPr>
        <w:t xml:space="preserve"> </w:t>
      </w:r>
      <w:r w:rsidRPr="003A5356">
        <w:br/>
      </w:r>
      <w:r w:rsidRPr="003A5356">
        <w:rPr>
          <w:sz w:val="24"/>
          <w:szCs w:val="24"/>
        </w:rPr>
        <w:t> </w:t>
      </w:r>
      <w:r w:rsidRPr="003A5356">
        <w:br/>
      </w:r>
    </w:p>
    <w:p w14:paraId="1FF43FC5" w14:textId="77777777" w:rsidR="00A20158" w:rsidRDefault="00A20158" w:rsidP="00A20158">
      <w:pPr>
        <w:tabs>
          <w:tab w:val="clear" w:pos="284"/>
        </w:tabs>
        <w:spacing w:after="120" w:line="260" w:lineRule="atLeast"/>
        <w:rPr>
          <w:rFonts w:asciiTheme="majorHAnsi" w:eastAsiaTheme="majorEastAsia" w:hAnsiTheme="majorHAnsi"/>
          <w:b/>
          <w:bCs/>
          <w:color w:val="FF0000"/>
          <w:sz w:val="28"/>
          <w:szCs w:val="26"/>
        </w:rPr>
      </w:pPr>
      <w:r>
        <w:rPr>
          <w:color w:val="FF0000"/>
        </w:rPr>
        <w:br w:type="page"/>
      </w:r>
    </w:p>
    <w:p w14:paraId="783F372A" w14:textId="77777777" w:rsidR="00A20158" w:rsidRDefault="00A20158" w:rsidP="00A20158">
      <w:pPr>
        <w:pStyle w:val="Rubrik2"/>
        <w:rPr>
          <w:color w:val="FF0000"/>
        </w:rPr>
      </w:pPr>
      <w:r>
        <w:lastRenderedPageBreak/>
        <w:t xml:space="preserve">Perifer kärlsjukdom </w:t>
      </w:r>
      <w:r>
        <w:br/>
      </w:r>
    </w:p>
    <w:tbl>
      <w:tblPr>
        <w:tblStyle w:val="Professionelltabell1"/>
        <w:tblW w:w="9064" w:type="dxa"/>
        <w:tblLook w:val="0000" w:firstRow="0" w:lastRow="0" w:firstColumn="0" w:lastColumn="0" w:noHBand="0" w:noVBand="0"/>
      </w:tblPr>
      <w:tblGrid>
        <w:gridCol w:w="4670"/>
        <w:gridCol w:w="4394"/>
      </w:tblGrid>
      <w:tr w:rsidR="00A20158" w:rsidRPr="00214432" w14:paraId="69DC6CEE" w14:textId="77777777" w:rsidTr="00632FCC">
        <w:tc>
          <w:tcPr>
            <w:tcW w:w="9064" w:type="dxa"/>
            <w:gridSpan w:val="2"/>
          </w:tcPr>
          <w:p w14:paraId="2C3434DA" w14:textId="77777777" w:rsidR="00A20158" w:rsidRPr="004A079B" w:rsidRDefault="00A20158" w:rsidP="00632FCC">
            <w:pPr>
              <w:rPr>
                <w:b/>
                <w:bCs/>
                <w:sz w:val="24"/>
                <w:szCs w:val="24"/>
              </w:rPr>
            </w:pPr>
            <w:r w:rsidRPr="004A079B">
              <w:rPr>
                <w:b/>
                <w:bCs/>
                <w:sz w:val="24"/>
                <w:szCs w:val="24"/>
              </w:rPr>
              <w:t>Trombocythämning/antikoagulantia</w:t>
            </w:r>
          </w:p>
        </w:tc>
      </w:tr>
      <w:tr w:rsidR="00A20158" w:rsidRPr="00214432" w14:paraId="1E732C42" w14:textId="77777777" w:rsidTr="00632FCC">
        <w:tc>
          <w:tcPr>
            <w:tcW w:w="9064" w:type="dxa"/>
            <w:gridSpan w:val="2"/>
          </w:tcPr>
          <w:p w14:paraId="484BC937" w14:textId="77777777" w:rsidR="00A20158" w:rsidRPr="00214432" w:rsidRDefault="00A20158" w:rsidP="00632FCC">
            <w:pPr>
              <w:rPr>
                <w:sz w:val="24"/>
                <w:szCs w:val="24"/>
              </w:rPr>
            </w:pPr>
            <w:r w:rsidRPr="0DC5D26D">
              <w:rPr>
                <w:sz w:val="24"/>
                <w:szCs w:val="24"/>
              </w:rPr>
              <w:t xml:space="preserve">Kombinera acetylsalicylsyra och rivaroxaban i lågdos. </w:t>
            </w:r>
            <w:r>
              <w:br/>
            </w:r>
            <w:r w:rsidRPr="0DC5D26D">
              <w:rPr>
                <w:sz w:val="24"/>
                <w:szCs w:val="24"/>
              </w:rPr>
              <w:t>OBS! Sköts inte av AK-mottagningen.</w:t>
            </w:r>
          </w:p>
        </w:tc>
      </w:tr>
      <w:tr w:rsidR="00A20158" w:rsidRPr="00214432" w14:paraId="5594A228" w14:textId="77777777" w:rsidTr="00632FCC">
        <w:tc>
          <w:tcPr>
            <w:tcW w:w="4670" w:type="dxa"/>
          </w:tcPr>
          <w:p w14:paraId="43759B52" w14:textId="77777777" w:rsidR="00A20158" w:rsidRPr="00214432" w:rsidRDefault="00A20158" w:rsidP="00632FCC">
            <w:pPr>
              <w:rPr>
                <w:b/>
                <w:bCs/>
                <w:sz w:val="24"/>
                <w:szCs w:val="24"/>
              </w:rPr>
            </w:pPr>
            <w:r w:rsidRPr="7E0BD4B5">
              <w:rPr>
                <w:b/>
                <w:bCs/>
                <w:sz w:val="24"/>
                <w:szCs w:val="24"/>
              </w:rPr>
              <w:t>acetylsalicylsyra</w:t>
            </w:r>
          </w:p>
        </w:tc>
        <w:tc>
          <w:tcPr>
            <w:tcW w:w="4394" w:type="dxa"/>
          </w:tcPr>
          <w:p w14:paraId="11D46D3D" w14:textId="77777777" w:rsidR="00A20158" w:rsidRPr="00214432" w:rsidRDefault="00A20158" w:rsidP="00632FCC">
            <w:pPr>
              <w:rPr>
                <w:sz w:val="24"/>
                <w:szCs w:val="24"/>
              </w:rPr>
            </w:pPr>
            <w:r w:rsidRPr="0DC5D26D">
              <w:rPr>
                <w:sz w:val="24"/>
                <w:szCs w:val="24"/>
              </w:rPr>
              <w:t>Trombyl,</w:t>
            </w:r>
          </w:p>
          <w:p w14:paraId="1D6F6579" w14:textId="77777777" w:rsidR="00A20158" w:rsidRPr="00214432" w:rsidRDefault="00A20158" w:rsidP="00632FCC">
            <w:pPr>
              <w:rPr>
                <w:sz w:val="24"/>
                <w:szCs w:val="24"/>
              </w:rPr>
            </w:pPr>
            <w:r w:rsidRPr="7E0BD4B5">
              <w:rPr>
                <w:sz w:val="24"/>
                <w:szCs w:val="24"/>
              </w:rPr>
              <w:t>Acetylsalicylsyra</w:t>
            </w:r>
          </w:p>
        </w:tc>
      </w:tr>
      <w:tr w:rsidR="00A20158" w:rsidRPr="00214432" w14:paraId="50E37ECA" w14:textId="77777777" w:rsidTr="00632FCC">
        <w:tc>
          <w:tcPr>
            <w:tcW w:w="4670" w:type="dxa"/>
          </w:tcPr>
          <w:p w14:paraId="421DB225" w14:textId="77777777" w:rsidR="00A20158" w:rsidRPr="00214432" w:rsidRDefault="00A20158" w:rsidP="00632FCC">
            <w:pPr>
              <w:rPr>
                <w:b/>
                <w:bCs/>
                <w:sz w:val="24"/>
                <w:szCs w:val="24"/>
              </w:rPr>
            </w:pPr>
            <w:r w:rsidRPr="0DC5D26D">
              <w:rPr>
                <w:b/>
                <w:bCs/>
                <w:sz w:val="24"/>
                <w:szCs w:val="24"/>
              </w:rPr>
              <w:t>rivaroxaban</w:t>
            </w:r>
          </w:p>
        </w:tc>
        <w:tc>
          <w:tcPr>
            <w:tcW w:w="4394" w:type="dxa"/>
          </w:tcPr>
          <w:p w14:paraId="08481893" w14:textId="77777777" w:rsidR="00A20158" w:rsidRPr="00214432" w:rsidRDefault="00A20158" w:rsidP="00632FCC">
            <w:pPr>
              <w:rPr>
                <w:sz w:val="24"/>
                <w:szCs w:val="24"/>
              </w:rPr>
            </w:pPr>
            <w:r w:rsidRPr="0DC5D26D">
              <w:rPr>
                <w:sz w:val="24"/>
                <w:szCs w:val="24"/>
              </w:rPr>
              <w:t>Xarelto</w:t>
            </w:r>
          </w:p>
        </w:tc>
      </w:tr>
      <w:tr w:rsidR="00A20158" w:rsidRPr="00214432" w14:paraId="5CD4A126" w14:textId="77777777" w:rsidTr="00632FCC">
        <w:tc>
          <w:tcPr>
            <w:tcW w:w="9064" w:type="dxa"/>
            <w:gridSpan w:val="2"/>
          </w:tcPr>
          <w:p w14:paraId="4283FED9" w14:textId="77777777" w:rsidR="00A20158" w:rsidRPr="00214432" w:rsidRDefault="00A20158" w:rsidP="00632FCC">
            <w:pPr>
              <w:rPr>
                <w:sz w:val="24"/>
                <w:szCs w:val="24"/>
              </w:rPr>
            </w:pPr>
          </w:p>
        </w:tc>
      </w:tr>
      <w:tr w:rsidR="00A20158" w:rsidRPr="00214432" w14:paraId="2FC36310" w14:textId="77777777" w:rsidTr="00632FCC">
        <w:tc>
          <w:tcPr>
            <w:tcW w:w="9064" w:type="dxa"/>
            <w:gridSpan w:val="2"/>
          </w:tcPr>
          <w:p w14:paraId="6437123C" w14:textId="77777777" w:rsidR="00A20158" w:rsidRPr="004A079B" w:rsidRDefault="00A20158" w:rsidP="00632FCC">
            <w:pPr>
              <w:rPr>
                <w:b/>
                <w:bCs/>
                <w:sz w:val="24"/>
                <w:szCs w:val="24"/>
              </w:rPr>
            </w:pPr>
            <w:r w:rsidRPr="004A079B">
              <w:rPr>
                <w:b/>
                <w:bCs/>
                <w:sz w:val="24"/>
                <w:szCs w:val="24"/>
              </w:rPr>
              <w:t>Vid intolerans mot acetylsalicylsyra.</w:t>
            </w:r>
          </w:p>
        </w:tc>
      </w:tr>
      <w:tr w:rsidR="00A20158" w:rsidRPr="00214432" w14:paraId="4C2868C7" w14:textId="77777777" w:rsidTr="00632FCC">
        <w:tc>
          <w:tcPr>
            <w:tcW w:w="9064" w:type="dxa"/>
            <w:gridSpan w:val="2"/>
          </w:tcPr>
          <w:p w14:paraId="75BC196D" w14:textId="77777777" w:rsidR="00A20158" w:rsidRPr="00214432" w:rsidRDefault="00A20158" w:rsidP="00632FCC">
            <w:pPr>
              <w:rPr>
                <w:sz w:val="24"/>
                <w:szCs w:val="24"/>
              </w:rPr>
            </w:pPr>
            <w:r w:rsidRPr="0DC5D26D">
              <w:rPr>
                <w:sz w:val="24"/>
                <w:szCs w:val="24"/>
              </w:rPr>
              <w:t>Ge enbart klopidogrel.</w:t>
            </w:r>
          </w:p>
        </w:tc>
      </w:tr>
      <w:tr w:rsidR="00A20158" w:rsidRPr="00214432" w14:paraId="06EF95C9" w14:textId="77777777" w:rsidTr="00632FCC">
        <w:tc>
          <w:tcPr>
            <w:tcW w:w="9064" w:type="dxa"/>
            <w:gridSpan w:val="2"/>
          </w:tcPr>
          <w:p w14:paraId="45486FA3" w14:textId="77777777" w:rsidR="00A20158" w:rsidRPr="00214432" w:rsidRDefault="00A20158" w:rsidP="00632FCC">
            <w:pPr>
              <w:rPr>
                <w:sz w:val="24"/>
                <w:szCs w:val="24"/>
              </w:rPr>
            </w:pPr>
          </w:p>
        </w:tc>
      </w:tr>
      <w:tr w:rsidR="00A20158" w:rsidRPr="00214432" w14:paraId="0EC25252" w14:textId="77777777" w:rsidTr="00632FCC">
        <w:tc>
          <w:tcPr>
            <w:tcW w:w="4670" w:type="dxa"/>
          </w:tcPr>
          <w:p w14:paraId="30520421" w14:textId="77777777" w:rsidR="00A20158" w:rsidRPr="00214432" w:rsidRDefault="00A20158" w:rsidP="00632FCC">
            <w:pPr>
              <w:rPr>
                <w:b/>
                <w:bCs/>
                <w:sz w:val="24"/>
                <w:szCs w:val="24"/>
              </w:rPr>
            </w:pPr>
            <w:r w:rsidRPr="0DC5D26D">
              <w:rPr>
                <w:b/>
                <w:bCs/>
                <w:sz w:val="24"/>
                <w:szCs w:val="24"/>
              </w:rPr>
              <w:t>klopidogrel</w:t>
            </w:r>
          </w:p>
        </w:tc>
        <w:tc>
          <w:tcPr>
            <w:tcW w:w="4394" w:type="dxa"/>
          </w:tcPr>
          <w:p w14:paraId="55754419" w14:textId="77777777" w:rsidR="00A20158" w:rsidRPr="00214432" w:rsidRDefault="00A20158" w:rsidP="00632FCC">
            <w:pPr>
              <w:rPr>
                <w:sz w:val="24"/>
                <w:szCs w:val="24"/>
              </w:rPr>
            </w:pPr>
            <w:r w:rsidRPr="0DC5D26D">
              <w:rPr>
                <w:sz w:val="24"/>
                <w:szCs w:val="24"/>
              </w:rPr>
              <w:t>Clopidogrel</w:t>
            </w:r>
          </w:p>
        </w:tc>
      </w:tr>
      <w:tr w:rsidR="00A20158" w:rsidRPr="00214432" w14:paraId="500BAACF" w14:textId="77777777" w:rsidTr="00632FCC">
        <w:tc>
          <w:tcPr>
            <w:tcW w:w="4670" w:type="dxa"/>
          </w:tcPr>
          <w:p w14:paraId="4FDCC218" w14:textId="77777777" w:rsidR="00A20158" w:rsidRPr="00214432" w:rsidRDefault="00A20158" w:rsidP="00632FCC">
            <w:pPr>
              <w:rPr>
                <w:sz w:val="24"/>
                <w:szCs w:val="24"/>
              </w:rPr>
            </w:pPr>
          </w:p>
        </w:tc>
        <w:tc>
          <w:tcPr>
            <w:tcW w:w="4394" w:type="dxa"/>
          </w:tcPr>
          <w:p w14:paraId="630EF64C" w14:textId="77777777" w:rsidR="00A20158" w:rsidRPr="00214432" w:rsidRDefault="00A20158" w:rsidP="00632FCC">
            <w:pPr>
              <w:rPr>
                <w:sz w:val="24"/>
                <w:szCs w:val="24"/>
              </w:rPr>
            </w:pPr>
          </w:p>
        </w:tc>
      </w:tr>
      <w:tr w:rsidR="00A20158" w:rsidRPr="00214432" w14:paraId="48E54CC1" w14:textId="77777777" w:rsidTr="00632FCC">
        <w:tc>
          <w:tcPr>
            <w:tcW w:w="9064" w:type="dxa"/>
            <w:gridSpan w:val="2"/>
          </w:tcPr>
          <w:p w14:paraId="6AA4A1EF" w14:textId="77777777" w:rsidR="00A20158" w:rsidRPr="00214432" w:rsidRDefault="00A20158" w:rsidP="00632FCC">
            <w:pPr>
              <w:rPr>
                <w:sz w:val="24"/>
                <w:szCs w:val="24"/>
              </w:rPr>
            </w:pPr>
            <w:r w:rsidRPr="004A079B">
              <w:rPr>
                <w:b/>
                <w:bCs/>
                <w:sz w:val="24"/>
                <w:szCs w:val="24"/>
              </w:rPr>
              <w:t>Lipidsänkare</w:t>
            </w:r>
            <w:r w:rsidRPr="79F3EFC6">
              <w:rPr>
                <w:sz w:val="24"/>
                <w:szCs w:val="24"/>
              </w:rPr>
              <w:t xml:space="preserve"> – se hyperkolesterolemi</w:t>
            </w:r>
          </w:p>
        </w:tc>
      </w:tr>
    </w:tbl>
    <w:p w14:paraId="6405F33A" w14:textId="77777777" w:rsidR="00A20158" w:rsidRPr="009C05A9" w:rsidRDefault="00A20158" w:rsidP="00A20158">
      <w:pPr>
        <w:pStyle w:val="Rubrik3"/>
      </w:pPr>
      <w:r w:rsidRPr="009C05A9">
        <w:t xml:space="preserve">Rivaroxaban vid koronarsjukdom och perifer artärsjukdom </w:t>
      </w:r>
    </w:p>
    <w:p w14:paraId="5350E64A" w14:textId="77777777" w:rsidR="00A20158" w:rsidRPr="009C05A9" w:rsidRDefault="00A20158" w:rsidP="00A20158">
      <w:pPr>
        <w:rPr>
          <w:rFonts w:cs="Arial"/>
          <w:sz w:val="24"/>
          <w:szCs w:val="24"/>
        </w:rPr>
      </w:pPr>
      <w:r w:rsidRPr="009C05A9">
        <w:rPr>
          <w:rFonts w:cs="Arial"/>
          <w:sz w:val="24"/>
          <w:szCs w:val="24"/>
        </w:rPr>
        <w:t xml:space="preserve">Xarelto (2,5mg) har i kombination med acetylsalicylsyra (ASA) visat prevention av aterotrombotiska händelser hos patienter med kranskärlssjukdom eller perifer kärlsjukdom. Denna indikation bygger på COMPASS-studien med drygt 27 000 patienter (COMPASS NEJM 377;14 okt 2017). </w:t>
      </w:r>
      <w:r w:rsidRPr="009C05A9">
        <w:rPr>
          <w:rFonts w:cs="Arial"/>
          <w:sz w:val="24"/>
          <w:szCs w:val="24"/>
        </w:rPr>
        <w:br/>
        <w:t xml:space="preserve">Studien undersökte rivaroxaban (2,5 mg x2) plus ASA (100 mgx1), rivaroxaban (5 mgx2) eller ASA (100 mgx1) som sekundärprofylax hos patienter med stabil aterosklerotisk sjukdom. Primärt effektmått var en sammansatt endpoint av kardiovaskulär död, stroke eller hjärtinfarkt. Studien avslutades i förtid (medeluppföljningstid 23 månader) pga. överlägsenhet i primärt effektmått för behandling med rivaroxaban 2,5 mgx2 plus ASA jämfört med enbart ASA (4.1 % vs 5.4% HR 0.76, CI 0.66 - 0.86; P &lt;0.001). Det uppstod fler större blödningar i rivaroxaban plus ASA gruppen jämfört med ASA ensamt (3.1% vs 1.9%). Ingen skillnad förelåg dock vad avser intrakraniella eller dödliga blödningar. Kombinationen lågdos rivaroxaban och ASA kan rekommenderas enligt den godkända indikationen som sekundärprofylax hos utvalda högriskpatienter (diabetes mellitus, nedsatt njurfunktion, PAD, tidigare ischemisk stroke) efter noggrann värdering av patientens blödningsrisk och en noggrann information till patienten avseende fördelar och risker med kombinationsbehandlingen. Behandlingen skall regelbundet omprövas och värderas i samråd med patienten under behandlingstiden, dock inte senare än efter 12 månader. </w:t>
      </w:r>
      <w:r w:rsidRPr="009C05A9">
        <w:rPr>
          <w:rFonts w:cs="Arial"/>
          <w:sz w:val="24"/>
          <w:szCs w:val="24"/>
        </w:rPr>
        <w:br/>
        <w:t xml:space="preserve">Kombinationsbehandlingen får anses vara en specialistangelägenhet tills vidare. </w:t>
      </w:r>
    </w:p>
    <w:tbl>
      <w:tblPr>
        <w:tblW w:w="9460" w:type="dxa"/>
        <w:tblCellMar>
          <w:top w:w="15" w:type="dxa"/>
          <w:left w:w="15" w:type="dxa"/>
          <w:bottom w:w="15" w:type="dxa"/>
          <w:right w:w="15" w:type="dxa"/>
        </w:tblCellMar>
        <w:tblLook w:val="04A0" w:firstRow="1" w:lastRow="0" w:firstColumn="1" w:lastColumn="0" w:noHBand="0" w:noVBand="1"/>
      </w:tblPr>
      <w:tblGrid>
        <w:gridCol w:w="3734"/>
        <w:gridCol w:w="5726"/>
      </w:tblGrid>
      <w:tr w:rsidR="00A20158" w:rsidRPr="009C05A9" w14:paraId="3FE9E413" w14:textId="77777777" w:rsidTr="00632FCC">
        <w:trPr>
          <w:trHeight w:val="724"/>
          <w:tblHeader/>
        </w:trPr>
        <w:tc>
          <w:tcPr>
            <w:tcW w:w="0" w:type="auto"/>
            <w:gridSpan w:val="2"/>
            <w:tcBorders>
              <w:top w:val="nil"/>
              <w:left w:val="nil"/>
              <w:bottom w:val="nil"/>
              <w:right w:val="nil"/>
            </w:tcBorders>
            <w:vAlign w:val="center"/>
            <w:hideMark/>
          </w:tcPr>
          <w:p w14:paraId="619F8623" w14:textId="77777777" w:rsidR="00A20158" w:rsidRPr="004A079B" w:rsidRDefault="00A20158" w:rsidP="00632FCC">
            <w:pPr>
              <w:tabs>
                <w:tab w:val="clear" w:pos="284"/>
              </w:tabs>
              <w:spacing w:after="168" w:line="240" w:lineRule="auto"/>
              <w:rPr>
                <w:rFonts w:asciiTheme="minorHAnsi" w:eastAsiaTheme="minorEastAsia" w:hAnsiTheme="minorHAnsi"/>
                <w:b/>
                <w:bCs/>
                <w:color w:val="404040" w:themeColor="text1" w:themeTint="BF"/>
                <w:sz w:val="24"/>
                <w:szCs w:val="24"/>
                <w:lang w:eastAsia="sv-SE"/>
              </w:rPr>
            </w:pPr>
            <w:r w:rsidRPr="009C05A9">
              <w:lastRenderedPageBreak/>
              <w:br/>
            </w:r>
            <w:r w:rsidRPr="004A079B">
              <w:rPr>
                <w:rFonts w:asciiTheme="minorHAnsi" w:eastAsiaTheme="minorEastAsia" w:hAnsiTheme="minorHAnsi"/>
                <w:b/>
                <w:bCs/>
                <w:color w:val="404040" w:themeColor="text1" w:themeTint="BF"/>
                <w:sz w:val="24"/>
                <w:szCs w:val="24"/>
                <w:lang w:eastAsia="sv-SE"/>
              </w:rPr>
              <w:t>Peroralt antikoagulans</w:t>
            </w:r>
          </w:p>
        </w:tc>
      </w:tr>
      <w:tr w:rsidR="00A20158" w:rsidRPr="009C05A9" w14:paraId="1B5A7C44" w14:textId="77777777" w:rsidTr="00632FCC">
        <w:trPr>
          <w:trHeight w:val="508"/>
          <w:tblHead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ADF944F" w14:textId="77777777" w:rsidR="00A20158" w:rsidRPr="009C05A9" w:rsidRDefault="00A20158" w:rsidP="00632FCC">
            <w:pPr>
              <w:tabs>
                <w:tab w:val="clear" w:pos="284"/>
              </w:tabs>
              <w:spacing w:after="240" w:line="240" w:lineRule="auto"/>
              <w:rPr>
                <w:rFonts w:asciiTheme="minorHAnsi" w:eastAsiaTheme="minorEastAsia" w:hAnsiTheme="minorHAnsi"/>
                <w:b/>
                <w:bCs/>
                <w:color w:val="404040" w:themeColor="text1" w:themeTint="BF"/>
                <w:sz w:val="24"/>
                <w:szCs w:val="24"/>
                <w:lang w:eastAsia="sv-SE"/>
              </w:rPr>
            </w:pPr>
            <w:r w:rsidRPr="009C05A9">
              <w:rPr>
                <w:rFonts w:asciiTheme="minorHAnsi" w:eastAsiaTheme="minorEastAsia" w:hAnsiTheme="minorHAnsi"/>
                <w:b/>
                <w:bCs/>
                <w:color w:val="404040" w:themeColor="text1" w:themeTint="BF"/>
                <w:sz w:val="24"/>
                <w:szCs w:val="24"/>
                <w:lang w:eastAsia="sv-SE"/>
              </w:rPr>
              <w:t>apixaban</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E49414A" w14:textId="77777777" w:rsidR="00A20158" w:rsidRPr="009C05A9"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009C05A9">
              <w:rPr>
                <w:rFonts w:asciiTheme="minorHAnsi" w:eastAsiaTheme="minorEastAsia" w:hAnsiTheme="minorHAnsi"/>
                <w:color w:val="404040" w:themeColor="text1" w:themeTint="BF"/>
                <w:sz w:val="24"/>
                <w:szCs w:val="24"/>
                <w:lang w:eastAsia="sv-SE"/>
              </w:rPr>
              <w:t>Eliquis</w:t>
            </w:r>
          </w:p>
        </w:tc>
      </w:tr>
      <w:tr w:rsidR="00A20158" w:rsidRPr="009C05A9" w14:paraId="18B088F9" w14:textId="77777777" w:rsidTr="00632FCC">
        <w:trPr>
          <w:trHeight w:val="508"/>
          <w:tblHead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95E0202" w14:textId="77777777" w:rsidR="00A20158" w:rsidRPr="009C05A9" w:rsidRDefault="00A20158" w:rsidP="00632FCC">
            <w:pPr>
              <w:tabs>
                <w:tab w:val="clear" w:pos="284"/>
              </w:tabs>
              <w:spacing w:after="240" w:line="240" w:lineRule="auto"/>
              <w:rPr>
                <w:rFonts w:asciiTheme="minorHAnsi" w:eastAsiaTheme="minorEastAsia" w:hAnsiTheme="minorHAnsi"/>
                <w:b/>
                <w:bCs/>
                <w:color w:val="404040" w:themeColor="text1" w:themeTint="BF"/>
                <w:sz w:val="24"/>
                <w:szCs w:val="24"/>
                <w:lang w:eastAsia="sv-SE"/>
              </w:rPr>
            </w:pPr>
            <w:r w:rsidRPr="009C05A9">
              <w:rPr>
                <w:rFonts w:asciiTheme="minorHAnsi" w:eastAsiaTheme="minorEastAsia" w:hAnsiTheme="minorHAnsi"/>
                <w:b/>
                <w:bCs/>
                <w:color w:val="404040" w:themeColor="text1" w:themeTint="BF"/>
                <w:sz w:val="24"/>
                <w:szCs w:val="24"/>
                <w:lang w:eastAsia="sv-SE"/>
              </w:rPr>
              <w:t>warfarin</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680079B" w14:textId="77777777" w:rsidR="00A20158" w:rsidRPr="009C05A9"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009C05A9">
              <w:rPr>
                <w:rFonts w:asciiTheme="minorHAnsi" w:eastAsiaTheme="minorEastAsia" w:hAnsiTheme="minorHAnsi"/>
                <w:color w:val="404040" w:themeColor="text1" w:themeTint="BF"/>
                <w:sz w:val="24"/>
                <w:szCs w:val="24"/>
                <w:lang w:eastAsia="sv-SE"/>
              </w:rPr>
              <w:t>Warfarin</w:t>
            </w:r>
          </w:p>
        </w:tc>
      </w:tr>
      <w:tr w:rsidR="00A20158" w:rsidRPr="009C05A9" w14:paraId="720B4B52" w14:textId="77777777" w:rsidTr="00632FCC">
        <w:trPr>
          <w:trHeight w:val="499"/>
          <w:tblHead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7836CC2" w14:textId="77777777" w:rsidR="00A20158" w:rsidRPr="009C05A9" w:rsidRDefault="00A20158" w:rsidP="00632FCC">
            <w:pPr>
              <w:tabs>
                <w:tab w:val="clear" w:pos="284"/>
              </w:tabs>
              <w:spacing w:after="240" w:line="240" w:lineRule="auto"/>
              <w:rPr>
                <w:rFonts w:asciiTheme="minorHAnsi" w:eastAsiaTheme="minorEastAsia" w:hAnsiTheme="minorHAnsi"/>
                <w:b/>
                <w:bCs/>
                <w:color w:val="404040" w:themeColor="text1" w:themeTint="BF"/>
                <w:sz w:val="24"/>
                <w:szCs w:val="24"/>
                <w:lang w:eastAsia="sv-SE"/>
              </w:rPr>
            </w:pPr>
            <w:r w:rsidRPr="009C05A9">
              <w:rPr>
                <w:rFonts w:asciiTheme="minorHAnsi" w:eastAsiaTheme="minorEastAsia" w:hAnsiTheme="minorHAnsi"/>
                <w:b/>
                <w:bCs/>
                <w:color w:val="404040" w:themeColor="text1" w:themeTint="BF"/>
                <w:sz w:val="24"/>
                <w:szCs w:val="24"/>
                <w:lang w:eastAsia="sv-SE"/>
              </w:rPr>
              <w:t>rivaroxaban</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7F02014" w14:textId="77777777" w:rsidR="00A20158" w:rsidRPr="009C05A9"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009C05A9">
              <w:rPr>
                <w:rFonts w:asciiTheme="minorHAnsi" w:eastAsiaTheme="minorEastAsia" w:hAnsiTheme="minorHAnsi"/>
                <w:color w:val="404040" w:themeColor="text1" w:themeTint="BF"/>
                <w:sz w:val="24"/>
                <w:szCs w:val="24"/>
                <w:lang w:eastAsia="sv-SE"/>
              </w:rPr>
              <w:t>Xarelto</w:t>
            </w:r>
          </w:p>
        </w:tc>
      </w:tr>
      <w:tr w:rsidR="00A20158" w:rsidRPr="00A444B9" w14:paraId="3D24251C" w14:textId="77777777" w:rsidTr="00632FCC">
        <w:trPr>
          <w:trHeight w:val="774"/>
          <w:tblHead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6558180" w14:textId="77777777" w:rsidR="00A20158" w:rsidRPr="009C05A9" w:rsidRDefault="00A20158" w:rsidP="00632FCC">
            <w:pPr>
              <w:tabs>
                <w:tab w:val="clear" w:pos="284"/>
              </w:tabs>
              <w:spacing w:after="240" w:line="240" w:lineRule="auto"/>
              <w:rPr>
                <w:rFonts w:asciiTheme="minorHAnsi" w:eastAsiaTheme="minorEastAsia" w:hAnsiTheme="minorHAnsi"/>
                <w:b/>
                <w:bCs/>
                <w:color w:val="404040" w:themeColor="text1" w:themeTint="BF"/>
                <w:sz w:val="24"/>
                <w:szCs w:val="24"/>
                <w:lang w:eastAsia="sv-SE"/>
              </w:rPr>
            </w:pPr>
            <w:r w:rsidRPr="009C05A9">
              <w:rPr>
                <w:rFonts w:asciiTheme="minorHAnsi" w:eastAsiaTheme="minorEastAsia" w:hAnsiTheme="minorHAnsi"/>
                <w:b/>
                <w:bCs/>
                <w:color w:val="404040" w:themeColor="text1" w:themeTint="BF"/>
                <w:sz w:val="24"/>
                <w:szCs w:val="24"/>
                <w:lang w:eastAsia="sv-SE"/>
              </w:rPr>
              <w:t xml:space="preserve">dabigatran </w:t>
            </w:r>
            <w:r w:rsidRPr="009C05A9">
              <w:rPr>
                <w:rFonts w:asciiTheme="minorHAnsi" w:eastAsiaTheme="minorEastAsia" w:hAnsiTheme="minorHAnsi"/>
                <w:b/>
                <w:bCs/>
                <w:color w:val="404040" w:themeColor="text1" w:themeTint="BF"/>
                <w:sz w:val="24"/>
                <w:szCs w:val="24"/>
                <w:lang w:eastAsia="sv-SE"/>
              </w:rPr>
              <w:br/>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55D6F5" w14:textId="77777777" w:rsidR="00A20158" w:rsidRPr="00471F0E" w:rsidRDefault="00A20158" w:rsidP="00632FCC">
            <w:pPr>
              <w:tabs>
                <w:tab w:val="clear" w:pos="284"/>
              </w:tabs>
              <w:spacing w:after="240" w:line="240" w:lineRule="auto"/>
              <w:rPr>
                <w:rFonts w:asciiTheme="minorHAnsi" w:eastAsiaTheme="minorEastAsia" w:hAnsiTheme="minorHAnsi"/>
                <w:color w:val="404040" w:themeColor="text1" w:themeTint="BF"/>
                <w:sz w:val="24"/>
                <w:szCs w:val="24"/>
                <w:lang w:eastAsia="sv-SE"/>
              </w:rPr>
            </w:pPr>
            <w:r w:rsidRPr="009C05A9">
              <w:rPr>
                <w:rFonts w:asciiTheme="minorHAnsi" w:eastAsiaTheme="minorEastAsia" w:hAnsiTheme="minorHAnsi"/>
                <w:color w:val="404040" w:themeColor="text1" w:themeTint="BF"/>
                <w:sz w:val="24"/>
                <w:szCs w:val="24"/>
                <w:lang w:eastAsia="sv-SE"/>
              </w:rPr>
              <w:t>Pradaxa</w:t>
            </w:r>
            <w:r w:rsidRPr="009C05A9">
              <w:br/>
            </w:r>
            <w:r w:rsidRPr="009C05A9">
              <w:rPr>
                <w:rFonts w:asciiTheme="minorHAnsi" w:eastAsiaTheme="minorEastAsia" w:hAnsiTheme="minorHAnsi"/>
                <w:color w:val="404040" w:themeColor="text1" w:themeTint="BF"/>
                <w:sz w:val="24"/>
                <w:szCs w:val="24"/>
                <w:lang w:eastAsia="sv-SE"/>
              </w:rPr>
              <w:t>Dabigatran etexilate</w:t>
            </w:r>
          </w:p>
        </w:tc>
      </w:tr>
    </w:tbl>
    <w:p w14:paraId="2EB06E2D" w14:textId="2719EE07" w:rsidR="00A20158" w:rsidRDefault="00A20158" w:rsidP="00A20158">
      <w:pPr>
        <w:tabs>
          <w:tab w:val="clear" w:pos="284"/>
        </w:tabs>
        <w:spacing w:after="120" w:line="260" w:lineRule="atLeast"/>
        <w:rPr>
          <w:rFonts w:cs="Arial"/>
          <w:sz w:val="24"/>
          <w:szCs w:val="24"/>
        </w:rPr>
      </w:pPr>
    </w:p>
    <w:p w14:paraId="417F875E" w14:textId="77777777" w:rsidR="00A20158" w:rsidRPr="00D35239" w:rsidRDefault="00A20158" w:rsidP="00A20158">
      <w:pPr>
        <w:pStyle w:val="Rubrik2"/>
      </w:pPr>
      <w:r>
        <w:t>Länkar och Referenser</w:t>
      </w:r>
    </w:p>
    <w:p w14:paraId="547904E1" w14:textId="77777777" w:rsidR="00A20158" w:rsidRPr="00214432" w:rsidRDefault="00A20158" w:rsidP="00A20158">
      <w:pPr>
        <w:widowControl w:val="0"/>
        <w:spacing w:line="268" w:lineRule="exact"/>
        <w:rPr>
          <w:rFonts w:eastAsia="Garamond"/>
          <w:sz w:val="24"/>
          <w:szCs w:val="24"/>
        </w:rPr>
      </w:pPr>
      <w:r w:rsidRPr="00214432">
        <w:rPr>
          <w:rFonts w:cs="Arial"/>
          <w:sz w:val="24"/>
          <w:szCs w:val="24"/>
        </w:rPr>
        <w:t>D</w:t>
      </w:r>
      <w:r w:rsidRPr="00214432">
        <w:rPr>
          <w:rFonts w:eastAsia="Garamond"/>
          <w:spacing w:val="-1"/>
          <w:sz w:val="24"/>
          <w:szCs w:val="24"/>
        </w:rPr>
        <w:t>o</w:t>
      </w:r>
      <w:r w:rsidRPr="00214432">
        <w:rPr>
          <w:rFonts w:eastAsia="Garamond"/>
          <w:sz w:val="24"/>
          <w:szCs w:val="24"/>
        </w:rPr>
        <w:t>ku</w:t>
      </w:r>
      <w:r w:rsidRPr="00214432">
        <w:rPr>
          <w:rFonts w:eastAsia="Garamond"/>
          <w:spacing w:val="-3"/>
          <w:sz w:val="24"/>
          <w:szCs w:val="24"/>
        </w:rPr>
        <w:t>m</w:t>
      </w:r>
      <w:r w:rsidRPr="00214432">
        <w:rPr>
          <w:rFonts w:eastAsia="Garamond"/>
          <w:sz w:val="24"/>
          <w:szCs w:val="24"/>
        </w:rPr>
        <w:t>ent</w:t>
      </w:r>
      <w:r w:rsidRPr="00214432">
        <w:rPr>
          <w:rFonts w:eastAsia="Garamond"/>
          <w:spacing w:val="-17"/>
          <w:sz w:val="24"/>
          <w:szCs w:val="24"/>
        </w:rPr>
        <w:t xml:space="preserve"> </w:t>
      </w:r>
      <w:r w:rsidRPr="00214432">
        <w:rPr>
          <w:rFonts w:eastAsia="Garamond"/>
          <w:sz w:val="24"/>
          <w:szCs w:val="24"/>
        </w:rPr>
        <w:t>av</w:t>
      </w:r>
      <w:r w:rsidRPr="00214432">
        <w:rPr>
          <w:rFonts w:eastAsia="Garamond"/>
          <w:spacing w:val="-15"/>
          <w:sz w:val="24"/>
          <w:szCs w:val="24"/>
        </w:rPr>
        <w:t xml:space="preserve"> </w:t>
      </w:r>
      <w:r w:rsidRPr="00214432">
        <w:rPr>
          <w:rFonts w:eastAsia="Garamond"/>
          <w:spacing w:val="-10"/>
          <w:sz w:val="24"/>
          <w:szCs w:val="24"/>
        </w:rPr>
        <w:t>b</w:t>
      </w:r>
      <w:r w:rsidRPr="00214432">
        <w:rPr>
          <w:rFonts w:eastAsia="Garamond"/>
          <w:sz w:val="24"/>
          <w:szCs w:val="24"/>
        </w:rPr>
        <w:t>e</w:t>
      </w:r>
      <w:r w:rsidRPr="00214432">
        <w:rPr>
          <w:rFonts w:eastAsia="Garamond"/>
          <w:spacing w:val="-1"/>
          <w:sz w:val="24"/>
          <w:szCs w:val="24"/>
        </w:rPr>
        <w:t>t</w:t>
      </w:r>
      <w:r w:rsidRPr="00214432">
        <w:rPr>
          <w:rFonts w:eastAsia="Garamond"/>
          <w:sz w:val="24"/>
          <w:szCs w:val="24"/>
        </w:rPr>
        <w:t>yde</w:t>
      </w:r>
      <w:r w:rsidRPr="00214432">
        <w:rPr>
          <w:rFonts w:eastAsia="Garamond"/>
          <w:spacing w:val="-3"/>
          <w:sz w:val="24"/>
          <w:szCs w:val="24"/>
        </w:rPr>
        <w:t>l</w:t>
      </w:r>
      <w:r w:rsidRPr="00214432">
        <w:rPr>
          <w:rFonts w:eastAsia="Garamond"/>
          <w:spacing w:val="-7"/>
          <w:sz w:val="24"/>
          <w:szCs w:val="24"/>
        </w:rPr>
        <w:t>s</w:t>
      </w:r>
      <w:r w:rsidRPr="00214432">
        <w:rPr>
          <w:rFonts w:eastAsia="Garamond"/>
          <w:sz w:val="24"/>
          <w:szCs w:val="24"/>
        </w:rPr>
        <w:t>e</w:t>
      </w:r>
      <w:r w:rsidRPr="00214432">
        <w:rPr>
          <w:rFonts w:eastAsia="Garamond"/>
          <w:spacing w:val="-15"/>
          <w:sz w:val="24"/>
          <w:szCs w:val="24"/>
        </w:rPr>
        <w:t xml:space="preserve"> </w:t>
      </w:r>
      <w:r w:rsidRPr="00214432">
        <w:rPr>
          <w:rFonts w:eastAsia="Garamond"/>
          <w:spacing w:val="-1"/>
          <w:sz w:val="24"/>
          <w:szCs w:val="24"/>
        </w:rPr>
        <w:t>f</w:t>
      </w:r>
      <w:r w:rsidRPr="00214432">
        <w:rPr>
          <w:rFonts w:eastAsia="Garamond"/>
          <w:sz w:val="24"/>
          <w:szCs w:val="24"/>
        </w:rPr>
        <w:t>ör</w:t>
      </w:r>
      <w:r w:rsidRPr="00214432">
        <w:rPr>
          <w:rFonts w:eastAsia="Garamond"/>
          <w:spacing w:val="-19"/>
          <w:sz w:val="24"/>
          <w:szCs w:val="24"/>
        </w:rPr>
        <w:t xml:space="preserve"> </w:t>
      </w:r>
      <w:r w:rsidRPr="00214432">
        <w:rPr>
          <w:rFonts w:eastAsia="Garamond"/>
          <w:spacing w:val="-1"/>
          <w:sz w:val="24"/>
          <w:szCs w:val="24"/>
        </w:rPr>
        <w:t>t</w:t>
      </w:r>
      <w:r w:rsidRPr="00214432">
        <w:rPr>
          <w:rFonts w:eastAsia="Garamond"/>
          <w:sz w:val="24"/>
          <w:szCs w:val="24"/>
        </w:rPr>
        <w:t>e</w:t>
      </w:r>
      <w:r w:rsidRPr="00214432">
        <w:rPr>
          <w:rFonts w:eastAsia="Garamond"/>
          <w:spacing w:val="-9"/>
          <w:sz w:val="24"/>
          <w:szCs w:val="24"/>
        </w:rPr>
        <w:t>r</w:t>
      </w:r>
      <w:r w:rsidRPr="00214432">
        <w:rPr>
          <w:rFonts w:eastAsia="Garamond"/>
          <w:sz w:val="24"/>
          <w:szCs w:val="24"/>
        </w:rPr>
        <w:t>ap</w:t>
      </w:r>
      <w:r w:rsidRPr="00214432">
        <w:rPr>
          <w:rFonts w:eastAsia="Garamond"/>
          <w:spacing w:val="-5"/>
          <w:sz w:val="24"/>
          <w:szCs w:val="24"/>
        </w:rPr>
        <w:t>i</w:t>
      </w:r>
      <w:r w:rsidRPr="00214432">
        <w:rPr>
          <w:rFonts w:eastAsia="Garamond"/>
          <w:sz w:val="24"/>
          <w:szCs w:val="24"/>
        </w:rPr>
        <w:t>o</w:t>
      </w:r>
      <w:r w:rsidRPr="00214432">
        <w:rPr>
          <w:rFonts w:eastAsia="Garamond"/>
          <w:spacing w:val="-1"/>
          <w:sz w:val="24"/>
          <w:szCs w:val="24"/>
        </w:rPr>
        <w:t>m</w:t>
      </w:r>
      <w:r w:rsidRPr="00214432">
        <w:rPr>
          <w:rFonts w:eastAsia="Garamond"/>
          <w:spacing w:val="-4"/>
          <w:sz w:val="24"/>
          <w:szCs w:val="24"/>
        </w:rPr>
        <w:t>r</w:t>
      </w:r>
      <w:r w:rsidRPr="00214432">
        <w:rPr>
          <w:rFonts w:eastAsia="Garamond"/>
          <w:spacing w:val="-2"/>
          <w:sz w:val="24"/>
          <w:szCs w:val="24"/>
        </w:rPr>
        <w:t>å</w:t>
      </w:r>
      <w:r w:rsidRPr="00214432">
        <w:rPr>
          <w:rFonts w:eastAsia="Garamond"/>
          <w:spacing w:val="-3"/>
          <w:sz w:val="24"/>
          <w:szCs w:val="24"/>
        </w:rPr>
        <w:t>d</w:t>
      </w:r>
      <w:r w:rsidRPr="00214432">
        <w:rPr>
          <w:rFonts w:eastAsia="Garamond"/>
          <w:sz w:val="24"/>
          <w:szCs w:val="24"/>
        </w:rPr>
        <w:t>et</w:t>
      </w:r>
      <w:r w:rsidRPr="00214432">
        <w:rPr>
          <w:rFonts w:eastAsia="Garamond"/>
          <w:spacing w:val="-21"/>
          <w:sz w:val="24"/>
          <w:szCs w:val="24"/>
        </w:rPr>
        <w:t xml:space="preserve"> </w:t>
      </w:r>
      <w:r w:rsidRPr="00214432">
        <w:rPr>
          <w:rFonts w:eastAsia="Garamond"/>
          <w:sz w:val="24"/>
          <w:szCs w:val="24"/>
        </w:rPr>
        <w:t>är</w:t>
      </w:r>
      <w:r w:rsidRPr="00214432">
        <w:rPr>
          <w:rFonts w:eastAsia="Garamond"/>
          <w:spacing w:val="-19"/>
          <w:sz w:val="24"/>
          <w:szCs w:val="24"/>
        </w:rPr>
        <w:t xml:space="preserve"> </w:t>
      </w:r>
      <w:r w:rsidRPr="00214432">
        <w:rPr>
          <w:rFonts w:eastAsia="Garamond"/>
          <w:sz w:val="24"/>
          <w:szCs w:val="24"/>
        </w:rPr>
        <w:t>S</w:t>
      </w:r>
      <w:r w:rsidRPr="00214432">
        <w:rPr>
          <w:rFonts w:eastAsia="Garamond"/>
          <w:spacing w:val="-1"/>
          <w:sz w:val="24"/>
          <w:szCs w:val="24"/>
        </w:rPr>
        <w:t>o</w:t>
      </w:r>
      <w:r w:rsidRPr="00214432">
        <w:rPr>
          <w:rFonts w:eastAsia="Garamond"/>
          <w:sz w:val="24"/>
          <w:szCs w:val="24"/>
        </w:rPr>
        <w:t>ci</w:t>
      </w:r>
      <w:r w:rsidRPr="00214432">
        <w:rPr>
          <w:rFonts w:eastAsia="Garamond"/>
          <w:spacing w:val="1"/>
          <w:sz w:val="24"/>
          <w:szCs w:val="24"/>
        </w:rPr>
        <w:t>a</w:t>
      </w:r>
      <w:r w:rsidRPr="00214432">
        <w:rPr>
          <w:rFonts w:eastAsia="Garamond"/>
          <w:spacing w:val="-3"/>
          <w:sz w:val="24"/>
          <w:szCs w:val="24"/>
        </w:rPr>
        <w:t>l</w:t>
      </w:r>
      <w:r w:rsidRPr="00214432">
        <w:rPr>
          <w:rFonts w:eastAsia="Garamond"/>
          <w:spacing w:val="-7"/>
          <w:sz w:val="24"/>
          <w:szCs w:val="24"/>
        </w:rPr>
        <w:t>s</w:t>
      </w:r>
      <w:r w:rsidRPr="00214432">
        <w:rPr>
          <w:rFonts w:eastAsia="Garamond"/>
          <w:spacing w:val="-1"/>
          <w:sz w:val="24"/>
          <w:szCs w:val="24"/>
        </w:rPr>
        <w:t>t</w:t>
      </w:r>
      <w:r w:rsidRPr="00214432">
        <w:rPr>
          <w:rFonts w:eastAsia="Garamond"/>
          <w:sz w:val="24"/>
          <w:szCs w:val="24"/>
        </w:rPr>
        <w:t>y</w:t>
      </w:r>
      <w:r w:rsidRPr="00214432">
        <w:rPr>
          <w:rFonts w:eastAsia="Garamond"/>
          <w:spacing w:val="-9"/>
          <w:sz w:val="24"/>
          <w:szCs w:val="24"/>
        </w:rPr>
        <w:t>r</w:t>
      </w:r>
      <w:r w:rsidRPr="00214432">
        <w:rPr>
          <w:rFonts w:eastAsia="Garamond"/>
          <w:sz w:val="24"/>
          <w:szCs w:val="24"/>
        </w:rPr>
        <w:t>e</w:t>
      </w:r>
      <w:r w:rsidRPr="00214432">
        <w:rPr>
          <w:rFonts w:eastAsia="Garamond"/>
          <w:spacing w:val="-3"/>
          <w:sz w:val="24"/>
          <w:szCs w:val="24"/>
        </w:rPr>
        <w:t>l</w:t>
      </w:r>
      <w:r w:rsidRPr="00214432">
        <w:rPr>
          <w:rFonts w:eastAsia="Garamond"/>
          <w:spacing w:val="-7"/>
          <w:sz w:val="24"/>
          <w:szCs w:val="24"/>
        </w:rPr>
        <w:t>s</w:t>
      </w:r>
      <w:r w:rsidRPr="00214432">
        <w:rPr>
          <w:rFonts w:eastAsia="Garamond"/>
          <w:sz w:val="24"/>
          <w:szCs w:val="24"/>
        </w:rPr>
        <w:t>e</w:t>
      </w:r>
      <w:r w:rsidRPr="00214432">
        <w:rPr>
          <w:rFonts w:eastAsia="Garamond"/>
          <w:spacing w:val="-3"/>
          <w:sz w:val="24"/>
          <w:szCs w:val="24"/>
        </w:rPr>
        <w:t>n</w:t>
      </w:r>
      <w:r w:rsidRPr="00214432">
        <w:rPr>
          <w:rFonts w:eastAsia="Garamond"/>
          <w:sz w:val="24"/>
          <w:szCs w:val="24"/>
        </w:rPr>
        <w:t>s</w:t>
      </w:r>
      <w:r w:rsidRPr="00214432">
        <w:rPr>
          <w:rFonts w:eastAsia="Garamond"/>
          <w:spacing w:val="-17"/>
          <w:sz w:val="24"/>
          <w:szCs w:val="24"/>
        </w:rPr>
        <w:t xml:space="preserve"> </w:t>
      </w:r>
      <w:r w:rsidRPr="00214432">
        <w:rPr>
          <w:rFonts w:eastAsia="Garamond"/>
          <w:spacing w:val="-1"/>
          <w:sz w:val="24"/>
          <w:szCs w:val="24"/>
        </w:rPr>
        <w:t>N</w:t>
      </w:r>
      <w:r w:rsidRPr="00214432">
        <w:rPr>
          <w:rFonts w:eastAsia="Garamond"/>
          <w:spacing w:val="-2"/>
          <w:sz w:val="24"/>
          <w:szCs w:val="24"/>
        </w:rPr>
        <w:t>a</w:t>
      </w:r>
      <w:r w:rsidRPr="00214432">
        <w:rPr>
          <w:rFonts w:eastAsia="Garamond"/>
          <w:spacing w:val="-1"/>
          <w:sz w:val="24"/>
          <w:szCs w:val="24"/>
        </w:rPr>
        <w:t>t</w:t>
      </w:r>
      <w:r w:rsidRPr="00214432">
        <w:rPr>
          <w:rFonts w:eastAsia="Garamond"/>
          <w:spacing w:val="-3"/>
          <w:sz w:val="24"/>
          <w:szCs w:val="24"/>
        </w:rPr>
        <w:t>i</w:t>
      </w:r>
      <w:r w:rsidRPr="00214432">
        <w:rPr>
          <w:rFonts w:eastAsia="Garamond"/>
          <w:spacing w:val="-1"/>
          <w:sz w:val="24"/>
          <w:szCs w:val="24"/>
        </w:rPr>
        <w:t>o</w:t>
      </w:r>
      <w:r w:rsidRPr="00214432">
        <w:rPr>
          <w:rFonts w:eastAsia="Garamond"/>
          <w:spacing w:val="-5"/>
          <w:sz w:val="24"/>
          <w:szCs w:val="24"/>
        </w:rPr>
        <w:t>ne</w:t>
      </w:r>
      <w:r w:rsidRPr="00214432">
        <w:rPr>
          <w:rFonts w:eastAsia="Garamond"/>
          <w:sz w:val="24"/>
          <w:szCs w:val="24"/>
        </w:rPr>
        <w:t>lla</w:t>
      </w:r>
      <w:r w:rsidRPr="00214432">
        <w:rPr>
          <w:rFonts w:eastAsia="Garamond"/>
          <w:spacing w:val="-13"/>
          <w:sz w:val="24"/>
          <w:szCs w:val="24"/>
        </w:rPr>
        <w:t xml:space="preserve"> </w:t>
      </w:r>
      <w:r w:rsidRPr="00214432">
        <w:rPr>
          <w:rFonts w:eastAsia="Garamond"/>
          <w:spacing w:val="-2"/>
          <w:sz w:val="24"/>
          <w:szCs w:val="24"/>
        </w:rPr>
        <w:t>R</w:t>
      </w:r>
      <w:r w:rsidRPr="00214432">
        <w:rPr>
          <w:rFonts w:eastAsia="Garamond"/>
          <w:sz w:val="24"/>
          <w:szCs w:val="24"/>
        </w:rPr>
        <w:t>ik</w:t>
      </w:r>
      <w:r w:rsidRPr="00214432">
        <w:rPr>
          <w:rFonts w:eastAsia="Garamond"/>
          <w:spacing w:val="-7"/>
          <w:sz w:val="24"/>
          <w:szCs w:val="24"/>
        </w:rPr>
        <w:t>t</w:t>
      </w:r>
      <w:r w:rsidRPr="00214432">
        <w:rPr>
          <w:rFonts w:eastAsia="Garamond"/>
          <w:spacing w:val="-3"/>
          <w:sz w:val="24"/>
          <w:szCs w:val="24"/>
        </w:rPr>
        <w:t>l</w:t>
      </w:r>
      <w:r w:rsidRPr="00214432">
        <w:rPr>
          <w:rFonts w:eastAsia="Garamond"/>
          <w:sz w:val="24"/>
          <w:szCs w:val="24"/>
        </w:rPr>
        <w:t>i</w:t>
      </w:r>
      <w:r w:rsidRPr="00214432">
        <w:rPr>
          <w:rFonts w:eastAsia="Garamond"/>
          <w:spacing w:val="-3"/>
          <w:sz w:val="24"/>
          <w:szCs w:val="24"/>
        </w:rPr>
        <w:t>nj</w:t>
      </w:r>
      <w:r w:rsidRPr="00214432">
        <w:rPr>
          <w:rFonts w:eastAsia="Garamond"/>
          <w:sz w:val="24"/>
          <w:szCs w:val="24"/>
        </w:rPr>
        <w:t>er</w:t>
      </w:r>
      <w:r w:rsidRPr="00214432">
        <w:rPr>
          <w:rFonts w:eastAsia="Garamond"/>
          <w:spacing w:val="-16"/>
          <w:sz w:val="24"/>
          <w:szCs w:val="24"/>
        </w:rPr>
        <w:t xml:space="preserve"> och </w:t>
      </w:r>
      <w:r w:rsidRPr="00214432">
        <w:rPr>
          <w:rFonts w:eastAsia="Garamond"/>
          <w:spacing w:val="-1"/>
          <w:sz w:val="24"/>
          <w:szCs w:val="24"/>
        </w:rPr>
        <w:t>ESC/</w:t>
      </w:r>
      <w:r>
        <w:rPr>
          <w:rFonts w:eastAsia="Garamond"/>
          <w:spacing w:val="-1"/>
          <w:sz w:val="24"/>
          <w:szCs w:val="24"/>
        </w:rPr>
        <w:br/>
      </w:r>
      <w:r w:rsidRPr="00214432">
        <w:rPr>
          <w:rFonts w:eastAsia="Garamond"/>
          <w:spacing w:val="-1"/>
          <w:sz w:val="24"/>
          <w:szCs w:val="24"/>
        </w:rPr>
        <w:t xml:space="preserve">ESH Guidelines. </w:t>
      </w:r>
    </w:p>
    <w:p w14:paraId="41BCFC83" w14:textId="77777777" w:rsidR="00A20158" w:rsidRPr="00214432" w:rsidRDefault="00A20158" w:rsidP="00A20158">
      <w:pPr>
        <w:widowControl w:val="0"/>
        <w:spacing w:line="268" w:lineRule="exact"/>
        <w:rPr>
          <w:rFonts w:eastAsia="Garamond"/>
          <w:sz w:val="24"/>
          <w:szCs w:val="24"/>
        </w:rPr>
      </w:pPr>
    </w:p>
    <w:p w14:paraId="0A300017" w14:textId="77777777" w:rsidR="00A20158" w:rsidRPr="00214432" w:rsidRDefault="00A20158" w:rsidP="00A20158">
      <w:pPr>
        <w:widowControl w:val="0"/>
        <w:spacing w:line="268" w:lineRule="exact"/>
        <w:rPr>
          <w:rFonts w:eastAsia="Garamond"/>
          <w:sz w:val="24"/>
          <w:szCs w:val="24"/>
        </w:rPr>
      </w:pPr>
      <w:hyperlink r:id="rId87" w:history="1">
        <w:r w:rsidRPr="00214432">
          <w:rPr>
            <w:rStyle w:val="Hyperlnk"/>
            <w:sz w:val="24"/>
            <w:szCs w:val="24"/>
          </w:rPr>
          <w:t>Nationella riktlinjer för hjärtsjukvård - Socialstyrelsen</w:t>
        </w:r>
      </w:hyperlink>
    </w:p>
    <w:p w14:paraId="6E80254E" w14:textId="77777777" w:rsidR="00A20158" w:rsidRPr="00214432" w:rsidRDefault="00A20158" w:rsidP="00A20158">
      <w:pPr>
        <w:rPr>
          <w:rStyle w:val="Hyperlnk"/>
          <w:sz w:val="24"/>
          <w:szCs w:val="24"/>
        </w:rPr>
      </w:pPr>
      <w:hyperlink r:id="rId88" w:history="1">
        <w:r w:rsidRPr="00214432">
          <w:rPr>
            <w:rStyle w:val="Hyperlnk"/>
            <w:sz w:val="24"/>
            <w:szCs w:val="24"/>
          </w:rPr>
          <w:t>Nationella riktlinjer för vård vid stroke - Socialstyrelsen</w:t>
        </w:r>
      </w:hyperlink>
    </w:p>
    <w:p w14:paraId="45240EF5" w14:textId="77777777" w:rsidR="00A20158" w:rsidRPr="00214432" w:rsidRDefault="00A20158" w:rsidP="00A20158">
      <w:pPr>
        <w:rPr>
          <w:rStyle w:val="Hyperlnk"/>
          <w:rFonts w:cs="Arial"/>
          <w:color w:val="7030A0"/>
          <w:sz w:val="24"/>
          <w:szCs w:val="24"/>
          <w:lang w:val="en-GB"/>
        </w:rPr>
      </w:pPr>
      <w:hyperlink r:id="rId89" w:anchor="186437943" w:history="1">
        <w:r w:rsidRPr="00214432">
          <w:rPr>
            <w:rStyle w:val="Hyperlnk"/>
            <w:rFonts w:cs="Arial"/>
            <w:color w:val="7030A0"/>
            <w:sz w:val="24"/>
            <w:szCs w:val="24"/>
            <w:lang w:val="en-GB"/>
          </w:rPr>
          <w:t>ESC/ESH Guidelines hypertoni 2018</w:t>
        </w:r>
      </w:hyperlink>
    </w:p>
    <w:p w14:paraId="135E9CF5" w14:textId="77777777" w:rsidR="00A20158" w:rsidRPr="00214432" w:rsidRDefault="00A20158" w:rsidP="00A20158">
      <w:pPr>
        <w:rPr>
          <w:sz w:val="24"/>
          <w:szCs w:val="24"/>
          <w:lang w:val="en-US"/>
        </w:rPr>
      </w:pPr>
      <w:hyperlink r:id="rId90" w:history="1">
        <w:r w:rsidRPr="00214432">
          <w:rPr>
            <w:rStyle w:val="Hyperlnk"/>
            <w:sz w:val="24"/>
            <w:szCs w:val="24"/>
            <w:lang w:val="en-US"/>
          </w:rPr>
          <w:t>ESC/ESH Guidelines kardiovaskulär sekundärprevention 2021</w:t>
        </w:r>
      </w:hyperlink>
      <w:r w:rsidRPr="00214432">
        <w:rPr>
          <w:rFonts w:cs="Arial"/>
          <w:color w:val="98C21D" w:themeColor="accent3"/>
          <w:sz w:val="24"/>
          <w:szCs w:val="24"/>
          <w:lang w:val="en-GB"/>
        </w:rPr>
        <w:t xml:space="preserve"> </w:t>
      </w:r>
      <w:r>
        <w:rPr>
          <w:rFonts w:cs="Arial"/>
          <w:color w:val="98C21D" w:themeColor="accent3"/>
          <w:sz w:val="24"/>
          <w:szCs w:val="24"/>
          <w:lang w:val="en-GB"/>
        </w:rPr>
        <w:br/>
      </w:r>
    </w:p>
    <w:p w14:paraId="2FB80F37" w14:textId="77777777" w:rsidR="00A20158" w:rsidRPr="00532C4E" w:rsidRDefault="00A20158" w:rsidP="00A20158">
      <w:pPr>
        <w:pStyle w:val="Rubrik3"/>
      </w:pPr>
      <w:r>
        <w:t>Hypertoni</w:t>
      </w:r>
    </w:p>
    <w:p w14:paraId="432C6AE6" w14:textId="77777777" w:rsidR="00A20158" w:rsidRPr="00214432" w:rsidRDefault="00A20158" w:rsidP="00A20158">
      <w:pPr>
        <w:pStyle w:val="Liststycke"/>
        <w:numPr>
          <w:ilvl w:val="0"/>
          <w:numId w:val="23"/>
        </w:numPr>
        <w:contextualSpacing/>
        <w:rPr>
          <w:color w:val="2A2A2A"/>
          <w:sz w:val="24"/>
          <w:szCs w:val="24"/>
          <w:lang w:val="en-US"/>
        </w:rPr>
      </w:pPr>
      <w:r w:rsidRPr="7E0BD4B5">
        <w:rPr>
          <w:rFonts w:ascii="Times New Roman" w:eastAsia="Times New Roman" w:hAnsi="Times New Roman" w:cs="Times New Roman"/>
          <w:color w:val="2A2A2A"/>
          <w:sz w:val="24"/>
          <w:szCs w:val="24"/>
          <w:lang w:val="en-US"/>
        </w:rPr>
        <w:t xml:space="preserve"> </w:t>
      </w:r>
      <w:r w:rsidRPr="7E0BD4B5">
        <w:rPr>
          <w:color w:val="2A2A2A"/>
          <w:sz w:val="24"/>
          <w:szCs w:val="24"/>
          <w:lang w:val="en-US"/>
        </w:rPr>
        <w:t xml:space="preserve">SCORE2 risk prediction algorithms: new models to estimate 10-year risk of cardiovascular disease in Europe. </w:t>
      </w:r>
      <w:r w:rsidRPr="7E0BD4B5">
        <w:rPr>
          <w:color w:val="333333"/>
          <w:sz w:val="24"/>
          <w:szCs w:val="24"/>
          <w:lang w:val="en-US"/>
        </w:rPr>
        <w:t xml:space="preserve">European Heart Journal, ehab309, </w:t>
      </w:r>
      <w:hyperlink r:id="rId91">
        <w:r w:rsidRPr="7E0BD4B5">
          <w:rPr>
            <w:rStyle w:val="Hyperlnk"/>
            <w:color w:val="333333"/>
            <w:sz w:val="24"/>
            <w:szCs w:val="24"/>
            <w:lang w:val="en-US"/>
          </w:rPr>
          <w:t>https://doi.org/10.1093/eurheartj/ehab309</w:t>
        </w:r>
        <w:r w:rsidRPr="00280C5D">
          <w:rPr>
            <w:lang w:val="en-US"/>
          </w:rPr>
          <w:br/>
        </w:r>
      </w:hyperlink>
      <w:r w:rsidRPr="7E0BD4B5">
        <w:rPr>
          <w:color w:val="333333"/>
          <w:sz w:val="24"/>
          <w:szCs w:val="24"/>
          <w:lang w:val="en-US"/>
        </w:rPr>
        <w:t xml:space="preserve"> Published: 13 June 2021</w:t>
      </w:r>
    </w:p>
    <w:p w14:paraId="1A0DE30E" w14:textId="77777777" w:rsidR="00A20158" w:rsidRPr="00214432" w:rsidRDefault="00A20158" w:rsidP="00A20158">
      <w:pPr>
        <w:pStyle w:val="Liststycke"/>
        <w:numPr>
          <w:ilvl w:val="0"/>
          <w:numId w:val="23"/>
        </w:numPr>
        <w:contextualSpacing/>
        <w:rPr>
          <w:sz w:val="24"/>
          <w:szCs w:val="24"/>
        </w:rPr>
      </w:pPr>
      <w:r w:rsidRPr="0DC5D26D">
        <w:rPr>
          <w:rFonts w:cs="Arial"/>
          <w:sz w:val="24"/>
          <w:szCs w:val="24"/>
          <w:lang w:val="en-US"/>
        </w:rPr>
        <w:t xml:space="preserve">2018 ESC/ESH Guidelines for the management of arterial hypertension. </w:t>
      </w:r>
      <w:r w:rsidRPr="0DC5D26D">
        <w:rPr>
          <w:rFonts w:cs="Arial"/>
          <w:sz w:val="24"/>
          <w:szCs w:val="24"/>
        </w:rPr>
        <w:t>European Heart Journal (2018) 39, 3021–3104</w:t>
      </w:r>
    </w:p>
    <w:p w14:paraId="21CC6056" w14:textId="77777777" w:rsidR="00A20158" w:rsidRPr="00214432" w:rsidRDefault="00A20158" w:rsidP="00A20158">
      <w:pPr>
        <w:pStyle w:val="Liststycke"/>
        <w:numPr>
          <w:ilvl w:val="0"/>
          <w:numId w:val="23"/>
        </w:numPr>
        <w:contextualSpacing/>
        <w:rPr>
          <w:rFonts w:cs="Arial"/>
          <w:sz w:val="24"/>
          <w:szCs w:val="24"/>
        </w:rPr>
      </w:pPr>
      <w:r w:rsidRPr="0DC5D26D">
        <w:rPr>
          <w:rFonts w:cs="Arial"/>
          <w:sz w:val="24"/>
          <w:szCs w:val="24"/>
          <w:lang w:val="en-US"/>
        </w:rPr>
        <w:t xml:space="preserve">Olde Engberink RH, Frenkel WJ, van den Bogaard B, Brewster LM, Vogt L, van den Born BJ: Effects of thiazide-type and thiazide-like diuretics on cardiovascular events and mortality: systematic review and meta-analysis. </w:t>
      </w:r>
      <w:r w:rsidRPr="0DC5D26D">
        <w:rPr>
          <w:rFonts w:cs="Arial"/>
          <w:sz w:val="24"/>
          <w:szCs w:val="24"/>
        </w:rPr>
        <w:t>Hypertension 2015, 65(5):1033-1040.</w:t>
      </w:r>
    </w:p>
    <w:p w14:paraId="38988B53" w14:textId="77777777" w:rsidR="00A20158" w:rsidRPr="00214432" w:rsidRDefault="00A20158" w:rsidP="00A20158">
      <w:pPr>
        <w:pStyle w:val="Liststycke"/>
        <w:numPr>
          <w:ilvl w:val="0"/>
          <w:numId w:val="23"/>
        </w:numPr>
        <w:contextualSpacing/>
        <w:rPr>
          <w:rFonts w:cs="Arial"/>
          <w:sz w:val="24"/>
          <w:szCs w:val="24"/>
        </w:rPr>
      </w:pPr>
      <w:hyperlink r:id="rId92">
        <w:r w:rsidRPr="00214432">
          <w:rPr>
            <w:rFonts w:cs="Arial"/>
            <w:sz w:val="24"/>
            <w:szCs w:val="24"/>
          </w:rPr>
          <w:t>https://www.janusinfo.se/behandling/expertradsutlatanden/hjartkarlsjukdomar/hjartkarlsjukdomar/hydroklortiazidfortsattrekommenderattrotsvarningarforhudcancer.5.241cb91b1671ce235df2db2c.html</w:t>
        </w:r>
      </w:hyperlink>
    </w:p>
    <w:p w14:paraId="4F25BEF3" w14:textId="77777777" w:rsidR="00A20158" w:rsidRPr="00214432" w:rsidRDefault="00A20158" w:rsidP="00A20158">
      <w:pPr>
        <w:pStyle w:val="Liststycke"/>
        <w:numPr>
          <w:ilvl w:val="0"/>
          <w:numId w:val="23"/>
        </w:numPr>
        <w:contextualSpacing/>
        <w:rPr>
          <w:rFonts w:cs="Arial"/>
          <w:sz w:val="24"/>
          <w:szCs w:val="24"/>
        </w:rPr>
      </w:pPr>
      <w:r w:rsidRPr="0DC5D26D">
        <w:rPr>
          <w:rFonts w:cs="Arial"/>
          <w:sz w:val="24"/>
          <w:szCs w:val="24"/>
          <w:lang w:val="en-US"/>
        </w:rPr>
        <w:t xml:space="preserve">HOPE Effects of an angiotensin-converting-enzym inhibitor, ramipril on cardiovascular events in high-risk patients (HOPE). </w:t>
      </w:r>
      <w:r w:rsidRPr="0DC5D26D">
        <w:rPr>
          <w:rFonts w:cs="Arial"/>
          <w:sz w:val="24"/>
          <w:szCs w:val="24"/>
        </w:rPr>
        <w:t>The New England Journal of Medicine, volume. 2000;3:145-153.</w:t>
      </w:r>
    </w:p>
    <w:p w14:paraId="761B5B46" w14:textId="77777777" w:rsidR="00A20158" w:rsidRDefault="00A20158" w:rsidP="00A20158">
      <w:pPr>
        <w:pStyle w:val="Liststycke"/>
        <w:numPr>
          <w:ilvl w:val="0"/>
          <w:numId w:val="23"/>
        </w:numPr>
        <w:tabs>
          <w:tab w:val="clear" w:pos="284"/>
        </w:tabs>
        <w:spacing w:after="120" w:line="260" w:lineRule="atLeast"/>
        <w:contextualSpacing/>
        <w:rPr>
          <w:rFonts w:cs="Arial"/>
          <w:sz w:val="24"/>
          <w:szCs w:val="24"/>
          <w:lang w:val="en-US"/>
        </w:rPr>
      </w:pPr>
      <w:r w:rsidRPr="7E0BD4B5">
        <w:rPr>
          <w:rFonts w:cs="Arial"/>
          <w:sz w:val="24"/>
          <w:szCs w:val="24"/>
          <w:lang w:val="en-US"/>
        </w:rPr>
        <w:t>Major outcomes in high-risk hypertensive patients randomized to angiotensin-converting enzyme inhibitor or calcium channel blocker vs diuretic: The Antihypertensive and Lipid-Lowering Treatment to Prevent Heart Attack Trial (ALLHAT).JAMA. 2002;288(23):2981-97</w:t>
      </w:r>
    </w:p>
    <w:p w14:paraId="128974F5" w14:textId="77777777" w:rsidR="00A20158" w:rsidRPr="00532C4E" w:rsidRDefault="00A20158" w:rsidP="00A20158">
      <w:pPr>
        <w:pStyle w:val="Rubrik3"/>
        <w:rPr>
          <w:lang w:val="en-US"/>
        </w:rPr>
      </w:pPr>
      <w:r w:rsidRPr="0DC5D26D">
        <w:rPr>
          <w:lang w:val="en-US"/>
        </w:rPr>
        <w:lastRenderedPageBreak/>
        <w:t>Hjärtsvikt</w:t>
      </w:r>
      <w:r w:rsidRPr="00280C5D">
        <w:rPr>
          <w:lang w:val="en-US"/>
        </w:rPr>
        <w:br/>
      </w:r>
    </w:p>
    <w:p w14:paraId="3E589D77" w14:textId="77777777" w:rsidR="00A20158" w:rsidRPr="00214432" w:rsidRDefault="00A20158" w:rsidP="00A20158">
      <w:pPr>
        <w:rPr>
          <w:rFonts w:ascii="Corbel" w:hAnsi="Corbel" w:cs="Arial"/>
          <w:b/>
          <w:bCs/>
          <w:sz w:val="24"/>
          <w:szCs w:val="24"/>
          <w:lang w:val="en-US"/>
        </w:rPr>
      </w:pPr>
      <w:r w:rsidRPr="0DC5D26D">
        <w:rPr>
          <w:rFonts w:cs="Arial"/>
          <w:b/>
          <w:bCs/>
          <w:sz w:val="24"/>
          <w:szCs w:val="24"/>
          <w:lang w:val="en-US"/>
        </w:rPr>
        <w:t>SOLVD</w:t>
      </w:r>
      <w:r w:rsidRPr="0DC5D26D">
        <w:rPr>
          <w:rFonts w:ascii="Corbel" w:hAnsi="Corbel" w:cs="Arial"/>
          <w:b/>
          <w:bCs/>
          <w:sz w:val="24"/>
          <w:szCs w:val="24"/>
          <w:lang w:val="en-US"/>
        </w:rPr>
        <w:t xml:space="preserve"> </w:t>
      </w:r>
      <w:r w:rsidRPr="0DC5D26D">
        <w:rPr>
          <w:rFonts w:cs="Arial"/>
          <w:sz w:val="24"/>
          <w:szCs w:val="24"/>
          <w:lang w:val="en-US"/>
        </w:rPr>
        <w:t>Effect of enalapril on survival in patients with reduced left ventricular ejection fractions and congestive heart failure. The SOLVD Investigators. N Engl J Med 1991 Aug 1;325(5):293-302.</w:t>
      </w:r>
    </w:p>
    <w:p w14:paraId="689DBC7D" w14:textId="77777777" w:rsidR="00A20158" w:rsidRPr="00214432" w:rsidRDefault="00A20158" w:rsidP="00A20158">
      <w:pPr>
        <w:rPr>
          <w:rFonts w:cs="Arial"/>
          <w:sz w:val="24"/>
          <w:szCs w:val="24"/>
          <w:lang w:val="en-US"/>
        </w:rPr>
      </w:pPr>
    </w:p>
    <w:p w14:paraId="0654F496" w14:textId="77777777" w:rsidR="00A20158" w:rsidRPr="00214432" w:rsidRDefault="00A20158" w:rsidP="00A20158">
      <w:pPr>
        <w:rPr>
          <w:rFonts w:cs="Arial"/>
          <w:b/>
          <w:bCs/>
          <w:sz w:val="24"/>
          <w:szCs w:val="24"/>
          <w:lang w:val="en-US"/>
        </w:rPr>
      </w:pPr>
      <w:r w:rsidRPr="7E0BD4B5">
        <w:rPr>
          <w:rFonts w:cs="Arial"/>
          <w:b/>
          <w:bCs/>
          <w:sz w:val="24"/>
          <w:szCs w:val="24"/>
          <w:lang w:val="en-US"/>
        </w:rPr>
        <w:t xml:space="preserve">AIRE </w:t>
      </w:r>
      <w:r w:rsidRPr="7E0BD4B5">
        <w:rPr>
          <w:rFonts w:cs="Arial"/>
          <w:sz w:val="24"/>
          <w:szCs w:val="24"/>
          <w:lang w:val="en-US"/>
        </w:rPr>
        <w:t>Effect of ramipril on mortality and morbidity of survivors of acute myocardial infarction with clinical evidence of heart failure. The Acute Infarction Ramipril Efficacy (AIRE) Study Investigators. Lancet 1993 Oct 2;342(8875):821-8.</w:t>
      </w:r>
    </w:p>
    <w:p w14:paraId="0437C48F" w14:textId="77777777" w:rsidR="00A20158" w:rsidRPr="00214432" w:rsidRDefault="00A20158" w:rsidP="00A20158">
      <w:pPr>
        <w:rPr>
          <w:rFonts w:asciiTheme="minorHAnsi" w:hAnsiTheme="minorHAnsi" w:cs="Arial"/>
          <w:sz w:val="24"/>
          <w:szCs w:val="24"/>
          <w:lang w:val="en-US"/>
        </w:rPr>
      </w:pPr>
      <w:r w:rsidRPr="0DC5D26D">
        <w:rPr>
          <w:rFonts w:asciiTheme="minorHAnsi" w:hAnsiTheme="minorHAnsi" w:cs="Arial"/>
          <w:sz w:val="24"/>
          <w:szCs w:val="24"/>
          <w:lang w:val="en-US"/>
        </w:rPr>
        <w:t>CIBIS II The Cardiac Insufficiency Bisoprolol Study II (CIBIS-II): a randomised trial. Lancet 1999 Jan 2;353 (9146):9-13.</w:t>
      </w:r>
    </w:p>
    <w:p w14:paraId="6A7C5FEA" w14:textId="77777777" w:rsidR="00A20158" w:rsidRPr="00214432" w:rsidRDefault="00A20158" w:rsidP="00A20158">
      <w:pPr>
        <w:rPr>
          <w:rFonts w:asciiTheme="minorHAnsi" w:hAnsiTheme="minorHAnsi" w:cs="Arial"/>
          <w:sz w:val="24"/>
          <w:szCs w:val="24"/>
          <w:lang w:val="en-US"/>
        </w:rPr>
      </w:pPr>
    </w:p>
    <w:p w14:paraId="4078762A" w14:textId="77777777" w:rsidR="00A20158" w:rsidRPr="00214432" w:rsidRDefault="00A20158" w:rsidP="00A20158">
      <w:pPr>
        <w:rPr>
          <w:rFonts w:asciiTheme="minorHAnsi" w:hAnsiTheme="minorHAnsi" w:cs="Arial"/>
          <w:sz w:val="24"/>
          <w:szCs w:val="24"/>
          <w:lang w:val="en-US"/>
        </w:rPr>
      </w:pPr>
      <w:r w:rsidRPr="0DC5D26D">
        <w:rPr>
          <w:rFonts w:asciiTheme="minorHAnsi" w:hAnsiTheme="minorHAnsi" w:cs="Arial"/>
          <w:sz w:val="24"/>
          <w:szCs w:val="24"/>
          <w:lang w:val="en-US"/>
        </w:rPr>
        <w:t>MERIT HF Hjalmarson A, Goldstein S, Fagerberg B, Wedel H, Waagstein F, Kjekshus J, Wikstrand J, El Allaf D, Vitovec J, Aldershvile J, Hallinen M, Dietz R, Neuhaus KL, Janosi A, Thorgeirsson G, Dunselman PH, Gullestad L, Kuch J, Herlitz J, Rickenbacher P, Ball S, Gottlieb S, Deedwania P. Effects of controlled- release metoprolol on total mortality, hospitalizations, and well-being in patients with heart failure: the Metoprolol CR/XL Randomized Intervention Trial in congestive heart failure (MERIT-HF). MERIT-HF Study Group. JAMA 2000 Mar 8;283(10):1295-302.</w:t>
      </w:r>
    </w:p>
    <w:p w14:paraId="685A0126" w14:textId="77777777" w:rsidR="00A20158" w:rsidRPr="00214432" w:rsidRDefault="00A20158" w:rsidP="00A20158">
      <w:pPr>
        <w:rPr>
          <w:rFonts w:asciiTheme="minorHAnsi" w:hAnsiTheme="minorHAnsi" w:cs="Arial"/>
          <w:sz w:val="24"/>
          <w:szCs w:val="24"/>
          <w:lang w:val="en-US"/>
        </w:rPr>
      </w:pPr>
    </w:p>
    <w:p w14:paraId="5FEAEB1D" w14:textId="77777777" w:rsidR="00A20158" w:rsidRPr="00214432" w:rsidRDefault="00A20158" w:rsidP="00A20158">
      <w:pPr>
        <w:rPr>
          <w:rFonts w:asciiTheme="minorHAnsi" w:hAnsiTheme="minorHAnsi" w:cs="Arial"/>
          <w:sz w:val="24"/>
          <w:szCs w:val="24"/>
          <w:lang w:val="en-US"/>
        </w:rPr>
      </w:pPr>
      <w:r w:rsidRPr="0DC5D26D">
        <w:rPr>
          <w:rFonts w:asciiTheme="minorHAnsi" w:hAnsiTheme="minorHAnsi" w:cs="Arial"/>
          <w:sz w:val="24"/>
          <w:szCs w:val="24"/>
          <w:lang w:val="en-US"/>
        </w:rPr>
        <w:t>COPERNICUS Packer M, Coats AJ, Fowler MB, Katus HA, Krum H, Mohacsi P, Rouleau JL, Tendera M, Castaigne A, Roecker EB, Schultz MK, DeMets DL. Effect of carvedilol on survival in severe chronic heart failure. N Engl J Med 2001 May 31;344(22):1651-8.</w:t>
      </w:r>
    </w:p>
    <w:p w14:paraId="524AAF58" w14:textId="77777777" w:rsidR="00A20158" w:rsidRPr="00214432" w:rsidRDefault="00A20158" w:rsidP="00A20158">
      <w:pPr>
        <w:rPr>
          <w:rFonts w:asciiTheme="minorHAnsi" w:hAnsiTheme="minorHAnsi" w:cs="Arial"/>
          <w:sz w:val="24"/>
          <w:szCs w:val="24"/>
          <w:lang w:val="en-US"/>
        </w:rPr>
      </w:pPr>
    </w:p>
    <w:p w14:paraId="1635ADD2" w14:textId="77777777" w:rsidR="00A20158" w:rsidRPr="00214432" w:rsidRDefault="00A20158" w:rsidP="00A20158">
      <w:pPr>
        <w:rPr>
          <w:rFonts w:asciiTheme="minorHAnsi" w:hAnsiTheme="minorHAnsi" w:cs="Arial"/>
          <w:sz w:val="24"/>
          <w:szCs w:val="24"/>
          <w:lang w:val="en-US"/>
        </w:rPr>
      </w:pPr>
      <w:r w:rsidRPr="0DC5D26D">
        <w:rPr>
          <w:rFonts w:asciiTheme="minorHAnsi" w:hAnsiTheme="minorHAnsi" w:cs="Arial"/>
          <w:sz w:val="24"/>
          <w:szCs w:val="24"/>
          <w:lang w:val="en-US"/>
        </w:rPr>
        <w:t>SHIFT Swedberg K, et al. Ivabradine and outcomes in chronic heart failure (SHIFT): a randomised placebo-controlled study.</w:t>
      </w:r>
    </w:p>
    <w:p w14:paraId="245A0584" w14:textId="77777777" w:rsidR="00A20158" w:rsidRPr="00214432" w:rsidRDefault="00A20158" w:rsidP="00A20158">
      <w:pPr>
        <w:rPr>
          <w:rFonts w:asciiTheme="minorHAnsi" w:hAnsiTheme="minorHAnsi" w:cs="Arial"/>
          <w:sz w:val="24"/>
          <w:szCs w:val="24"/>
          <w:lang w:val="en-US"/>
        </w:rPr>
      </w:pPr>
      <w:r w:rsidRPr="0DC5D26D">
        <w:rPr>
          <w:rFonts w:asciiTheme="minorHAnsi" w:hAnsiTheme="minorHAnsi" w:cs="Arial"/>
          <w:sz w:val="24"/>
          <w:szCs w:val="24"/>
          <w:lang w:val="en-US"/>
        </w:rPr>
        <w:t>Lancet. 2010 Sep 11;376(9744):875-85. doi: 10.1016/S0140-6736(10)61198-1.</w:t>
      </w:r>
    </w:p>
    <w:p w14:paraId="2C926395" w14:textId="77777777" w:rsidR="00A20158" w:rsidRPr="00D35239" w:rsidRDefault="00A20158" w:rsidP="00A20158">
      <w:pPr>
        <w:rPr>
          <w:rFonts w:asciiTheme="minorHAnsi" w:hAnsiTheme="minorHAnsi" w:cs="Arial"/>
          <w:lang w:val="en-US"/>
        </w:rPr>
      </w:pPr>
    </w:p>
    <w:p w14:paraId="070321AD" w14:textId="77777777" w:rsidR="00A20158" w:rsidRPr="00214432" w:rsidRDefault="00A20158" w:rsidP="00A20158">
      <w:pPr>
        <w:rPr>
          <w:rFonts w:asciiTheme="minorHAnsi" w:hAnsiTheme="minorHAnsi" w:cs="Arial"/>
          <w:sz w:val="24"/>
          <w:szCs w:val="24"/>
          <w:lang w:val="en-US"/>
        </w:rPr>
      </w:pPr>
      <w:r w:rsidRPr="0DC5D26D">
        <w:rPr>
          <w:rFonts w:asciiTheme="minorHAnsi" w:hAnsiTheme="minorHAnsi" w:cs="Arial"/>
          <w:sz w:val="24"/>
          <w:szCs w:val="24"/>
          <w:lang w:val="en-US"/>
        </w:rPr>
        <w:t xml:space="preserve">RALES Pitt B, Zannad F, Remme, WJ, Cody R, Castaigne A, Perez A, Palensky J, Wittes J. </w:t>
      </w:r>
      <w:r>
        <w:rPr>
          <w:rFonts w:asciiTheme="minorHAnsi" w:hAnsiTheme="minorHAnsi" w:cs="Arial"/>
          <w:sz w:val="24"/>
          <w:szCs w:val="24"/>
          <w:lang w:val="en-US"/>
        </w:rPr>
        <w:br/>
      </w:r>
      <w:r w:rsidRPr="0DC5D26D">
        <w:rPr>
          <w:rFonts w:asciiTheme="minorHAnsi" w:hAnsiTheme="minorHAnsi" w:cs="Arial"/>
          <w:sz w:val="24"/>
          <w:szCs w:val="24"/>
          <w:lang w:val="en-US"/>
        </w:rPr>
        <w:t>The effect of spironolactone on morbidity and mortality in patients with severe heart failure. Randomized Aldactone Evaluation Study Investigators. N Engl J Med 1999 Sep 2;341(10):709-17.</w:t>
      </w:r>
    </w:p>
    <w:p w14:paraId="1E2F9575" w14:textId="77777777" w:rsidR="00A20158" w:rsidRPr="00214432" w:rsidRDefault="00A20158" w:rsidP="00A20158">
      <w:pPr>
        <w:rPr>
          <w:rFonts w:asciiTheme="minorHAnsi" w:hAnsiTheme="minorHAnsi" w:cs="Arial"/>
          <w:sz w:val="24"/>
          <w:szCs w:val="24"/>
          <w:lang w:val="en-US"/>
        </w:rPr>
      </w:pPr>
    </w:p>
    <w:p w14:paraId="22857868" w14:textId="77777777" w:rsidR="00A20158" w:rsidRPr="00214432" w:rsidRDefault="00A20158" w:rsidP="00A20158">
      <w:pPr>
        <w:rPr>
          <w:rFonts w:asciiTheme="minorHAnsi" w:hAnsiTheme="minorHAnsi" w:cs="Arial"/>
          <w:sz w:val="24"/>
          <w:szCs w:val="24"/>
          <w:lang w:val="en-US"/>
        </w:rPr>
      </w:pPr>
      <w:r w:rsidRPr="0DC5D26D">
        <w:rPr>
          <w:rFonts w:asciiTheme="minorHAnsi" w:hAnsiTheme="minorHAnsi" w:cs="Arial"/>
          <w:sz w:val="24"/>
          <w:szCs w:val="24"/>
          <w:lang w:val="en-US"/>
        </w:rPr>
        <w:t>DIG The effect of digoxin on mortality and morbidity in patients with heart failure. The Digitalis Investigation Group. N Engl J Med 1997 Feb 20;336(8):525-33.</w:t>
      </w:r>
    </w:p>
    <w:p w14:paraId="7568EB85" w14:textId="77777777" w:rsidR="00A20158" w:rsidRPr="00D35239" w:rsidRDefault="00A20158" w:rsidP="00A20158">
      <w:pPr>
        <w:rPr>
          <w:rFonts w:asciiTheme="minorHAnsi" w:hAnsiTheme="minorHAnsi" w:cs="Arial"/>
          <w:lang w:val="en-US"/>
        </w:rPr>
      </w:pPr>
    </w:p>
    <w:p w14:paraId="552040EE" w14:textId="77777777" w:rsidR="00A20158" w:rsidRPr="00D35239" w:rsidRDefault="00A20158" w:rsidP="00A20158">
      <w:pPr>
        <w:rPr>
          <w:rFonts w:asciiTheme="minorHAnsi" w:hAnsiTheme="minorHAnsi" w:cs="Arial"/>
          <w:b/>
          <w:bCs/>
          <w:lang w:val="en-US"/>
        </w:rPr>
      </w:pPr>
      <w:r w:rsidRPr="7E0BD4B5">
        <w:rPr>
          <w:rFonts w:asciiTheme="minorHAnsi" w:hAnsiTheme="minorHAnsi" w:cs="Arial"/>
          <w:b/>
          <w:bCs/>
          <w:lang w:val="en-US"/>
        </w:rPr>
        <w:t>CHARM</w:t>
      </w:r>
    </w:p>
    <w:p w14:paraId="5167CECA" w14:textId="77777777" w:rsidR="00A20158" w:rsidRPr="00214432" w:rsidRDefault="00A20158" w:rsidP="00A20158">
      <w:pPr>
        <w:pStyle w:val="Liststycke"/>
        <w:numPr>
          <w:ilvl w:val="0"/>
          <w:numId w:val="25"/>
        </w:numPr>
        <w:contextualSpacing/>
        <w:rPr>
          <w:rFonts w:asciiTheme="minorHAnsi" w:hAnsiTheme="minorHAnsi" w:cs="Arial"/>
          <w:sz w:val="24"/>
          <w:szCs w:val="24"/>
          <w:lang w:val="en-US"/>
        </w:rPr>
      </w:pPr>
      <w:r w:rsidRPr="7E0BD4B5">
        <w:rPr>
          <w:rFonts w:asciiTheme="minorHAnsi" w:hAnsiTheme="minorHAnsi" w:cs="Arial"/>
          <w:sz w:val="24"/>
          <w:szCs w:val="24"/>
          <w:lang w:val="en-US"/>
        </w:rPr>
        <w:t>Granger CB, McMurray JJV, Yusuf S, et al. Effects of candesartan in patients with chronic heart failure and reduced left ventricular systolic function and intolerant to ACE inhibitors: the CHARM-Alternative Trial. Lancet 2003; 362:772-76</w:t>
      </w:r>
    </w:p>
    <w:p w14:paraId="1674FD8B" w14:textId="77777777" w:rsidR="00A20158" w:rsidRPr="00214432" w:rsidRDefault="00A20158" w:rsidP="00A20158">
      <w:pPr>
        <w:pStyle w:val="Liststycke"/>
        <w:numPr>
          <w:ilvl w:val="0"/>
          <w:numId w:val="25"/>
        </w:numPr>
        <w:contextualSpacing/>
        <w:rPr>
          <w:rFonts w:asciiTheme="minorHAnsi" w:hAnsiTheme="minorHAnsi" w:cs="Arial"/>
          <w:sz w:val="24"/>
          <w:szCs w:val="24"/>
          <w:lang w:val="en-US"/>
        </w:rPr>
      </w:pPr>
      <w:r w:rsidRPr="7E0BD4B5">
        <w:rPr>
          <w:rFonts w:asciiTheme="minorHAnsi" w:hAnsiTheme="minorHAnsi" w:cs="Arial"/>
          <w:sz w:val="24"/>
          <w:szCs w:val="24"/>
        </w:rPr>
        <w:t xml:space="preserve">McMurray JJV, Östergren J, Swedberg K, et al. </w:t>
      </w:r>
      <w:r w:rsidRPr="7E0BD4B5">
        <w:rPr>
          <w:rFonts w:asciiTheme="minorHAnsi" w:hAnsiTheme="minorHAnsi" w:cs="Arial"/>
          <w:sz w:val="24"/>
          <w:szCs w:val="24"/>
          <w:lang w:val="en-US"/>
        </w:rPr>
        <w:t>Effects of candesartan in patients with chronic heart failure and reduced left ventricular systolic function treated with an ACE inhibitor: the CHARM-Added trial. Lancet 2003; 362:767-71</w:t>
      </w:r>
    </w:p>
    <w:p w14:paraId="212F6F07" w14:textId="77777777" w:rsidR="00A20158" w:rsidRPr="00214432" w:rsidRDefault="00A20158" w:rsidP="00A20158">
      <w:pPr>
        <w:pStyle w:val="Liststycke"/>
        <w:numPr>
          <w:ilvl w:val="0"/>
          <w:numId w:val="25"/>
        </w:numPr>
        <w:contextualSpacing/>
        <w:rPr>
          <w:rFonts w:asciiTheme="minorHAnsi" w:hAnsiTheme="minorHAnsi" w:cs="Arial"/>
          <w:sz w:val="24"/>
          <w:szCs w:val="24"/>
          <w:lang w:val="en-US"/>
        </w:rPr>
      </w:pPr>
      <w:r w:rsidRPr="0DC5D26D">
        <w:rPr>
          <w:rFonts w:asciiTheme="minorHAnsi" w:hAnsiTheme="minorHAnsi" w:cs="Arial"/>
          <w:sz w:val="24"/>
          <w:szCs w:val="24"/>
          <w:lang w:val="en-US"/>
        </w:rPr>
        <w:t>Yusuf S, Pfeffer MA, Swedberg K, et al. Effects of candesartan in patients with chronic heart failure and preserved left ventricular systolic function: the CHARM-Preserved Trial. Lancet 2003; 362:777-81.</w:t>
      </w:r>
    </w:p>
    <w:p w14:paraId="33C3157E" w14:textId="77777777" w:rsidR="00A20158" w:rsidRPr="00214432" w:rsidRDefault="00A20158" w:rsidP="00A20158">
      <w:pPr>
        <w:pStyle w:val="Liststycke"/>
        <w:numPr>
          <w:ilvl w:val="0"/>
          <w:numId w:val="25"/>
        </w:numPr>
        <w:contextualSpacing/>
        <w:rPr>
          <w:rFonts w:asciiTheme="minorHAnsi" w:hAnsiTheme="minorHAnsi" w:cs="Arial"/>
          <w:sz w:val="24"/>
          <w:szCs w:val="24"/>
          <w:lang w:val="en-US"/>
        </w:rPr>
      </w:pPr>
      <w:r w:rsidRPr="0DC5D26D">
        <w:rPr>
          <w:rFonts w:asciiTheme="minorHAnsi" w:hAnsiTheme="minorHAnsi" w:cs="Arial"/>
          <w:sz w:val="24"/>
          <w:szCs w:val="24"/>
        </w:rPr>
        <w:lastRenderedPageBreak/>
        <w:t xml:space="preserve">Pfeffer MA, Swedberg K, Granger CB, et al. </w:t>
      </w:r>
      <w:r w:rsidRPr="0DC5D26D">
        <w:rPr>
          <w:rFonts w:asciiTheme="minorHAnsi" w:hAnsiTheme="minorHAnsi" w:cs="Arial"/>
          <w:sz w:val="24"/>
          <w:szCs w:val="24"/>
          <w:lang w:val="en-US"/>
        </w:rPr>
        <w:t>Effects of candesartan on mortality and morbidity in patients with chronic heart failure: the CHARM-Overall Programme. Lancet 2003; 362:759-66</w:t>
      </w:r>
    </w:p>
    <w:p w14:paraId="5E1C5438" w14:textId="77777777" w:rsidR="00A20158" w:rsidRPr="00214432" w:rsidRDefault="00A20158" w:rsidP="00A20158">
      <w:pPr>
        <w:pStyle w:val="Liststycke"/>
        <w:numPr>
          <w:ilvl w:val="0"/>
          <w:numId w:val="25"/>
        </w:numPr>
        <w:contextualSpacing/>
        <w:rPr>
          <w:rFonts w:asciiTheme="minorHAnsi" w:hAnsiTheme="minorHAnsi" w:cs="Arial"/>
          <w:sz w:val="24"/>
          <w:szCs w:val="24"/>
          <w:lang w:val="en-US"/>
        </w:rPr>
      </w:pPr>
      <w:r w:rsidRPr="0DC5D26D">
        <w:rPr>
          <w:rFonts w:asciiTheme="minorHAnsi" w:hAnsiTheme="minorHAnsi" w:cs="Arial"/>
          <w:sz w:val="24"/>
          <w:szCs w:val="24"/>
        </w:rPr>
        <w:t xml:space="preserve">Pfeffer MA, McMurray JJV, Velazquez EJ, et al. </w:t>
      </w:r>
      <w:r w:rsidRPr="0DC5D26D">
        <w:rPr>
          <w:rFonts w:asciiTheme="minorHAnsi" w:hAnsiTheme="minorHAnsi" w:cs="Arial"/>
          <w:sz w:val="24"/>
          <w:szCs w:val="24"/>
          <w:lang w:val="en-US"/>
        </w:rPr>
        <w:t>Valsartan, captopril, or both in myocardial infarction complicated by heart failure, left ventricular dysfunction, or both. N Engl J Med 2003; 349:1893-1906.</w:t>
      </w:r>
    </w:p>
    <w:p w14:paraId="7FD7D330" w14:textId="77777777" w:rsidR="00A20158" w:rsidRPr="00214432" w:rsidRDefault="00A20158" w:rsidP="00A20158">
      <w:pPr>
        <w:rPr>
          <w:rFonts w:asciiTheme="minorHAnsi" w:hAnsiTheme="minorHAnsi" w:cs="Arial"/>
          <w:sz w:val="24"/>
          <w:szCs w:val="24"/>
          <w:lang w:val="en-US"/>
        </w:rPr>
      </w:pPr>
    </w:p>
    <w:p w14:paraId="15CDD964" w14:textId="77777777" w:rsidR="00A20158" w:rsidRPr="00214432" w:rsidRDefault="00A20158" w:rsidP="00A20158">
      <w:pPr>
        <w:rPr>
          <w:rFonts w:asciiTheme="minorHAnsi" w:hAnsiTheme="minorHAnsi" w:cs="Arial"/>
          <w:sz w:val="24"/>
          <w:szCs w:val="24"/>
          <w:lang w:val="en-US"/>
        </w:rPr>
      </w:pPr>
      <w:r w:rsidRPr="0DC5D26D">
        <w:rPr>
          <w:rFonts w:asciiTheme="minorHAnsi" w:hAnsiTheme="minorHAnsi" w:cs="Arial"/>
          <w:sz w:val="24"/>
          <w:szCs w:val="24"/>
          <w:lang w:val="en-US"/>
        </w:rPr>
        <w:t>EPHESUS Eplerenone, a Selective Aldosterone Blocker, in Patients with Left Ventricular Dysfunction after Myocardial Infarction. N Engl J Med 2003; 348:1309-21.</w:t>
      </w:r>
    </w:p>
    <w:p w14:paraId="15199C09" w14:textId="77777777" w:rsidR="00A20158" w:rsidRPr="00214432" w:rsidRDefault="00A20158" w:rsidP="00A20158">
      <w:pPr>
        <w:rPr>
          <w:rFonts w:asciiTheme="minorHAnsi" w:hAnsiTheme="minorHAnsi" w:cs="Arial"/>
          <w:sz w:val="24"/>
          <w:szCs w:val="24"/>
          <w:lang w:val="en-US"/>
        </w:rPr>
      </w:pPr>
    </w:p>
    <w:p w14:paraId="1283BC6B" w14:textId="77777777" w:rsidR="00A20158" w:rsidRPr="00214432" w:rsidRDefault="00A20158" w:rsidP="00A20158">
      <w:pPr>
        <w:rPr>
          <w:rFonts w:asciiTheme="minorHAnsi" w:hAnsiTheme="minorHAnsi" w:cs="Arial"/>
          <w:sz w:val="24"/>
          <w:szCs w:val="24"/>
          <w:lang w:val="en-US"/>
        </w:rPr>
      </w:pPr>
      <w:r w:rsidRPr="0DC5D26D">
        <w:rPr>
          <w:rFonts w:asciiTheme="minorHAnsi" w:hAnsiTheme="minorHAnsi" w:cs="Arial"/>
          <w:sz w:val="24"/>
          <w:szCs w:val="24"/>
          <w:lang w:val="en-US"/>
        </w:rPr>
        <w:t>CONFIRM-HF Beneficial effects of long-term intravenous iron therapy with ferric carboxymaltose in patients with symptomatic heart failure and iron deficiency. Ponikowski P, et al. European Heart Journal Aug 2014, DOI: 10.1093/eurheartj/ehu385</w:t>
      </w:r>
    </w:p>
    <w:p w14:paraId="62E022B8" w14:textId="77777777" w:rsidR="00A20158" w:rsidRPr="00214432" w:rsidRDefault="00A20158" w:rsidP="00A20158">
      <w:pPr>
        <w:rPr>
          <w:rFonts w:asciiTheme="minorHAnsi" w:hAnsiTheme="minorHAnsi" w:cs="Arial"/>
          <w:sz w:val="24"/>
          <w:szCs w:val="24"/>
          <w:lang w:val="en-US"/>
        </w:rPr>
      </w:pPr>
      <w:r w:rsidRPr="0DC5D26D">
        <w:rPr>
          <w:rFonts w:asciiTheme="minorHAnsi" w:hAnsiTheme="minorHAnsi" w:cs="Arial"/>
          <w:sz w:val="24"/>
          <w:szCs w:val="24"/>
          <w:lang w:val="en-US"/>
        </w:rPr>
        <w:t>PARADIGM-HF John J.V. McMurray, M.D. et. Al. Angiotensin–Neprilysin Inhibition versus Enalapril in Heart Failure. N Engl J Med 2014; 371:993-1004</w:t>
      </w:r>
    </w:p>
    <w:p w14:paraId="4BA0E27B" w14:textId="77777777" w:rsidR="00A20158" w:rsidRPr="00214432" w:rsidRDefault="00A20158" w:rsidP="00A20158">
      <w:pPr>
        <w:rPr>
          <w:rFonts w:asciiTheme="minorHAnsi" w:hAnsiTheme="minorHAnsi" w:cs="Arial"/>
          <w:sz w:val="24"/>
          <w:szCs w:val="24"/>
          <w:lang w:val="en-US"/>
        </w:rPr>
      </w:pPr>
      <w:r w:rsidRPr="7E0BD4B5">
        <w:rPr>
          <w:rFonts w:asciiTheme="minorHAnsi" w:hAnsiTheme="minorHAnsi" w:cs="Arial"/>
          <w:sz w:val="24"/>
          <w:szCs w:val="24"/>
          <w:lang w:val="en-US"/>
        </w:rPr>
        <w:t>DOI: 10.1056/NEJMoa1409077</w:t>
      </w:r>
    </w:p>
    <w:p w14:paraId="761D6943" w14:textId="77777777" w:rsidR="00A20158" w:rsidRPr="00D35239" w:rsidRDefault="00A20158" w:rsidP="00A20158">
      <w:pPr>
        <w:rPr>
          <w:rFonts w:asciiTheme="minorHAnsi" w:hAnsiTheme="minorHAnsi" w:cs="Arial"/>
          <w:lang w:val="en-US"/>
        </w:rPr>
      </w:pPr>
    </w:p>
    <w:p w14:paraId="615C34B6" w14:textId="77777777" w:rsidR="00A20158" w:rsidRPr="00214432" w:rsidRDefault="00A20158" w:rsidP="00A20158">
      <w:pPr>
        <w:rPr>
          <w:rFonts w:asciiTheme="minorHAnsi" w:hAnsiTheme="minorHAnsi" w:cs="Arial"/>
          <w:sz w:val="24"/>
          <w:szCs w:val="24"/>
        </w:rPr>
      </w:pPr>
      <w:r w:rsidRPr="0DC5D26D">
        <w:rPr>
          <w:rFonts w:asciiTheme="minorHAnsi" w:hAnsiTheme="minorHAnsi" w:cs="Arial"/>
          <w:sz w:val="24"/>
          <w:szCs w:val="24"/>
          <w:lang w:val="en-US"/>
        </w:rPr>
        <w:t xml:space="preserve">DAPA-HF  McMurray et al. Dapagliflozin in Patients with Heart Failure and Reduced Ejection Fraction. </w:t>
      </w:r>
      <w:r w:rsidRPr="0DC5D26D">
        <w:rPr>
          <w:rFonts w:asciiTheme="minorHAnsi" w:hAnsiTheme="minorHAnsi" w:cs="Arial"/>
          <w:sz w:val="24"/>
          <w:szCs w:val="24"/>
        </w:rPr>
        <w:t>N Engl J Med 2019; 381:1995-2008</w:t>
      </w:r>
    </w:p>
    <w:p w14:paraId="295F103F" w14:textId="77777777" w:rsidR="00A20158" w:rsidRPr="00214432" w:rsidRDefault="00A20158" w:rsidP="00A20158">
      <w:pPr>
        <w:rPr>
          <w:rFonts w:asciiTheme="minorHAnsi" w:hAnsiTheme="minorHAnsi" w:cs="Arial"/>
          <w:sz w:val="24"/>
          <w:szCs w:val="24"/>
        </w:rPr>
      </w:pPr>
    </w:p>
    <w:p w14:paraId="3EFF0A77" w14:textId="77777777" w:rsidR="00A20158" w:rsidRPr="00214432" w:rsidRDefault="00A20158" w:rsidP="00A20158">
      <w:pPr>
        <w:rPr>
          <w:rFonts w:asciiTheme="minorHAnsi" w:hAnsiTheme="minorHAnsi" w:cs="Arial"/>
          <w:sz w:val="24"/>
          <w:szCs w:val="24"/>
        </w:rPr>
      </w:pPr>
      <w:r w:rsidRPr="0DC5D26D">
        <w:rPr>
          <w:rFonts w:asciiTheme="minorHAnsi" w:hAnsiTheme="minorHAnsi" w:cs="Arial"/>
          <w:sz w:val="24"/>
          <w:szCs w:val="24"/>
        </w:rPr>
        <w:t xml:space="preserve">EMPEROR-Reduced Milton Packer et al. </w:t>
      </w:r>
      <w:r w:rsidRPr="0DC5D26D">
        <w:rPr>
          <w:rFonts w:asciiTheme="minorHAnsi" w:hAnsiTheme="minorHAnsi" w:cs="Arial"/>
          <w:sz w:val="24"/>
          <w:szCs w:val="24"/>
          <w:lang w:val="en-US"/>
        </w:rPr>
        <w:t xml:space="preserve">Cardiovascular and Renal Outcomes with Empagliflozin in Heart Failure. </w:t>
      </w:r>
      <w:r w:rsidRPr="0DC5D26D">
        <w:rPr>
          <w:rFonts w:asciiTheme="minorHAnsi" w:hAnsiTheme="minorHAnsi" w:cs="Arial"/>
          <w:sz w:val="24"/>
          <w:szCs w:val="24"/>
        </w:rPr>
        <w:t>N Engl J Med 2020; 383: 1413-1424</w:t>
      </w:r>
    </w:p>
    <w:p w14:paraId="59415F4E" w14:textId="77777777" w:rsidR="00A20158" w:rsidRPr="00214432" w:rsidRDefault="00A20158" w:rsidP="00A20158">
      <w:pPr>
        <w:rPr>
          <w:rFonts w:asciiTheme="minorHAnsi" w:hAnsiTheme="minorHAnsi" w:cs="Arial"/>
          <w:sz w:val="24"/>
          <w:szCs w:val="24"/>
        </w:rPr>
      </w:pPr>
    </w:p>
    <w:p w14:paraId="3BF218A4" w14:textId="77777777" w:rsidR="00A20158" w:rsidRPr="00214432" w:rsidRDefault="00A20158" w:rsidP="00A20158">
      <w:pPr>
        <w:rPr>
          <w:rFonts w:asciiTheme="minorHAnsi" w:hAnsiTheme="minorHAnsi" w:cs="Arial"/>
          <w:sz w:val="24"/>
          <w:szCs w:val="24"/>
          <w:lang w:val="en-US"/>
        </w:rPr>
      </w:pPr>
      <w:r w:rsidRPr="0DC5D26D">
        <w:rPr>
          <w:rFonts w:asciiTheme="minorHAnsi" w:hAnsiTheme="minorHAnsi" w:cs="Arial"/>
          <w:sz w:val="24"/>
          <w:szCs w:val="24"/>
        </w:rPr>
        <w:t xml:space="preserve">EMPEROR-Preserved Anker SD, Butler J, Filippatos G et al.  </w:t>
      </w:r>
      <w:r w:rsidRPr="0DC5D26D">
        <w:rPr>
          <w:rFonts w:asciiTheme="minorHAnsi" w:hAnsiTheme="minorHAnsi" w:cs="Arial"/>
          <w:sz w:val="24"/>
          <w:szCs w:val="24"/>
          <w:lang w:val="en-US"/>
        </w:rPr>
        <w:t>Trial Investigators. Empagliflozin in Heart Failure with a Preserved Ejection Fraction. N Engl J Med 2021. doi:10.1056/NEJMoa2107038.</w:t>
      </w:r>
    </w:p>
    <w:p w14:paraId="51A8153B" w14:textId="77777777" w:rsidR="00A20158" w:rsidRPr="00214432" w:rsidRDefault="00A20158" w:rsidP="00A20158">
      <w:pPr>
        <w:rPr>
          <w:rFonts w:asciiTheme="minorHAnsi" w:hAnsiTheme="minorHAnsi" w:cs="Arial"/>
          <w:sz w:val="24"/>
          <w:szCs w:val="24"/>
          <w:lang w:val="en-US"/>
        </w:rPr>
      </w:pPr>
    </w:p>
    <w:p w14:paraId="3843677A" w14:textId="77777777" w:rsidR="00A20158" w:rsidRPr="00214432" w:rsidRDefault="00A20158" w:rsidP="00A20158">
      <w:pPr>
        <w:rPr>
          <w:rFonts w:asciiTheme="minorHAnsi" w:hAnsiTheme="minorHAnsi" w:cs="Arial"/>
          <w:sz w:val="24"/>
          <w:szCs w:val="24"/>
          <w:lang w:val="en-US"/>
        </w:rPr>
      </w:pPr>
      <w:r w:rsidRPr="0DC5D26D">
        <w:rPr>
          <w:rFonts w:asciiTheme="minorHAnsi" w:hAnsiTheme="minorHAnsi" w:cs="Arial"/>
          <w:sz w:val="24"/>
          <w:szCs w:val="24"/>
          <w:lang w:val="en-US"/>
        </w:rPr>
        <w:t>DELIVER Scott D. Solomon, M.D. et al. Dapagliflozin in Heart Failure with Mildly Reduced or Preserved Ejection Fraction. N Engl J Med 2022; 387:1089-1098</w:t>
      </w:r>
    </w:p>
    <w:p w14:paraId="0CE59481" w14:textId="77777777" w:rsidR="00A20158" w:rsidRPr="00D35239" w:rsidRDefault="00A20158" w:rsidP="00A20158">
      <w:pPr>
        <w:rPr>
          <w:rFonts w:asciiTheme="minorHAnsi" w:hAnsiTheme="minorHAnsi"/>
          <w:b/>
          <w:bCs/>
          <w:lang w:val="en-US"/>
        </w:rPr>
      </w:pPr>
      <w:r w:rsidRPr="7E0BD4B5">
        <w:rPr>
          <w:rFonts w:asciiTheme="minorHAnsi" w:hAnsiTheme="minorHAnsi" w:cs="Arial"/>
          <w:sz w:val="24"/>
          <w:szCs w:val="24"/>
          <w:lang w:val="en-US"/>
        </w:rPr>
        <w:t>DOI: 10.1056/NEJMoa2206286</w:t>
      </w:r>
    </w:p>
    <w:p w14:paraId="5E7EE2E4" w14:textId="77777777" w:rsidR="00A20158" w:rsidRPr="00BA15F9" w:rsidRDefault="00A20158" w:rsidP="00A20158">
      <w:pPr>
        <w:pStyle w:val="Rubrik3"/>
        <w:rPr>
          <w:lang w:val="en-US"/>
        </w:rPr>
      </w:pPr>
      <w:r w:rsidRPr="0DC5D26D">
        <w:rPr>
          <w:lang w:val="en-US"/>
        </w:rPr>
        <w:t>Akuta koronara syndrom</w:t>
      </w:r>
      <w:r w:rsidRPr="003B75B6">
        <w:rPr>
          <w:lang w:val="en-US"/>
        </w:rPr>
        <w:br/>
      </w:r>
    </w:p>
    <w:p w14:paraId="44D3305A" w14:textId="77777777" w:rsidR="00A20158" w:rsidRPr="00214432" w:rsidRDefault="00A20158" w:rsidP="00A20158">
      <w:pPr>
        <w:numPr>
          <w:ilvl w:val="0"/>
          <w:numId w:val="21"/>
        </w:numPr>
        <w:tabs>
          <w:tab w:val="clear" w:pos="284"/>
        </w:tabs>
        <w:spacing w:line="240" w:lineRule="auto"/>
        <w:rPr>
          <w:rFonts w:asciiTheme="minorHAnsi" w:hAnsiTheme="minorHAnsi" w:cs="Arial"/>
          <w:sz w:val="24"/>
          <w:szCs w:val="24"/>
          <w:lang w:val="en-US"/>
        </w:rPr>
      </w:pPr>
      <w:r w:rsidRPr="0DC5D26D">
        <w:rPr>
          <w:rFonts w:asciiTheme="minorHAnsi" w:hAnsiTheme="minorHAnsi" w:cs="Arial"/>
          <w:sz w:val="24"/>
          <w:szCs w:val="24"/>
          <w:lang w:val="en-US"/>
        </w:rPr>
        <w:t>The CAPRICORN investigators. Effect of carvedilol on outcome after myocardial infarction in patients with left-ventricular dysfunction: the CAPRICORN randomised trial. Lancet 2001; 357:1385-90.</w:t>
      </w:r>
    </w:p>
    <w:p w14:paraId="74F2B945" w14:textId="77777777" w:rsidR="00A20158" w:rsidRPr="00214432" w:rsidRDefault="00A20158" w:rsidP="00A20158">
      <w:pPr>
        <w:numPr>
          <w:ilvl w:val="0"/>
          <w:numId w:val="21"/>
        </w:numPr>
        <w:tabs>
          <w:tab w:val="clear" w:pos="284"/>
        </w:tabs>
        <w:spacing w:line="240" w:lineRule="auto"/>
        <w:rPr>
          <w:rFonts w:asciiTheme="minorHAnsi" w:hAnsiTheme="minorHAnsi" w:cs="Arial"/>
          <w:sz w:val="24"/>
          <w:szCs w:val="24"/>
          <w:lang w:val="en-US"/>
        </w:rPr>
      </w:pPr>
      <w:r w:rsidRPr="7E0BD4B5">
        <w:rPr>
          <w:rFonts w:asciiTheme="minorHAnsi" w:hAnsiTheme="minorHAnsi" w:cs="Arial"/>
          <w:sz w:val="24"/>
          <w:szCs w:val="24"/>
          <w:lang w:val="en-US"/>
        </w:rPr>
        <w:t>CIBIS-II Investigators and Committees. The Cardiac insufficiency bisoprolol study II (CIBIS-II: a randomized trial. Lancet 1999; 353:9-13.</w:t>
      </w:r>
    </w:p>
    <w:p w14:paraId="1EBA7E56" w14:textId="77777777" w:rsidR="00A20158" w:rsidRPr="00214432" w:rsidRDefault="00A20158" w:rsidP="00A20158">
      <w:pPr>
        <w:numPr>
          <w:ilvl w:val="0"/>
          <w:numId w:val="21"/>
        </w:numPr>
        <w:tabs>
          <w:tab w:val="clear" w:pos="284"/>
        </w:tabs>
        <w:spacing w:line="240" w:lineRule="auto"/>
        <w:rPr>
          <w:rFonts w:asciiTheme="minorHAnsi" w:hAnsiTheme="minorHAnsi" w:cs="Arial"/>
          <w:sz w:val="24"/>
          <w:szCs w:val="24"/>
          <w:lang w:val="en-US"/>
        </w:rPr>
      </w:pPr>
      <w:r w:rsidRPr="0DC5D26D">
        <w:rPr>
          <w:rFonts w:asciiTheme="minorHAnsi" w:hAnsiTheme="minorHAnsi" w:cs="Arial"/>
          <w:sz w:val="24"/>
          <w:szCs w:val="24"/>
          <w:lang w:val="en-US"/>
        </w:rPr>
        <w:t>Packer M, et al. Effect of carvedilol on survival in severe chronic heart failure. N Eng J Med 2001; 344:1651-58.</w:t>
      </w:r>
    </w:p>
    <w:p w14:paraId="738D5CDD" w14:textId="77777777" w:rsidR="00A20158" w:rsidRPr="00214432" w:rsidRDefault="00A20158" w:rsidP="00A20158">
      <w:pPr>
        <w:numPr>
          <w:ilvl w:val="0"/>
          <w:numId w:val="21"/>
        </w:numPr>
        <w:tabs>
          <w:tab w:val="clear" w:pos="284"/>
        </w:tabs>
        <w:spacing w:line="240" w:lineRule="auto"/>
        <w:rPr>
          <w:rFonts w:asciiTheme="minorHAnsi" w:hAnsiTheme="minorHAnsi" w:cs="Arial"/>
          <w:sz w:val="24"/>
          <w:szCs w:val="24"/>
          <w:lang w:val="en-US"/>
        </w:rPr>
      </w:pPr>
      <w:r w:rsidRPr="0DC5D26D">
        <w:rPr>
          <w:rFonts w:asciiTheme="minorHAnsi" w:hAnsiTheme="minorHAnsi" w:cs="Arial"/>
          <w:sz w:val="24"/>
          <w:szCs w:val="24"/>
          <w:lang w:val="en-US"/>
        </w:rPr>
        <w:t>MERIT-HF study group. Effect of metoprolol CR/XL in chronic heart failure: Metoprolol CR/XL randomised intervention trial in congestive heart failure (MERIT-HF). Lancet 1999;2001-07.</w:t>
      </w:r>
    </w:p>
    <w:p w14:paraId="11309043" w14:textId="77777777" w:rsidR="00A20158" w:rsidRPr="00214432" w:rsidRDefault="00A20158" w:rsidP="00A20158">
      <w:pPr>
        <w:numPr>
          <w:ilvl w:val="0"/>
          <w:numId w:val="21"/>
        </w:numPr>
        <w:tabs>
          <w:tab w:val="clear" w:pos="284"/>
        </w:tabs>
        <w:spacing w:line="240" w:lineRule="auto"/>
        <w:rPr>
          <w:rFonts w:asciiTheme="minorHAnsi" w:hAnsiTheme="minorHAnsi" w:cs="Arial"/>
          <w:sz w:val="24"/>
          <w:szCs w:val="24"/>
          <w:lang w:val="en-US"/>
        </w:rPr>
      </w:pPr>
      <w:r w:rsidRPr="0DC5D26D">
        <w:rPr>
          <w:rFonts w:asciiTheme="minorHAnsi" w:hAnsiTheme="minorHAnsi" w:cs="Arial"/>
          <w:sz w:val="24"/>
          <w:szCs w:val="24"/>
        </w:rPr>
        <w:t xml:space="preserve">Pfeffer M.A, et al. </w:t>
      </w:r>
      <w:r w:rsidRPr="0DC5D26D">
        <w:rPr>
          <w:rFonts w:asciiTheme="minorHAnsi" w:hAnsiTheme="minorHAnsi" w:cs="Arial"/>
          <w:sz w:val="24"/>
          <w:szCs w:val="24"/>
          <w:lang w:val="en-US"/>
        </w:rPr>
        <w:t>Effect of captopril on mortality and morbidity in patients with left ventricular dysfunction after myocardial infarction. N Eng Med 1992; 327:669-77.</w:t>
      </w:r>
    </w:p>
    <w:p w14:paraId="0F1B0521" w14:textId="77777777" w:rsidR="00A20158" w:rsidRPr="00214432" w:rsidRDefault="00A20158" w:rsidP="00A20158">
      <w:pPr>
        <w:numPr>
          <w:ilvl w:val="0"/>
          <w:numId w:val="21"/>
        </w:numPr>
        <w:tabs>
          <w:tab w:val="clear" w:pos="284"/>
        </w:tabs>
        <w:spacing w:line="240" w:lineRule="auto"/>
        <w:rPr>
          <w:rFonts w:asciiTheme="minorHAnsi" w:hAnsiTheme="minorHAnsi" w:cs="Arial"/>
          <w:sz w:val="24"/>
          <w:szCs w:val="24"/>
          <w:lang w:val="en-US"/>
        </w:rPr>
      </w:pPr>
      <w:r w:rsidRPr="0DC5D26D">
        <w:rPr>
          <w:rFonts w:asciiTheme="minorHAnsi" w:hAnsiTheme="minorHAnsi" w:cs="Arial"/>
          <w:sz w:val="24"/>
          <w:szCs w:val="24"/>
          <w:lang w:val="en-US"/>
        </w:rPr>
        <w:lastRenderedPageBreak/>
        <w:t>The SOLVD investigators. Effects of enalapril on survival in patients with reduced left ventricular ejection fractions and congestive heart failure, SOLVD, N Eng Med 1991; 325:293-302.</w:t>
      </w:r>
    </w:p>
    <w:p w14:paraId="1AA06B9A" w14:textId="77777777" w:rsidR="00A20158" w:rsidRPr="00214432" w:rsidRDefault="00A20158" w:rsidP="00A20158">
      <w:pPr>
        <w:numPr>
          <w:ilvl w:val="0"/>
          <w:numId w:val="21"/>
        </w:numPr>
        <w:tabs>
          <w:tab w:val="clear" w:pos="284"/>
        </w:tabs>
        <w:spacing w:line="240" w:lineRule="auto"/>
        <w:rPr>
          <w:rFonts w:asciiTheme="minorHAnsi" w:hAnsiTheme="minorHAnsi" w:cs="Arial"/>
          <w:sz w:val="24"/>
          <w:szCs w:val="24"/>
          <w:lang w:val="en-US"/>
        </w:rPr>
      </w:pPr>
      <w:r w:rsidRPr="0DC5D26D">
        <w:rPr>
          <w:rFonts w:asciiTheme="minorHAnsi" w:hAnsiTheme="minorHAnsi" w:cs="Arial"/>
          <w:sz w:val="24"/>
          <w:szCs w:val="24"/>
        </w:rPr>
        <w:t xml:space="preserve">Granger C.B, et al. </w:t>
      </w:r>
      <w:r w:rsidRPr="0DC5D26D">
        <w:rPr>
          <w:rFonts w:asciiTheme="minorHAnsi" w:hAnsiTheme="minorHAnsi" w:cs="Arial"/>
          <w:sz w:val="24"/>
          <w:szCs w:val="24"/>
          <w:lang w:val="en-US"/>
        </w:rPr>
        <w:t>Effects of candesartan in patients with chronic heart failure and reduced left-ventricular systolic function intolerant to angiotensin-converting-enzyme inhibitors: the CHARM-Alternative trial. Lancet 2003; 362:772-776.</w:t>
      </w:r>
    </w:p>
    <w:p w14:paraId="174CB7A8" w14:textId="77777777" w:rsidR="00A20158" w:rsidRPr="00214432" w:rsidRDefault="00A20158" w:rsidP="00A20158">
      <w:pPr>
        <w:numPr>
          <w:ilvl w:val="0"/>
          <w:numId w:val="21"/>
        </w:numPr>
        <w:tabs>
          <w:tab w:val="clear" w:pos="284"/>
        </w:tabs>
        <w:spacing w:line="240" w:lineRule="auto"/>
        <w:rPr>
          <w:rFonts w:asciiTheme="minorHAnsi" w:hAnsiTheme="minorHAnsi" w:cs="Arial"/>
          <w:sz w:val="24"/>
          <w:szCs w:val="24"/>
          <w:lang w:val="en-US"/>
        </w:rPr>
      </w:pPr>
      <w:r w:rsidRPr="0DC5D26D">
        <w:rPr>
          <w:rFonts w:asciiTheme="minorHAnsi" w:hAnsiTheme="minorHAnsi" w:cs="Arial"/>
          <w:sz w:val="24"/>
          <w:szCs w:val="24"/>
        </w:rPr>
        <w:t xml:space="preserve">Pfeffer M.A, et al. </w:t>
      </w:r>
      <w:r w:rsidRPr="0DC5D26D">
        <w:rPr>
          <w:rFonts w:asciiTheme="minorHAnsi" w:hAnsiTheme="minorHAnsi" w:cs="Arial"/>
          <w:sz w:val="24"/>
          <w:szCs w:val="24"/>
          <w:lang w:val="en-US"/>
        </w:rPr>
        <w:t>Valsartan, Captopril or both in myocardial infarction complicated by heart failure, left ventricular dysfunction or both. N Eng Med 2003; 349:1893-1906</w:t>
      </w:r>
    </w:p>
    <w:p w14:paraId="752E7129" w14:textId="77777777" w:rsidR="00A20158" w:rsidRPr="00214432" w:rsidRDefault="00A20158" w:rsidP="00A20158">
      <w:pPr>
        <w:numPr>
          <w:ilvl w:val="0"/>
          <w:numId w:val="21"/>
        </w:numPr>
        <w:tabs>
          <w:tab w:val="clear" w:pos="284"/>
        </w:tabs>
        <w:spacing w:line="240" w:lineRule="auto"/>
        <w:rPr>
          <w:rFonts w:asciiTheme="minorHAnsi" w:hAnsiTheme="minorHAnsi" w:cs="Arial"/>
          <w:sz w:val="24"/>
          <w:szCs w:val="24"/>
          <w:lang w:val="en-US"/>
        </w:rPr>
      </w:pPr>
      <w:r w:rsidRPr="0DC5D26D">
        <w:rPr>
          <w:rFonts w:asciiTheme="minorHAnsi" w:hAnsiTheme="minorHAnsi" w:cs="Arial"/>
          <w:sz w:val="24"/>
          <w:szCs w:val="24"/>
          <w:lang w:val="en-US"/>
        </w:rPr>
        <w:t>Wallentin L, et al. Ticagrelor versus clopidogrel in patients with acute coronary syndromes. N Eng Med 2009; 361:1045-57.</w:t>
      </w:r>
    </w:p>
    <w:p w14:paraId="11B81687" w14:textId="77777777" w:rsidR="00A20158" w:rsidRPr="00214432" w:rsidRDefault="00A20158" w:rsidP="00A20158">
      <w:pPr>
        <w:numPr>
          <w:ilvl w:val="0"/>
          <w:numId w:val="21"/>
        </w:numPr>
        <w:tabs>
          <w:tab w:val="clear" w:pos="284"/>
        </w:tabs>
        <w:spacing w:line="240" w:lineRule="auto"/>
        <w:rPr>
          <w:rFonts w:asciiTheme="minorHAnsi" w:hAnsiTheme="minorHAnsi" w:cs="Arial"/>
          <w:sz w:val="24"/>
          <w:szCs w:val="24"/>
          <w:lang w:val="en-US"/>
        </w:rPr>
      </w:pPr>
      <w:r w:rsidRPr="0DC5D26D">
        <w:rPr>
          <w:rFonts w:asciiTheme="minorHAnsi" w:hAnsiTheme="minorHAnsi" w:cs="Arial"/>
          <w:sz w:val="24"/>
          <w:szCs w:val="24"/>
          <w:lang w:val="en-US"/>
        </w:rPr>
        <w:t>Lindholm D, et al. Ticargrelor vs clopidogrel in patients with non-ST-elevation acute coronary syndrome with or without revascularization: results from the PLATO trial. Eur Heart J 2014; 35:2083-2093</w:t>
      </w:r>
    </w:p>
    <w:p w14:paraId="5E44EA6B" w14:textId="77777777" w:rsidR="00A20158" w:rsidRPr="00214432" w:rsidRDefault="00A20158" w:rsidP="00A20158">
      <w:pPr>
        <w:numPr>
          <w:ilvl w:val="0"/>
          <w:numId w:val="21"/>
        </w:numPr>
        <w:tabs>
          <w:tab w:val="clear" w:pos="284"/>
        </w:tabs>
        <w:spacing w:line="240" w:lineRule="auto"/>
        <w:rPr>
          <w:rFonts w:asciiTheme="minorHAnsi" w:hAnsiTheme="minorHAnsi" w:cs="Arial"/>
          <w:sz w:val="24"/>
          <w:szCs w:val="24"/>
          <w:lang w:val="en-US"/>
        </w:rPr>
      </w:pPr>
      <w:r w:rsidRPr="0DC5D26D">
        <w:rPr>
          <w:rFonts w:asciiTheme="minorHAnsi" w:hAnsiTheme="minorHAnsi" w:cs="Arial"/>
          <w:sz w:val="24"/>
          <w:szCs w:val="24"/>
          <w:lang w:val="en-US"/>
        </w:rPr>
        <w:t>Bonaca M.P, et al. Long-term use of ticagrelor in patients with prior myocardial infarction, Pegasus. N Engl Med 2015,372: 1791-1800</w:t>
      </w:r>
    </w:p>
    <w:p w14:paraId="14E1FF9D" w14:textId="77777777" w:rsidR="00A20158" w:rsidRDefault="00A20158" w:rsidP="00A20158">
      <w:pPr>
        <w:numPr>
          <w:ilvl w:val="0"/>
          <w:numId w:val="21"/>
        </w:numPr>
        <w:tabs>
          <w:tab w:val="clear" w:pos="284"/>
        </w:tabs>
        <w:spacing w:line="240" w:lineRule="auto"/>
        <w:rPr>
          <w:rFonts w:asciiTheme="minorHAnsi" w:hAnsiTheme="minorHAnsi" w:cs="Arial"/>
          <w:sz w:val="24"/>
          <w:szCs w:val="24"/>
          <w:lang w:val="en-US"/>
        </w:rPr>
      </w:pPr>
      <w:r w:rsidRPr="00006EDD">
        <w:rPr>
          <w:rFonts w:asciiTheme="minorHAnsi" w:hAnsiTheme="minorHAnsi" w:cs="Arial"/>
          <w:sz w:val="24"/>
          <w:szCs w:val="24"/>
          <w:lang w:val="en-US"/>
        </w:rPr>
        <w:t xml:space="preserve">Taylor et al. Circulation, 2004.  </w:t>
      </w:r>
    </w:p>
    <w:p w14:paraId="3D17DD5D" w14:textId="77777777" w:rsidR="00A20158" w:rsidRPr="00006EDD" w:rsidRDefault="00A20158" w:rsidP="00A20158">
      <w:pPr>
        <w:numPr>
          <w:ilvl w:val="0"/>
          <w:numId w:val="21"/>
        </w:numPr>
        <w:tabs>
          <w:tab w:val="clear" w:pos="284"/>
        </w:tabs>
        <w:spacing w:line="240" w:lineRule="auto"/>
        <w:rPr>
          <w:rFonts w:asciiTheme="minorHAnsi" w:hAnsiTheme="minorHAnsi" w:cs="Arial"/>
          <w:sz w:val="24"/>
          <w:szCs w:val="24"/>
          <w:lang w:val="en-US"/>
        </w:rPr>
      </w:pPr>
      <w:r w:rsidRPr="00006EDD">
        <w:rPr>
          <w:rFonts w:asciiTheme="minorHAnsi" w:hAnsiTheme="minorHAnsi" w:cs="Arial"/>
          <w:sz w:val="24"/>
          <w:szCs w:val="24"/>
          <w:lang w:val="en-US"/>
        </w:rPr>
        <w:t>Herhan et al. Cochrane review 2011</w:t>
      </w:r>
    </w:p>
    <w:p w14:paraId="5793FC85" w14:textId="77777777" w:rsidR="00A20158" w:rsidRPr="001B00D9" w:rsidRDefault="00A20158" w:rsidP="00A20158">
      <w:pPr>
        <w:tabs>
          <w:tab w:val="clear" w:pos="284"/>
        </w:tabs>
        <w:spacing w:line="240" w:lineRule="auto"/>
        <w:ind w:left="360"/>
        <w:rPr>
          <w:rFonts w:ascii="Corbel" w:eastAsia="Corbel" w:hAnsi="Corbel" w:cs="Corbel"/>
          <w:sz w:val="24"/>
          <w:szCs w:val="24"/>
          <w:lang w:val="en-US"/>
        </w:rPr>
      </w:pPr>
    </w:p>
    <w:p w14:paraId="634B5BF2" w14:textId="77777777" w:rsidR="00A20158" w:rsidRPr="00214432" w:rsidRDefault="00A20158" w:rsidP="00A20158">
      <w:pPr>
        <w:tabs>
          <w:tab w:val="clear" w:pos="284"/>
        </w:tabs>
        <w:spacing w:line="240" w:lineRule="auto"/>
        <w:rPr>
          <w:rFonts w:asciiTheme="majorHAnsi" w:eastAsiaTheme="majorEastAsia" w:hAnsiTheme="majorHAnsi" w:cstheme="majorBidi"/>
          <w:b/>
          <w:bCs/>
          <w:sz w:val="28"/>
          <w:szCs w:val="28"/>
        </w:rPr>
      </w:pPr>
      <w:r w:rsidRPr="0DC5D26D">
        <w:rPr>
          <w:rFonts w:asciiTheme="majorHAnsi" w:eastAsiaTheme="majorEastAsia" w:hAnsiTheme="majorHAnsi" w:cstheme="majorBidi"/>
          <w:b/>
          <w:bCs/>
          <w:sz w:val="28"/>
          <w:szCs w:val="28"/>
        </w:rPr>
        <w:t>Hyperkolesterolemi</w:t>
      </w:r>
    </w:p>
    <w:p w14:paraId="5D1346C0" w14:textId="77777777" w:rsidR="00A20158" w:rsidRPr="00214432" w:rsidRDefault="00A20158" w:rsidP="00A20158">
      <w:pPr>
        <w:tabs>
          <w:tab w:val="clear" w:pos="284"/>
        </w:tabs>
        <w:spacing w:line="240" w:lineRule="auto"/>
        <w:rPr>
          <w:rFonts w:ascii="Corbel" w:eastAsia="Corbel" w:hAnsi="Corbel" w:cs="Corbel"/>
          <w:sz w:val="24"/>
          <w:szCs w:val="24"/>
        </w:rPr>
      </w:pPr>
    </w:p>
    <w:p w14:paraId="478E2CE9" w14:textId="77777777" w:rsidR="00A20158" w:rsidRPr="00214432" w:rsidRDefault="00A20158" w:rsidP="00A20158">
      <w:pPr>
        <w:tabs>
          <w:tab w:val="clear" w:pos="284"/>
        </w:tabs>
        <w:spacing w:line="240" w:lineRule="auto"/>
        <w:rPr>
          <w:rFonts w:asciiTheme="minorHAnsi" w:eastAsiaTheme="minorEastAsia" w:hAnsiTheme="minorHAnsi"/>
          <w:sz w:val="24"/>
          <w:szCs w:val="24"/>
        </w:rPr>
      </w:pPr>
      <w:r w:rsidRPr="2269F901">
        <w:rPr>
          <w:rFonts w:asciiTheme="minorHAnsi" w:eastAsiaTheme="minorEastAsia" w:hAnsiTheme="minorHAnsi"/>
          <w:sz w:val="24"/>
          <w:szCs w:val="24"/>
        </w:rPr>
        <w:t xml:space="preserve">Referenser </w:t>
      </w:r>
    </w:p>
    <w:p w14:paraId="345DB578" w14:textId="77777777" w:rsidR="00A20158" w:rsidRPr="00214432" w:rsidRDefault="00A20158" w:rsidP="00A20158">
      <w:pPr>
        <w:pStyle w:val="Liststycke"/>
        <w:numPr>
          <w:ilvl w:val="0"/>
          <w:numId w:val="22"/>
        </w:numPr>
        <w:tabs>
          <w:tab w:val="clear" w:pos="284"/>
        </w:tabs>
        <w:spacing w:line="240" w:lineRule="auto"/>
        <w:ind w:left="0"/>
        <w:rPr>
          <w:sz w:val="24"/>
          <w:szCs w:val="24"/>
          <w:lang w:val="en-US"/>
        </w:rPr>
      </w:pPr>
      <w:r w:rsidRPr="2269F901">
        <w:rPr>
          <w:rFonts w:asciiTheme="minorHAnsi" w:eastAsiaTheme="minorEastAsia" w:hAnsiTheme="minorHAnsi"/>
          <w:sz w:val="24"/>
          <w:szCs w:val="24"/>
          <w:lang w:val="en-US"/>
        </w:rPr>
        <w:t xml:space="preserve">Low-density lipoproteins cause atherosclerotic cardiovascular disease. </w:t>
      </w:r>
      <w:r w:rsidRPr="00280C5D">
        <w:rPr>
          <w:lang w:val="en-US"/>
        </w:rPr>
        <w:br/>
      </w:r>
      <w:r w:rsidRPr="2269F901">
        <w:rPr>
          <w:rFonts w:asciiTheme="minorHAnsi" w:eastAsiaTheme="minorEastAsia" w:hAnsiTheme="minorHAnsi"/>
          <w:sz w:val="24"/>
          <w:szCs w:val="24"/>
          <w:lang w:val="en-US"/>
        </w:rPr>
        <w:t xml:space="preserve">Evidence from genetic, epidemiologic, and clinical studies. </w:t>
      </w:r>
      <w:r w:rsidRPr="00280C5D">
        <w:rPr>
          <w:lang w:val="en-US"/>
        </w:rPr>
        <w:br/>
      </w:r>
      <w:r w:rsidRPr="2269F901">
        <w:rPr>
          <w:rFonts w:asciiTheme="minorHAnsi" w:eastAsiaTheme="minorEastAsia" w:hAnsiTheme="minorHAnsi"/>
          <w:sz w:val="24"/>
          <w:szCs w:val="24"/>
          <w:lang w:val="en-US"/>
        </w:rPr>
        <w:t xml:space="preserve">A consensus statement from the European Atherosclerosis Society Consensus Panel. </w:t>
      </w:r>
    </w:p>
    <w:p w14:paraId="0A0799BC" w14:textId="77777777" w:rsidR="00A20158" w:rsidRPr="00214432" w:rsidRDefault="00A20158" w:rsidP="00A20158">
      <w:pPr>
        <w:tabs>
          <w:tab w:val="clear" w:pos="284"/>
        </w:tabs>
        <w:spacing w:line="240" w:lineRule="auto"/>
        <w:ind w:left="360" w:firstLine="360"/>
        <w:rPr>
          <w:rFonts w:asciiTheme="minorHAnsi" w:eastAsiaTheme="minorEastAsia" w:hAnsiTheme="minorHAnsi"/>
          <w:sz w:val="24"/>
          <w:szCs w:val="24"/>
          <w:lang w:val="en-US"/>
        </w:rPr>
      </w:pPr>
      <w:r w:rsidRPr="0DC5D26D">
        <w:rPr>
          <w:rFonts w:asciiTheme="minorHAnsi" w:eastAsiaTheme="minorEastAsia" w:hAnsiTheme="minorHAnsi"/>
          <w:sz w:val="24"/>
          <w:szCs w:val="24"/>
          <w:lang w:val="en-US"/>
        </w:rPr>
        <w:t>Ference BA, Ginsberg HN et. al</w:t>
      </w:r>
    </w:p>
    <w:p w14:paraId="60A16C4E" w14:textId="77777777" w:rsidR="00A20158" w:rsidRPr="00214432" w:rsidRDefault="00A20158" w:rsidP="00A20158">
      <w:pPr>
        <w:tabs>
          <w:tab w:val="clear" w:pos="284"/>
        </w:tabs>
        <w:spacing w:line="240" w:lineRule="auto"/>
        <w:ind w:left="360" w:firstLine="360"/>
        <w:rPr>
          <w:rFonts w:asciiTheme="minorHAnsi" w:eastAsiaTheme="minorEastAsia" w:hAnsiTheme="minorHAnsi"/>
          <w:sz w:val="24"/>
          <w:szCs w:val="24"/>
        </w:rPr>
      </w:pPr>
      <w:r w:rsidRPr="0DC5D26D">
        <w:rPr>
          <w:rFonts w:asciiTheme="minorHAnsi" w:eastAsiaTheme="minorEastAsia" w:hAnsiTheme="minorHAnsi"/>
          <w:sz w:val="24"/>
          <w:szCs w:val="24"/>
        </w:rPr>
        <w:t>Eur Heart J. 2017;38:2459-72.</w:t>
      </w:r>
    </w:p>
    <w:p w14:paraId="2BC4D038" w14:textId="77777777" w:rsidR="00A20158" w:rsidRPr="00214432" w:rsidRDefault="00A20158" w:rsidP="00A20158">
      <w:pPr>
        <w:tabs>
          <w:tab w:val="clear" w:pos="284"/>
        </w:tabs>
        <w:spacing w:line="240" w:lineRule="auto"/>
        <w:rPr>
          <w:rFonts w:asciiTheme="minorHAnsi" w:eastAsiaTheme="minorEastAsia" w:hAnsiTheme="minorHAnsi"/>
          <w:sz w:val="24"/>
          <w:szCs w:val="24"/>
        </w:rPr>
      </w:pPr>
      <w:r w:rsidRPr="2269F901">
        <w:rPr>
          <w:rFonts w:asciiTheme="minorHAnsi" w:eastAsiaTheme="minorEastAsia" w:hAnsiTheme="minorHAnsi"/>
          <w:sz w:val="24"/>
          <w:szCs w:val="24"/>
        </w:rPr>
        <w:t xml:space="preserve"> </w:t>
      </w:r>
    </w:p>
    <w:p w14:paraId="3874ACB1" w14:textId="77777777" w:rsidR="00A20158" w:rsidRPr="00214432" w:rsidRDefault="00A20158" w:rsidP="00A20158">
      <w:pPr>
        <w:pStyle w:val="Liststycke"/>
        <w:numPr>
          <w:ilvl w:val="0"/>
          <w:numId w:val="22"/>
        </w:numPr>
        <w:tabs>
          <w:tab w:val="clear" w:pos="284"/>
        </w:tabs>
        <w:spacing w:line="240" w:lineRule="auto"/>
        <w:ind w:left="0"/>
        <w:rPr>
          <w:sz w:val="24"/>
          <w:szCs w:val="24"/>
          <w:lang w:val="en-US"/>
        </w:rPr>
      </w:pPr>
      <w:r w:rsidRPr="2269F901">
        <w:rPr>
          <w:rFonts w:asciiTheme="minorHAnsi" w:eastAsiaTheme="minorEastAsia" w:hAnsiTheme="minorHAnsi"/>
          <w:sz w:val="24"/>
          <w:szCs w:val="24"/>
          <w:lang w:val="en-US"/>
        </w:rPr>
        <w:t xml:space="preserve">Adherence and Persistence Among Statin Users Aged 65 Years and Over: </w:t>
      </w:r>
      <w:r w:rsidRPr="00280C5D">
        <w:rPr>
          <w:lang w:val="en-US"/>
        </w:rPr>
        <w:br/>
      </w:r>
      <w:r w:rsidRPr="2269F901">
        <w:rPr>
          <w:rFonts w:asciiTheme="minorHAnsi" w:eastAsiaTheme="minorEastAsia" w:hAnsiTheme="minorHAnsi"/>
          <w:sz w:val="24"/>
          <w:szCs w:val="24"/>
          <w:lang w:val="en-US"/>
        </w:rPr>
        <w:t xml:space="preserve">A Systematic Review and Meta-analysis </w:t>
      </w:r>
    </w:p>
    <w:p w14:paraId="6F11CC8D" w14:textId="77777777" w:rsidR="00A20158" w:rsidRPr="00214432" w:rsidRDefault="00A20158" w:rsidP="00A20158">
      <w:pPr>
        <w:tabs>
          <w:tab w:val="clear" w:pos="284"/>
        </w:tabs>
        <w:spacing w:line="240" w:lineRule="auto"/>
        <w:rPr>
          <w:rFonts w:asciiTheme="minorHAnsi" w:eastAsiaTheme="minorEastAsia" w:hAnsiTheme="minorHAnsi"/>
          <w:sz w:val="24"/>
          <w:szCs w:val="24"/>
          <w:lang w:val="en-US"/>
        </w:rPr>
      </w:pPr>
      <w:r w:rsidRPr="0DC5D26D">
        <w:rPr>
          <w:rFonts w:asciiTheme="minorHAnsi" w:eastAsiaTheme="minorEastAsia" w:hAnsiTheme="minorHAnsi"/>
          <w:sz w:val="24"/>
          <w:szCs w:val="24"/>
          <w:lang w:val="en-US"/>
        </w:rPr>
        <w:t>Richard Ofori-Asenso, BPharm, MSc et. al</w:t>
      </w:r>
    </w:p>
    <w:p w14:paraId="18E13DA7" w14:textId="77777777" w:rsidR="00A20158" w:rsidRPr="00280C5D" w:rsidRDefault="00A20158" w:rsidP="00A20158">
      <w:pPr>
        <w:tabs>
          <w:tab w:val="clear" w:pos="284"/>
        </w:tabs>
        <w:spacing w:line="240" w:lineRule="auto"/>
        <w:ind w:left="720"/>
        <w:rPr>
          <w:rFonts w:asciiTheme="minorHAnsi" w:eastAsiaTheme="minorEastAsia" w:hAnsiTheme="minorHAnsi"/>
          <w:sz w:val="24"/>
          <w:szCs w:val="24"/>
          <w:lang w:val="en-US"/>
        </w:rPr>
      </w:pPr>
      <w:r w:rsidRPr="2269F901">
        <w:rPr>
          <w:rFonts w:asciiTheme="minorHAnsi" w:eastAsiaTheme="minorEastAsia" w:hAnsiTheme="minorHAnsi"/>
          <w:sz w:val="24"/>
          <w:szCs w:val="24"/>
          <w:lang w:val="en-US"/>
        </w:rPr>
        <w:t xml:space="preserve">The Journals of Gerontology: Series A, Volume 73, Issue 6, June 2018, Pages 813–819, </w:t>
      </w:r>
      <w:r w:rsidRPr="00280C5D">
        <w:rPr>
          <w:lang w:val="en-US"/>
        </w:rPr>
        <w:br/>
      </w:r>
      <w:hyperlink r:id="rId93">
        <w:r w:rsidRPr="2269F901">
          <w:rPr>
            <w:rStyle w:val="Hyperlnk"/>
            <w:rFonts w:asciiTheme="minorHAnsi" w:eastAsiaTheme="minorEastAsia" w:hAnsiTheme="minorHAnsi"/>
            <w:sz w:val="24"/>
            <w:szCs w:val="24"/>
            <w:lang w:val="en-US"/>
          </w:rPr>
          <w:t>https://doi.org/10.1093/gerona/glx169</w:t>
        </w:r>
      </w:hyperlink>
    </w:p>
    <w:p w14:paraId="1406F009" w14:textId="77777777" w:rsidR="00A20158" w:rsidRPr="00214432" w:rsidRDefault="00A20158" w:rsidP="00A20158">
      <w:pPr>
        <w:tabs>
          <w:tab w:val="clear" w:pos="284"/>
        </w:tabs>
        <w:spacing w:line="240" w:lineRule="auto"/>
        <w:rPr>
          <w:rFonts w:asciiTheme="minorHAnsi" w:eastAsiaTheme="minorEastAsia" w:hAnsiTheme="minorHAnsi"/>
          <w:sz w:val="24"/>
          <w:szCs w:val="24"/>
          <w:lang w:val="en-US"/>
        </w:rPr>
      </w:pPr>
      <w:r w:rsidRPr="2269F901">
        <w:rPr>
          <w:rFonts w:asciiTheme="minorHAnsi" w:eastAsiaTheme="minorEastAsia" w:hAnsiTheme="minorHAnsi"/>
          <w:sz w:val="24"/>
          <w:szCs w:val="24"/>
          <w:lang w:val="en-US"/>
        </w:rPr>
        <w:t xml:space="preserve"> </w:t>
      </w:r>
    </w:p>
    <w:p w14:paraId="69333DDE" w14:textId="77777777" w:rsidR="00A20158" w:rsidRPr="00214432" w:rsidRDefault="00A20158" w:rsidP="00A20158">
      <w:pPr>
        <w:pStyle w:val="Liststycke"/>
        <w:numPr>
          <w:ilvl w:val="0"/>
          <w:numId w:val="22"/>
        </w:numPr>
        <w:tabs>
          <w:tab w:val="clear" w:pos="284"/>
        </w:tabs>
        <w:spacing w:line="240" w:lineRule="auto"/>
        <w:ind w:left="0"/>
        <w:rPr>
          <w:sz w:val="24"/>
          <w:szCs w:val="24"/>
          <w:lang w:val="en-US"/>
        </w:rPr>
      </w:pPr>
      <w:r w:rsidRPr="2269F901">
        <w:rPr>
          <w:rFonts w:asciiTheme="minorHAnsi" w:eastAsiaTheme="minorEastAsia" w:hAnsiTheme="minorHAnsi"/>
          <w:sz w:val="24"/>
          <w:szCs w:val="24"/>
          <w:lang w:val="en-US"/>
        </w:rPr>
        <w:t xml:space="preserve">The Projected Impact of Population-Wide Achievement of LDL Cholesterol &lt;70 mg/dL on the </w:t>
      </w:r>
      <w:r w:rsidRPr="00280C5D">
        <w:rPr>
          <w:lang w:val="en-US"/>
        </w:rPr>
        <w:br/>
      </w:r>
      <w:r w:rsidRPr="2269F901">
        <w:rPr>
          <w:rFonts w:asciiTheme="minorHAnsi" w:eastAsiaTheme="minorEastAsia" w:hAnsiTheme="minorHAnsi"/>
          <w:sz w:val="24"/>
          <w:szCs w:val="24"/>
          <w:lang w:val="en-US"/>
        </w:rPr>
        <w:t>Number of Recurrent Events Among US Adults with ASCVD</w:t>
      </w:r>
    </w:p>
    <w:p w14:paraId="6DD95B1E" w14:textId="77777777" w:rsidR="00A20158" w:rsidRPr="00214432" w:rsidRDefault="00A20158" w:rsidP="00A20158">
      <w:pPr>
        <w:tabs>
          <w:tab w:val="clear" w:pos="284"/>
        </w:tabs>
        <w:spacing w:line="240" w:lineRule="auto"/>
        <w:ind w:left="360" w:firstLine="360"/>
        <w:rPr>
          <w:rFonts w:asciiTheme="minorHAnsi" w:eastAsiaTheme="minorEastAsia" w:hAnsiTheme="minorHAnsi"/>
          <w:sz w:val="24"/>
          <w:szCs w:val="24"/>
          <w:lang w:val="en-US"/>
        </w:rPr>
      </w:pPr>
      <w:r w:rsidRPr="2269F901">
        <w:rPr>
          <w:rFonts w:asciiTheme="minorHAnsi" w:eastAsiaTheme="minorEastAsia" w:hAnsiTheme="minorHAnsi"/>
          <w:sz w:val="24"/>
          <w:szCs w:val="24"/>
          <w:lang w:val="en-US"/>
        </w:rPr>
        <w:t>Emily C McKinley et. al.</w:t>
      </w:r>
    </w:p>
    <w:p w14:paraId="46897633" w14:textId="77777777" w:rsidR="00A20158" w:rsidRPr="00214432" w:rsidRDefault="00A20158" w:rsidP="00A20158">
      <w:pPr>
        <w:tabs>
          <w:tab w:val="clear" w:pos="284"/>
        </w:tabs>
        <w:spacing w:line="240" w:lineRule="auto"/>
        <w:ind w:left="360" w:firstLine="360"/>
        <w:rPr>
          <w:rFonts w:asciiTheme="minorHAnsi" w:eastAsiaTheme="minorEastAsia" w:hAnsiTheme="minorHAnsi"/>
          <w:sz w:val="24"/>
          <w:szCs w:val="24"/>
          <w:lang w:val="en-US"/>
        </w:rPr>
      </w:pPr>
      <w:r w:rsidRPr="0DC5D26D">
        <w:rPr>
          <w:rFonts w:asciiTheme="minorHAnsi" w:eastAsiaTheme="minorEastAsia" w:hAnsiTheme="minorHAnsi"/>
          <w:sz w:val="24"/>
          <w:szCs w:val="24"/>
          <w:lang w:val="en-US"/>
        </w:rPr>
        <w:t>Cardiovasc Drugs Ther. 2021 Oct 2. doi: 10.1007/s10557-021-07268-x</w:t>
      </w:r>
    </w:p>
    <w:p w14:paraId="22885660" w14:textId="77777777" w:rsidR="00A20158" w:rsidRPr="00214432" w:rsidRDefault="00A20158" w:rsidP="00A20158">
      <w:pPr>
        <w:tabs>
          <w:tab w:val="clear" w:pos="284"/>
        </w:tabs>
        <w:spacing w:line="240" w:lineRule="auto"/>
        <w:rPr>
          <w:rFonts w:asciiTheme="minorHAnsi" w:eastAsiaTheme="minorEastAsia" w:hAnsiTheme="minorHAnsi"/>
          <w:sz w:val="24"/>
          <w:szCs w:val="24"/>
          <w:lang w:val="en-US"/>
        </w:rPr>
      </w:pPr>
      <w:r w:rsidRPr="2269F901">
        <w:rPr>
          <w:rFonts w:asciiTheme="minorHAnsi" w:eastAsiaTheme="minorEastAsia" w:hAnsiTheme="minorHAnsi"/>
          <w:sz w:val="24"/>
          <w:szCs w:val="24"/>
          <w:lang w:val="en-US"/>
        </w:rPr>
        <w:t xml:space="preserve"> </w:t>
      </w:r>
    </w:p>
    <w:p w14:paraId="63665E2A" w14:textId="77777777" w:rsidR="00A20158" w:rsidRPr="00214432" w:rsidRDefault="00A20158" w:rsidP="00A20158">
      <w:pPr>
        <w:pStyle w:val="Liststycke"/>
        <w:numPr>
          <w:ilvl w:val="0"/>
          <w:numId w:val="22"/>
        </w:numPr>
        <w:tabs>
          <w:tab w:val="clear" w:pos="284"/>
        </w:tabs>
        <w:spacing w:line="240" w:lineRule="auto"/>
        <w:ind w:left="0"/>
        <w:rPr>
          <w:sz w:val="24"/>
          <w:szCs w:val="24"/>
          <w:lang w:val="en-US"/>
        </w:rPr>
      </w:pPr>
      <w:r w:rsidRPr="2269F901">
        <w:rPr>
          <w:rFonts w:asciiTheme="minorHAnsi" w:eastAsiaTheme="minorEastAsia" w:hAnsiTheme="minorHAnsi"/>
          <w:sz w:val="24"/>
          <w:szCs w:val="24"/>
          <w:lang w:val="en-US"/>
        </w:rPr>
        <w:t xml:space="preserve">Adherence to lipid-lowering guidelines for secondary prevention and potential reduction in </w:t>
      </w:r>
      <w:r w:rsidRPr="00280C5D">
        <w:rPr>
          <w:lang w:val="en-US"/>
        </w:rPr>
        <w:br/>
      </w:r>
      <w:r w:rsidRPr="2269F901">
        <w:rPr>
          <w:rFonts w:asciiTheme="minorHAnsi" w:eastAsiaTheme="minorEastAsia" w:hAnsiTheme="minorHAnsi"/>
          <w:sz w:val="24"/>
          <w:szCs w:val="24"/>
          <w:lang w:val="en-US"/>
        </w:rPr>
        <w:t>CVD events in Swedish primary care: a cross-sectional study</w:t>
      </w:r>
    </w:p>
    <w:p w14:paraId="6937616C" w14:textId="77777777" w:rsidR="00A20158" w:rsidRPr="00214432" w:rsidRDefault="00A20158" w:rsidP="00A20158">
      <w:pPr>
        <w:tabs>
          <w:tab w:val="clear" w:pos="284"/>
        </w:tabs>
        <w:spacing w:line="240" w:lineRule="auto"/>
        <w:ind w:left="360" w:firstLine="360"/>
        <w:rPr>
          <w:rFonts w:asciiTheme="minorHAnsi" w:eastAsiaTheme="minorEastAsia" w:hAnsiTheme="minorHAnsi"/>
          <w:sz w:val="24"/>
          <w:szCs w:val="24"/>
          <w:lang w:val="en-US"/>
        </w:rPr>
      </w:pPr>
      <w:r w:rsidRPr="0DC5D26D">
        <w:rPr>
          <w:rFonts w:asciiTheme="minorHAnsi" w:eastAsiaTheme="minorEastAsia" w:hAnsiTheme="minorHAnsi"/>
          <w:sz w:val="24"/>
          <w:szCs w:val="24"/>
        </w:rPr>
        <w:t>Helena Ödesjö et.</w:t>
      </w:r>
      <w:r w:rsidRPr="0DC5D26D">
        <w:rPr>
          <w:rFonts w:asciiTheme="minorHAnsi" w:eastAsiaTheme="minorEastAsia" w:hAnsiTheme="minorHAnsi"/>
          <w:sz w:val="24"/>
          <w:szCs w:val="24"/>
          <w:lang w:val="en-US"/>
        </w:rPr>
        <w:t xml:space="preserve"> al.                                                      </w:t>
      </w:r>
    </w:p>
    <w:p w14:paraId="0CA16938" w14:textId="77777777" w:rsidR="00A20158" w:rsidRPr="00214432" w:rsidRDefault="00A20158" w:rsidP="00A20158">
      <w:pPr>
        <w:tabs>
          <w:tab w:val="clear" w:pos="284"/>
        </w:tabs>
        <w:spacing w:line="240" w:lineRule="auto"/>
        <w:rPr>
          <w:rFonts w:asciiTheme="minorHAnsi" w:eastAsiaTheme="minorEastAsia" w:hAnsiTheme="minorHAnsi"/>
          <w:sz w:val="24"/>
          <w:szCs w:val="24"/>
          <w:lang w:val="en-US"/>
        </w:rPr>
      </w:pPr>
      <w:r w:rsidRPr="0DC5D26D">
        <w:rPr>
          <w:rFonts w:asciiTheme="minorHAnsi" w:eastAsiaTheme="minorEastAsia" w:hAnsiTheme="minorHAnsi"/>
          <w:sz w:val="24"/>
          <w:szCs w:val="24"/>
          <w:lang w:val="en-US"/>
        </w:rPr>
        <w:t xml:space="preserve">              BMJ Open. 2020 Oct 10;10(10):e036920. doi: 10.1136/bmjopen-2020-036920</w:t>
      </w:r>
    </w:p>
    <w:p w14:paraId="274E3BEC" w14:textId="77777777" w:rsidR="00A20158" w:rsidRPr="00214432" w:rsidRDefault="00A20158" w:rsidP="00A20158">
      <w:pPr>
        <w:tabs>
          <w:tab w:val="clear" w:pos="284"/>
        </w:tabs>
        <w:spacing w:line="240" w:lineRule="auto"/>
        <w:rPr>
          <w:rFonts w:asciiTheme="minorHAnsi" w:eastAsiaTheme="minorEastAsia" w:hAnsiTheme="minorHAnsi"/>
          <w:sz w:val="24"/>
          <w:szCs w:val="24"/>
          <w:lang w:val="en-US"/>
        </w:rPr>
      </w:pPr>
      <w:r w:rsidRPr="2269F901">
        <w:rPr>
          <w:rFonts w:asciiTheme="minorHAnsi" w:eastAsiaTheme="minorEastAsia" w:hAnsiTheme="minorHAnsi"/>
          <w:sz w:val="24"/>
          <w:szCs w:val="24"/>
          <w:lang w:val="en-US"/>
        </w:rPr>
        <w:t xml:space="preserve"> </w:t>
      </w:r>
    </w:p>
    <w:p w14:paraId="7F5D9782" w14:textId="77777777" w:rsidR="00A20158" w:rsidRPr="00006EDD" w:rsidRDefault="00A20158" w:rsidP="00A20158">
      <w:pPr>
        <w:pStyle w:val="Liststycke"/>
        <w:numPr>
          <w:ilvl w:val="0"/>
          <w:numId w:val="22"/>
        </w:numPr>
        <w:tabs>
          <w:tab w:val="clear" w:pos="284"/>
        </w:tabs>
        <w:spacing w:line="240" w:lineRule="auto"/>
        <w:ind w:left="360" w:firstLine="360"/>
        <w:rPr>
          <w:rFonts w:asciiTheme="minorHAnsi" w:eastAsiaTheme="minorEastAsia" w:hAnsiTheme="minorHAnsi"/>
          <w:sz w:val="24"/>
          <w:szCs w:val="24"/>
          <w:lang w:val="en-US"/>
        </w:rPr>
      </w:pPr>
      <w:r w:rsidRPr="00006EDD">
        <w:rPr>
          <w:rFonts w:asciiTheme="minorHAnsi" w:eastAsiaTheme="minorEastAsia" w:hAnsiTheme="minorHAnsi"/>
          <w:sz w:val="24"/>
          <w:szCs w:val="24"/>
          <w:lang w:val="en-US"/>
        </w:rPr>
        <w:t xml:space="preserve">2021 ESC Guidelines on cardiovascular disease prevention in clinical practice: Developed by the Task Force for cardiovascular disease prevention in clinical </w:t>
      </w:r>
      <w:r w:rsidRPr="00006EDD">
        <w:rPr>
          <w:lang w:val="en-US"/>
        </w:rPr>
        <w:br/>
      </w:r>
      <w:r w:rsidRPr="00006EDD">
        <w:rPr>
          <w:rFonts w:asciiTheme="minorHAnsi" w:eastAsiaTheme="minorEastAsia" w:hAnsiTheme="minorHAnsi"/>
          <w:sz w:val="24"/>
          <w:szCs w:val="24"/>
          <w:lang w:val="en-US"/>
        </w:rPr>
        <w:t xml:space="preserve">practice with representatives of the European Society of Cardiology and 12 medical societies With the special contribution of the European </w:t>
      </w:r>
      <w:r w:rsidRPr="00006EDD">
        <w:rPr>
          <w:lang w:val="en-US"/>
        </w:rPr>
        <w:br/>
      </w:r>
      <w:r w:rsidRPr="00006EDD">
        <w:rPr>
          <w:rFonts w:asciiTheme="minorHAnsi" w:eastAsiaTheme="minorEastAsia" w:hAnsiTheme="minorHAnsi"/>
          <w:sz w:val="24"/>
          <w:szCs w:val="24"/>
          <w:lang w:val="en-US"/>
        </w:rPr>
        <w:t>Association of Preventive Cardiology (EAPC)European Heart Journal, Volume 42, Issue 34, 7 September 2021, Pages 3227–3337</w:t>
      </w:r>
    </w:p>
    <w:p w14:paraId="448A6112" w14:textId="77777777" w:rsidR="00A20158" w:rsidRPr="00D35239" w:rsidRDefault="00A20158" w:rsidP="00A20158">
      <w:pPr>
        <w:pStyle w:val="Rubrik3"/>
      </w:pPr>
      <w:r>
        <w:lastRenderedPageBreak/>
        <w:t>Tromboemboliprofylax vid förmaksflimmer</w:t>
      </w:r>
      <w:r>
        <w:br/>
      </w:r>
    </w:p>
    <w:p w14:paraId="0BBAB959" w14:textId="77777777" w:rsidR="00A20158" w:rsidRPr="00214432" w:rsidRDefault="00A20158" w:rsidP="00A20158">
      <w:pPr>
        <w:numPr>
          <w:ilvl w:val="0"/>
          <w:numId w:val="26"/>
        </w:numPr>
        <w:tabs>
          <w:tab w:val="clear" w:pos="284"/>
        </w:tabs>
        <w:spacing w:line="240" w:lineRule="auto"/>
        <w:rPr>
          <w:rFonts w:asciiTheme="minorHAnsi" w:hAnsiTheme="minorHAnsi" w:cs="Arial"/>
          <w:sz w:val="24"/>
          <w:szCs w:val="24"/>
        </w:rPr>
      </w:pPr>
      <w:r w:rsidRPr="0DC5D26D">
        <w:rPr>
          <w:rFonts w:asciiTheme="minorHAnsi" w:hAnsiTheme="minorHAnsi" w:cs="Arial"/>
          <w:sz w:val="24"/>
          <w:szCs w:val="24"/>
        </w:rPr>
        <w:t xml:space="preserve">Giugliano R.P, et al. </w:t>
      </w:r>
      <w:r w:rsidRPr="0DC5D26D">
        <w:rPr>
          <w:rFonts w:asciiTheme="minorHAnsi" w:hAnsiTheme="minorHAnsi" w:cs="Arial"/>
          <w:sz w:val="24"/>
          <w:szCs w:val="24"/>
          <w:lang w:val="en-US"/>
        </w:rPr>
        <w:t xml:space="preserve">Edoxaban versus warfarin in patients with artrial fibrillation, ENGAGE AF-TIMI 48. </w:t>
      </w:r>
      <w:r w:rsidRPr="0DC5D26D">
        <w:rPr>
          <w:rFonts w:asciiTheme="minorHAnsi" w:hAnsiTheme="minorHAnsi" w:cs="Arial"/>
          <w:sz w:val="24"/>
          <w:szCs w:val="24"/>
        </w:rPr>
        <w:t xml:space="preserve">N Eng Med 2013; 369:2093-2104. </w:t>
      </w:r>
    </w:p>
    <w:p w14:paraId="15653B97" w14:textId="77777777" w:rsidR="00A20158" w:rsidRDefault="00A20158" w:rsidP="00A20158">
      <w:pPr>
        <w:rPr>
          <w:rFonts w:asciiTheme="minorHAnsi" w:hAnsiTheme="minorHAnsi" w:cs="Arial"/>
          <w:sz w:val="24"/>
          <w:szCs w:val="24"/>
          <w:lang w:val="en-US"/>
        </w:rPr>
      </w:pPr>
      <w:r w:rsidRPr="0DC5D26D">
        <w:rPr>
          <w:rFonts w:asciiTheme="minorHAnsi" w:hAnsiTheme="minorHAnsi" w:cs="Arial"/>
          <w:sz w:val="24"/>
          <w:szCs w:val="24"/>
          <w:lang w:val="en-US"/>
        </w:rPr>
        <w:t>Christopher P Cannon et al. Dual Antithormbotic Therapy with Dabigatran after PCI in Atrial Fibrillation. August 2017 NEJM.org . DOI:10.1056/NEJMoal1708454</w:t>
      </w:r>
    </w:p>
    <w:p w14:paraId="67ABC26E" w14:textId="77777777" w:rsidR="00A20158" w:rsidRDefault="00A20158" w:rsidP="00A20158">
      <w:pPr>
        <w:rPr>
          <w:rFonts w:asciiTheme="minorHAnsi" w:hAnsiTheme="minorHAnsi" w:cs="Arial"/>
          <w:sz w:val="24"/>
          <w:szCs w:val="24"/>
          <w:lang w:val="en-US"/>
        </w:rPr>
      </w:pPr>
    </w:p>
    <w:p w14:paraId="434EE71A" w14:textId="77777777" w:rsidR="00A20158" w:rsidRDefault="00A20158" w:rsidP="00A20158">
      <w:pPr>
        <w:pStyle w:val="Liststycke"/>
        <w:numPr>
          <w:ilvl w:val="0"/>
          <w:numId w:val="26"/>
        </w:numPr>
        <w:rPr>
          <w:rStyle w:val="Hyperlnk"/>
          <w:lang w:val="en-US"/>
        </w:rPr>
      </w:pPr>
      <w:r w:rsidRPr="00280C5D">
        <w:rPr>
          <w:lang w:val="en-US"/>
        </w:rPr>
        <w:t xml:space="preserve">Linda P.T. Joosten, et al </w:t>
      </w:r>
      <w:hyperlink r:id="rId94">
        <w:r w:rsidRPr="00280C5D">
          <w:rPr>
            <w:rStyle w:val="Hyperlnk"/>
            <w:lang w:val="en-US"/>
          </w:rPr>
          <w:t>Safety of Switching from a Vitamin K Antagonist to a Non-Vitamin K Antagonist Oral Anticoagulant in Frail Older Patients with Atrial Fibrillation: Results of the FRAIL-AF Randomized Controlled Trial | Circulation (ahajournals.org)</w:t>
        </w:r>
      </w:hyperlink>
    </w:p>
    <w:p w14:paraId="4504B4ED" w14:textId="77777777" w:rsidR="00A20158" w:rsidRPr="00471F0E" w:rsidRDefault="00A20158" w:rsidP="00A20158">
      <w:pPr>
        <w:tabs>
          <w:tab w:val="clear" w:pos="284"/>
        </w:tabs>
        <w:spacing w:after="120" w:line="260" w:lineRule="atLeast"/>
        <w:rPr>
          <w:u w:val="single"/>
          <w:lang w:val="en-US"/>
        </w:rPr>
      </w:pPr>
      <w:r>
        <w:rPr>
          <w:rStyle w:val="Hyperlnk"/>
          <w:lang w:val="en-US"/>
        </w:rPr>
        <w:br w:type="page"/>
      </w:r>
    </w:p>
    <w:p w14:paraId="6403B281" w14:textId="77777777" w:rsidR="00702564" w:rsidRDefault="00702564" w:rsidP="00702564">
      <w:pPr>
        <w:pStyle w:val="Rubrik1"/>
      </w:pPr>
      <w:bookmarkStart w:id="90" w:name="_Hlk100739259"/>
      <w:bookmarkStart w:id="91" w:name="_Toc164686707"/>
      <w:bookmarkEnd w:id="90"/>
      <w:r>
        <w:lastRenderedPageBreak/>
        <w:t xml:space="preserve">Hudsjukdomar </w:t>
      </w:r>
    </w:p>
    <w:p w14:paraId="7CE3F9E4" w14:textId="77777777" w:rsidR="00702564" w:rsidRDefault="00702564" w:rsidP="00702564"/>
    <w:p w14:paraId="50F6A9C5" w14:textId="77777777" w:rsidR="00702564" w:rsidRPr="0071138D" w:rsidRDefault="00702564" w:rsidP="00702564">
      <w:pPr>
        <w:rPr>
          <w:rFonts w:cs="Arial"/>
          <w:i/>
          <w:szCs w:val="24"/>
        </w:rPr>
      </w:pPr>
      <w:r w:rsidRPr="00D015A6">
        <w:rPr>
          <w:rFonts w:ascii="Corbel" w:hAnsi="Corbel" w:cs="Arial"/>
          <w:b/>
          <w:bCs/>
          <w:iCs/>
          <w:szCs w:val="24"/>
        </w:rPr>
        <w:t xml:space="preserve">Senast uppdaterad </w:t>
      </w:r>
      <w:r>
        <w:rPr>
          <w:rFonts w:ascii="Corbel" w:hAnsi="Corbel" w:cs="Arial"/>
          <w:b/>
          <w:bCs/>
          <w:iCs/>
          <w:szCs w:val="24"/>
        </w:rPr>
        <w:t>2026-03-24</w:t>
      </w:r>
    </w:p>
    <w:p w14:paraId="21DBD3D8" w14:textId="77777777" w:rsidR="00702564" w:rsidRPr="0071138D" w:rsidRDefault="00702564" w:rsidP="00702564">
      <w:pPr>
        <w:pStyle w:val="Rubrik2"/>
      </w:pPr>
      <w:r w:rsidRPr="0071138D">
        <w:t>Terapigruppsmedlemmar</w:t>
      </w:r>
      <w:r>
        <w:t xml:space="preserve">  </w:t>
      </w:r>
    </w:p>
    <w:p w14:paraId="095AC0D1" w14:textId="77777777" w:rsidR="00702564" w:rsidRPr="005A0EFA" w:rsidRDefault="00702564" w:rsidP="00702564">
      <w:pPr>
        <w:rPr>
          <w:rFonts w:cs="Arial"/>
          <w:sz w:val="24"/>
          <w:szCs w:val="24"/>
        </w:rPr>
      </w:pPr>
      <w:r>
        <w:rPr>
          <w:rFonts w:cs="Arial"/>
          <w:sz w:val="24"/>
          <w:szCs w:val="24"/>
        </w:rPr>
        <w:t>Hanna Wickström, familjeläkare, Sårcentrum, Sölvesborg vårdcentral</w:t>
      </w:r>
    </w:p>
    <w:p w14:paraId="79A3C001" w14:textId="77777777" w:rsidR="00702564" w:rsidRPr="005A0EFA" w:rsidRDefault="00702564" w:rsidP="00702564">
      <w:pPr>
        <w:rPr>
          <w:rFonts w:cs="Arial"/>
          <w:sz w:val="24"/>
          <w:szCs w:val="24"/>
        </w:rPr>
      </w:pPr>
      <w:r>
        <w:rPr>
          <w:rFonts w:cs="Arial"/>
          <w:sz w:val="24"/>
          <w:szCs w:val="24"/>
        </w:rPr>
        <w:t>Gustaf Hultman, ST-läkare, infektion- och hudkliniken</w:t>
      </w:r>
      <w:r>
        <w:rPr>
          <w:rFonts w:cs="Arial"/>
          <w:sz w:val="24"/>
          <w:szCs w:val="24"/>
        </w:rPr>
        <w:br/>
        <w:t>Fanny Holmgren, farmaceut, Läkemedelsenheten</w:t>
      </w:r>
    </w:p>
    <w:p w14:paraId="1A09DB67" w14:textId="77777777" w:rsidR="00702564" w:rsidRPr="0071138D" w:rsidRDefault="00702564" w:rsidP="00702564">
      <w:pPr>
        <w:rPr>
          <w:rFonts w:cs="Arial"/>
          <w:b/>
          <w:szCs w:val="24"/>
        </w:rPr>
      </w:pPr>
    </w:p>
    <w:p w14:paraId="0732CDC5" w14:textId="77777777" w:rsidR="00702564" w:rsidRDefault="00702564" w:rsidP="00702564">
      <w:pPr>
        <w:rPr>
          <w:rFonts w:cs="Arial"/>
          <w:sz w:val="24"/>
          <w:szCs w:val="24"/>
        </w:rPr>
      </w:pPr>
      <w:r w:rsidRPr="00B5104B">
        <w:rPr>
          <w:rFonts w:cs="Arial"/>
          <w:bCs/>
          <w:sz w:val="24"/>
          <w:szCs w:val="24"/>
        </w:rPr>
        <w:t>Behandlingsinstruktioner</w:t>
      </w:r>
      <w:r w:rsidRPr="00800964">
        <w:rPr>
          <w:rFonts w:cs="Arial"/>
          <w:b/>
          <w:sz w:val="24"/>
          <w:szCs w:val="24"/>
        </w:rPr>
        <w:t xml:space="preserve"> </w:t>
      </w:r>
      <w:r w:rsidRPr="00800964">
        <w:rPr>
          <w:rFonts w:cs="Arial"/>
          <w:sz w:val="24"/>
          <w:szCs w:val="24"/>
        </w:rPr>
        <w:t>för flertalet hudsjukdomar samt smörjscheman finns på intranätet</w:t>
      </w:r>
      <w:r>
        <w:rPr>
          <w:rFonts w:cs="Arial"/>
          <w:sz w:val="24"/>
          <w:szCs w:val="24"/>
        </w:rPr>
        <w:t xml:space="preserve"> under </w:t>
      </w:r>
      <w:hyperlink r:id="rId95" w:history="1">
        <w:r w:rsidRPr="00550979">
          <w:rPr>
            <w:rStyle w:val="Hyperlnk"/>
            <w:rFonts w:cs="Arial"/>
            <w:color w:val="0070C0"/>
            <w:sz w:val="24"/>
            <w:szCs w:val="24"/>
          </w:rPr>
          <w:t>PM och vårdprogram/Hud.</w:t>
        </w:r>
      </w:hyperlink>
    </w:p>
    <w:p w14:paraId="430CBFC1" w14:textId="77777777" w:rsidR="00702564" w:rsidRPr="00800964" w:rsidRDefault="00702564" w:rsidP="00702564">
      <w:pPr>
        <w:rPr>
          <w:rFonts w:cs="Arial"/>
          <w:sz w:val="24"/>
          <w:szCs w:val="24"/>
        </w:rPr>
      </w:pPr>
    </w:p>
    <w:p w14:paraId="3BC92881" w14:textId="2D643BC2" w:rsidR="00702564" w:rsidRPr="00800964" w:rsidRDefault="00702564" w:rsidP="00702564">
      <w:pPr>
        <w:rPr>
          <w:rFonts w:cs="Arial"/>
          <w:sz w:val="24"/>
          <w:szCs w:val="24"/>
        </w:rPr>
      </w:pPr>
      <w:r w:rsidRPr="00B5104B">
        <w:rPr>
          <w:rFonts w:cs="Arial"/>
          <w:bCs/>
          <w:sz w:val="24"/>
          <w:szCs w:val="24"/>
        </w:rPr>
        <w:t>Mjukgörande samt mjällschampo</w:t>
      </w:r>
      <w:r w:rsidRPr="00800964">
        <w:rPr>
          <w:rFonts w:cs="Arial"/>
          <w:sz w:val="24"/>
          <w:szCs w:val="24"/>
        </w:rPr>
        <w:t xml:space="preserve"> som ketokonazol betraktas som egenvårdsmedel och kan köpas receptfritt på apoteket. Rekommendation ges till patienten, ev. recept med ett uttag men därefter köp utan recept. Hudmottagningen har </w:t>
      </w:r>
      <w:r w:rsidRPr="00B5104B">
        <w:rPr>
          <w:rFonts w:cs="Arial"/>
          <w:sz w:val="24"/>
          <w:szCs w:val="24"/>
        </w:rPr>
        <w:t>nu ny policy,</w:t>
      </w:r>
      <w:r w:rsidRPr="00800964">
        <w:rPr>
          <w:rFonts w:cs="Arial"/>
          <w:sz w:val="24"/>
          <w:szCs w:val="24"/>
        </w:rPr>
        <w:t xml:space="preserve"> receptförnyelse sker endast vid svårare eksem, psoriasis, annan komplicerad hudsjukdom med större utbredning på kroppen.</w:t>
      </w:r>
    </w:p>
    <w:p w14:paraId="2F23A2EC" w14:textId="77777777" w:rsidR="00702564" w:rsidRPr="00B5104B" w:rsidRDefault="00702564" w:rsidP="00702564">
      <w:pPr>
        <w:rPr>
          <w:rFonts w:cs="Arial"/>
          <w:bCs/>
          <w:sz w:val="24"/>
          <w:szCs w:val="24"/>
        </w:rPr>
      </w:pPr>
      <w:r w:rsidRPr="00B5104B">
        <w:rPr>
          <w:rFonts w:cs="Arial"/>
          <w:bCs/>
          <w:sz w:val="24"/>
          <w:szCs w:val="24"/>
        </w:rPr>
        <w:t>Hur får vi patienter med hudproblem att följa våra behandlingsråd?</w:t>
      </w:r>
    </w:p>
    <w:p w14:paraId="052E0B35" w14:textId="77777777" w:rsidR="00702564" w:rsidRPr="00800964" w:rsidRDefault="00702564" w:rsidP="00702564">
      <w:pPr>
        <w:rPr>
          <w:rFonts w:cs="Arial"/>
          <w:b/>
          <w:szCs w:val="24"/>
        </w:rPr>
      </w:pPr>
      <w:r w:rsidRPr="00B5104B">
        <w:rPr>
          <w:rFonts w:cs="Arial"/>
          <w:bCs/>
          <w:sz w:val="24"/>
          <w:szCs w:val="24"/>
        </w:rPr>
        <w:t xml:space="preserve">Enkel dosering, snabb effekt och tydliga smörjråd (patientutbildning) </w:t>
      </w:r>
      <w:r w:rsidRPr="00B5104B">
        <w:rPr>
          <w:rFonts w:cs="Arial"/>
          <w:bCs/>
          <w:sz w:val="24"/>
          <w:szCs w:val="24"/>
        </w:rPr>
        <w:br/>
      </w:r>
      <w:r w:rsidRPr="00800964">
        <w:rPr>
          <w:rFonts w:cs="Arial"/>
          <w:sz w:val="24"/>
          <w:szCs w:val="24"/>
        </w:rPr>
        <w:t>är förutsättningen för att få en god patientmedverkan</w:t>
      </w:r>
      <w:r>
        <w:rPr>
          <w:rFonts w:cs="Arial"/>
          <w:sz w:val="24"/>
          <w:szCs w:val="24"/>
        </w:rPr>
        <w:t>.</w:t>
      </w:r>
    </w:p>
    <w:p w14:paraId="5270B111" w14:textId="77777777" w:rsidR="00702564" w:rsidRPr="00AA33B0" w:rsidRDefault="00702564" w:rsidP="00702564">
      <w:pPr>
        <w:pStyle w:val="Rubrik2"/>
      </w:pPr>
      <w:r w:rsidRPr="00D35239">
        <w:t>Eksem</w:t>
      </w:r>
    </w:p>
    <w:p w14:paraId="35A0CA3D" w14:textId="08C90D76" w:rsidR="00702564" w:rsidRPr="00B5104B" w:rsidRDefault="00702564" w:rsidP="00702564">
      <w:pPr>
        <w:spacing w:before="240" w:after="240"/>
        <w:rPr>
          <w:rFonts w:cs="Arial"/>
          <w:bCs/>
          <w:sz w:val="24"/>
          <w:szCs w:val="24"/>
        </w:rPr>
      </w:pPr>
      <w:r w:rsidRPr="00B5104B">
        <w:rPr>
          <w:rFonts w:cs="Arial"/>
          <w:bCs/>
          <w:sz w:val="24"/>
          <w:szCs w:val="24"/>
        </w:rPr>
        <w:t xml:space="preserve">Mjukgörande som kombineras med kortisonsmörjning är basbehandling. </w:t>
      </w:r>
      <w:r w:rsidR="00E87E0C">
        <w:rPr>
          <w:rFonts w:cs="Arial"/>
          <w:bCs/>
          <w:sz w:val="24"/>
          <w:szCs w:val="24"/>
        </w:rPr>
        <w:br/>
      </w:r>
      <w:r w:rsidRPr="00B5104B">
        <w:rPr>
          <w:rFonts w:cs="Arial"/>
          <w:bCs/>
          <w:sz w:val="24"/>
          <w:szCs w:val="24"/>
        </w:rPr>
        <w:t>Regelbunden smörjning med mjukgörande tidigt hos småbarn med atopiskt eksem är viktigt för att stärka hudbarriären. Nya produkter som Lipikar Baum AP+, samt Minicare är mera lättsmörjda alternativ med bibehållen hög fetthalt. Vid atopiskt eksem förloras i lugnt skede dubbelt så mycket vatten genom huden än hos icke-atopiker, och vid akuta attacker ses 8 gånger större vattenförlust. Att behandla den försämrade barriärfunktionen tidigt förhindrar utbredning av eksemet och minskar antigenpenetration samt tycks kunna förebygga astma (liten studie visat minskad risk för utveckling av astma under uppväxten om mjukgörande används). Dessutom minskar återfallen, liksom åtgången av kortisonsalvor och färre infektioner ses.</w:t>
      </w:r>
    </w:p>
    <w:p w14:paraId="747B4A58" w14:textId="77777777" w:rsidR="00702564" w:rsidRDefault="00702564" w:rsidP="00702564">
      <w:pPr>
        <w:rPr>
          <w:rFonts w:cs="Arial"/>
          <w:sz w:val="24"/>
          <w:szCs w:val="24"/>
        </w:rPr>
      </w:pPr>
      <w:r w:rsidRPr="00800964">
        <w:rPr>
          <w:rFonts w:cs="Arial"/>
          <w:sz w:val="24"/>
          <w:szCs w:val="24"/>
        </w:rPr>
        <w:t>Atopisk hud är känslig för friktion. Rivning och gnuggning pga. klåda gör att eksemet snabbt blir tjockare. Tidigt insatt behandling med tillräcklig styrka på kortisonpreparatet samt tillräckligt lång behandlingstid med kortisonsmörjningen och fortsatt smörjning med mjukgörande är viktigt för bra resultat.</w:t>
      </w:r>
    </w:p>
    <w:p w14:paraId="38DFF70C" w14:textId="77777777" w:rsidR="00702564" w:rsidRDefault="00702564" w:rsidP="00702564">
      <w:pPr>
        <w:tabs>
          <w:tab w:val="clear" w:pos="284"/>
        </w:tabs>
        <w:spacing w:after="120" w:line="260" w:lineRule="atLeast"/>
        <w:rPr>
          <w:rFonts w:cs="Arial"/>
          <w:sz w:val="24"/>
          <w:szCs w:val="24"/>
        </w:rPr>
      </w:pPr>
      <w:r>
        <w:rPr>
          <w:rFonts w:cs="Arial"/>
          <w:sz w:val="24"/>
          <w:szCs w:val="24"/>
        </w:rPr>
        <w:br w:type="page"/>
      </w:r>
    </w:p>
    <w:p w14:paraId="0315628D" w14:textId="77777777" w:rsidR="00702564" w:rsidRPr="000F68F4" w:rsidRDefault="00702564" w:rsidP="00702564">
      <w:pPr>
        <w:pStyle w:val="Rubrik3"/>
      </w:pPr>
      <w:r w:rsidRPr="000F68F4">
        <w:lastRenderedPageBreak/>
        <w:t>Basbehandling mjukgörande kräm</w:t>
      </w:r>
    </w:p>
    <w:p w14:paraId="667270DF" w14:textId="77777777" w:rsidR="00702564" w:rsidRDefault="00702564" w:rsidP="00702564">
      <w:pPr>
        <w:rPr>
          <w:sz w:val="24"/>
          <w:szCs w:val="24"/>
        </w:rPr>
      </w:pPr>
      <w:r w:rsidRPr="005A0EFA">
        <w:rPr>
          <w:sz w:val="24"/>
          <w:szCs w:val="24"/>
        </w:rPr>
        <w:t>Fetthalt anges 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7"/>
        <w:gridCol w:w="4795"/>
      </w:tblGrid>
      <w:tr w:rsidR="00702564" w:rsidRPr="00800964" w14:paraId="55EEB43F" w14:textId="77777777" w:rsidTr="00632FCC">
        <w:tc>
          <w:tcPr>
            <w:tcW w:w="9062" w:type="dxa"/>
            <w:gridSpan w:val="2"/>
            <w:shd w:val="clear" w:color="auto" w:fill="FFFFFF" w:themeFill="background2"/>
          </w:tcPr>
          <w:p w14:paraId="4F60F6F3" w14:textId="77777777" w:rsidR="00702564" w:rsidRPr="00800964" w:rsidRDefault="00702564" w:rsidP="00632FCC">
            <w:pPr>
              <w:rPr>
                <w:rFonts w:cs="Arial"/>
                <w:sz w:val="24"/>
                <w:szCs w:val="24"/>
              </w:rPr>
            </w:pPr>
            <w:r w:rsidRPr="00800964">
              <w:rPr>
                <w:rFonts w:cs="Arial"/>
                <w:b/>
                <w:sz w:val="24"/>
                <w:szCs w:val="24"/>
              </w:rPr>
              <w:t>Barn</w:t>
            </w:r>
            <w:r w:rsidRPr="00800964" w:rsidDel="009B42BC">
              <w:rPr>
                <w:rFonts w:cs="Arial"/>
                <w:b/>
                <w:sz w:val="24"/>
                <w:szCs w:val="24"/>
              </w:rPr>
              <w:t xml:space="preserve"> </w:t>
            </w:r>
          </w:p>
        </w:tc>
      </w:tr>
      <w:tr w:rsidR="00702564" w:rsidRPr="00800964" w14:paraId="322C527D" w14:textId="77777777" w:rsidTr="00632FCC">
        <w:tc>
          <w:tcPr>
            <w:tcW w:w="4267" w:type="dxa"/>
          </w:tcPr>
          <w:p w14:paraId="4185CB46" w14:textId="77777777" w:rsidR="00702564" w:rsidRPr="00800964" w:rsidRDefault="00702564" w:rsidP="00632FCC">
            <w:pPr>
              <w:rPr>
                <w:rFonts w:cs="Arial"/>
                <w:sz w:val="24"/>
                <w:szCs w:val="24"/>
              </w:rPr>
            </w:pPr>
            <w:r w:rsidRPr="00800964">
              <w:rPr>
                <w:rFonts w:cs="Arial"/>
                <w:b/>
                <w:bCs/>
                <w:sz w:val="24"/>
                <w:szCs w:val="24"/>
              </w:rPr>
              <w:t>1 glycerin</w:t>
            </w:r>
          </w:p>
        </w:tc>
        <w:tc>
          <w:tcPr>
            <w:tcW w:w="4795" w:type="dxa"/>
          </w:tcPr>
          <w:p w14:paraId="44D415F8" w14:textId="77777777" w:rsidR="00702564" w:rsidRPr="00800964" w:rsidRDefault="00702564" w:rsidP="00632FCC">
            <w:pPr>
              <w:rPr>
                <w:rFonts w:cs="Arial"/>
                <w:sz w:val="24"/>
                <w:szCs w:val="24"/>
              </w:rPr>
            </w:pPr>
            <w:r w:rsidRPr="00800964">
              <w:rPr>
                <w:rFonts w:cs="Arial"/>
                <w:bCs/>
                <w:sz w:val="24"/>
                <w:szCs w:val="24"/>
              </w:rPr>
              <w:t xml:space="preserve">Lipikar </w:t>
            </w:r>
            <w:r w:rsidRPr="00550979">
              <w:rPr>
                <w:rFonts w:cs="Arial"/>
                <w:bCs/>
                <w:sz w:val="24"/>
                <w:szCs w:val="24"/>
              </w:rPr>
              <w:t>Baume Ap +</w:t>
            </w:r>
            <w:r w:rsidRPr="00800964">
              <w:rPr>
                <w:rFonts w:cs="Arial"/>
                <w:sz w:val="24"/>
                <w:szCs w:val="24"/>
              </w:rPr>
              <w:t xml:space="preserve"> * (33 %)</w:t>
            </w:r>
          </w:p>
          <w:p w14:paraId="175BA742" w14:textId="77777777" w:rsidR="00702564" w:rsidRPr="00800964" w:rsidRDefault="00702564" w:rsidP="00632FCC">
            <w:pPr>
              <w:rPr>
                <w:rFonts w:cs="Arial"/>
                <w:sz w:val="24"/>
                <w:szCs w:val="24"/>
              </w:rPr>
            </w:pPr>
            <w:r w:rsidRPr="00800964">
              <w:rPr>
                <w:rFonts w:cs="Arial"/>
                <w:bCs/>
                <w:sz w:val="24"/>
                <w:szCs w:val="24"/>
              </w:rPr>
              <w:t xml:space="preserve">Minicare * </w:t>
            </w:r>
            <w:r w:rsidRPr="00800964">
              <w:rPr>
                <w:rFonts w:cs="Arial"/>
                <w:sz w:val="24"/>
                <w:szCs w:val="24"/>
              </w:rPr>
              <w:t>(60 %)</w:t>
            </w:r>
          </w:p>
        </w:tc>
      </w:tr>
      <w:tr w:rsidR="00702564" w:rsidRPr="00800964" w14:paraId="5C5C3342" w14:textId="77777777" w:rsidTr="00632FCC">
        <w:tc>
          <w:tcPr>
            <w:tcW w:w="4267" w:type="dxa"/>
          </w:tcPr>
          <w:p w14:paraId="69655222" w14:textId="77777777" w:rsidR="00702564" w:rsidRPr="00800964" w:rsidRDefault="00702564" w:rsidP="00632FCC">
            <w:pPr>
              <w:rPr>
                <w:rFonts w:cs="Arial"/>
                <w:sz w:val="24"/>
                <w:szCs w:val="24"/>
              </w:rPr>
            </w:pPr>
            <w:r w:rsidRPr="00800964">
              <w:rPr>
                <w:rFonts w:cs="Arial"/>
                <w:b/>
                <w:bCs/>
                <w:sz w:val="24"/>
                <w:szCs w:val="24"/>
              </w:rPr>
              <w:t>1 glycerin, lanolin</w:t>
            </w:r>
          </w:p>
        </w:tc>
        <w:tc>
          <w:tcPr>
            <w:tcW w:w="4795" w:type="dxa"/>
          </w:tcPr>
          <w:p w14:paraId="6F0CE28D" w14:textId="77777777" w:rsidR="00702564" w:rsidRPr="00800964" w:rsidRDefault="00702564" w:rsidP="00632FCC">
            <w:pPr>
              <w:rPr>
                <w:rFonts w:cs="Arial"/>
                <w:sz w:val="24"/>
                <w:szCs w:val="24"/>
              </w:rPr>
            </w:pPr>
            <w:r w:rsidRPr="00800964">
              <w:rPr>
                <w:rFonts w:cs="Arial"/>
                <w:bCs/>
                <w:sz w:val="24"/>
                <w:szCs w:val="24"/>
              </w:rPr>
              <w:t xml:space="preserve">Decubal clinic * </w:t>
            </w:r>
            <w:r w:rsidRPr="00800964">
              <w:rPr>
                <w:rFonts w:cs="Arial"/>
                <w:sz w:val="24"/>
                <w:szCs w:val="24"/>
              </w:rPr>
              <w:t>(38 %)</w:t>
            </w:r>
          </w:p>
        </w:tc>
      </w:tr>
      <w:tr w:rsidR="00702564" w:rsidRPr="00800964" w14:paraId="3E4D3A69" w14:textId="77777777" w:rsidTr="00632FCC">
        <w:tc>
          <w:tcPr>
            <w:tcW w:w="4267" w:type="dxa"/>
          </w:tcPr>
          <w:p w14:paraId="58274484" w14:textId="77777777" w:rsidR="00702564" w:rsidRPr="00800964" w:rsidRDefault="00702564" w:rsidP="00632FCC">
            <w:pPr>
              <w:rPr>
                <w:rFonts w:cs="Arial"/>
                <w:sz w:val="24"/>
                <w:szCs w:val="24"/>
              </w:rPr>
            </w:pPr>
            <w:r w:rsidRPr="00800964">
              <w:rPr>
                <w:rFonts w:cs="Arial"/>
                <w:b/>
                <w:bCs/>
                <w:sz w:val="24"/>
                <w:szCs w:val="24"/>
              </w:rPr>
              <w:t>2 petrolatum</w:t>
            </w:r>
          </w:p>
        </w:tc>
        <w:tc>
          <w:tcPr>
            <w:tcW w:w="4795" w:type="dxa"/>
          </w:tcPr>
          <w:p w14:paraId="757C581D" w14:textId="77777777" w:rsidR="00702564" w:rsidRPr="00800964" w:rsidRDefault="00702564" w:rsidP="00632FCC">
            <w:pPr>
              <w:rPr>
                <w:rFonts w:cs="Arial"/>
                <w:sz w:val="24"/>
                <w:szCs w:val="24"/>
              </w:rPr>
            </w:pPr>
            <w:r w:rsidRPr="00800964">
              <w:rPr>
                <w:rFonts w:cs="Arial"/>
                <w:bCs/>
                <w:sz w:val="24"/>
                <w:szCs w:val="24"/>
              </w:rPr>
              <w:t>Locobase * – ej</w:t>
            </w:r>
            <w:r w:rsidRPr="00800964">
              <w:rPr>
                <w:rFonts w:cs="Arial"/>
                <w:sz w:val="24"/>
                <w:szCs w:val="24"/>
              </w:rPr>
              <w:t xml:space="preserve"> Locobase LPL (70 %)</w:t>
            </w:r>
          </w:p>
        </w:tc>
      </w:tr>
      <w:tr w:rsidR="00702564" w:rsidRPr="00800964" w14:paraId="73FB84C1" w14:textId="77777777" w:rsidTr="00632FCC">
        <w:tc>
          <w:tcPr>
            <w:tcW w:w="4267" w:type="dxa"/>
          </w:tcPr>
          <w:p w14:paraId="33C69AF2" w14:textId="77777777" w:rsidR="00702564" w:rsidRPr="00800964" w:rsidRDefault="00702564" w:rsidP="00632FCC">
            <w:pPr>
              <w:rPr>
                <w:rFonts w:cs="Arial"/>
                <w:sz w:val="24"/>
                <w:szCs w:val="24"/>
              </w:rPr>
            </w:pPr>
            <w:r w:rsidRPr="00800964">
              <w:rPr>
                <w:rFonts w:cs="Arial"/>
                <w:b/>
                <w:bCs/>
                <w:sz w:val="24"/>
                <w:szCs w:val="24"/>
              </w:rPr>
              <w:t>3 glycerin</w:t>
            </w:r>
          </w:p>
        </w:tc>
        <w:tc>
          <w:tcPr>
            <w:tcW w:w="4795" w:type="dxa"/>
          </w:tcPr>
          <w:p w14:paraId="653316B8" w14:textId="77777777" w:rsidR="00702564" w:rsidRPr="00800964" w:rsidRDefault="00702564" w:rsidP="00632FCC">
            <w:pPr>
              <w:rPr>
                <w:rFonts w:cs="Arial"/>
                <w:sz w:val="24"/>
                <w:szCs w:val="24"/>
              </w:rPr>
            </w:pPr>
            <w:r w:rsidRPr="00800964">
              <w:rPr>
                <w:rFonts w:cs="Arial"/>
                <w:bCs/>
                <w:sz w:val="24"/>
                <w:szCs w:val="24"/>
              </w:rPr>
              <w:t>Miniderm (</w:t>
            </w:r>
            <w:r w:rsidRPr="00800964">
              <w:rPr>
                <w:rFonts w:cs="Arial"/>
                <w:sz w:val="24"/>
                <w:szCs w:val="24"/>
              </w:rPr>
              <w:t>24 %)</w:t>
            </w:r>
          </w:p>
        </w:tc>
      </w:tr>
    </w:tbl>
    <w:p w14:paraId="1320E03E" w14:textId="77777777" w:rsidR="00702564" w:rsidRPr="0071138D" w:rsidRDefault="00702564" w:rsidP="00702564">
      <w:pPr>
        <w:rPr>
          <w:rFonts w:cs="Arial"/>
          <w:szCs w:val="24"/>
        </w:rPr>
      </w:pPr>
      <w:r w:rsidRPr="00550979">
        <w:rPr>
          <w:rFonts w:cs="Arial"/>
          <w:szCs w:val="24"/>
        </w:rPr>
        <w:t>* Handelsvara, kan ej skrivas på recept.</w:t>
      </w:r>
      <w:r>
        <w:rPr>
          <w:rFonts w:cs="Arial"/>
          <w:szCs w:val="24"/>
        </w:rPr>
        <w:br/>
      </w:r>
    </w:p>
    <w:p w14:paraId="6F477560" w14:textId="77777777" w:rsidR="00702564" w:rsidRPr="00800964" w:rsidRDefault="00702564" w:rsidP="00702564">
      <w:pPr>
        <w:rPr>
          <w:sz w:val="24"/>
          <w:szCs w:val="24"/>
        </w:rPr>
      </w:pPr>
      <w:r w:rsidRPr="00800964">
        <w:rPr>
          <w:sz w:val="24"/>
          <w:szCs w:val="24"/>
        </w:rPr>
        <w:t>Undvik karbamidtillsats och eventuellt salttillsats i mjukgörande till mindre barn (under 8–10 år) då detta kan svida och försämra kompliance. Till torr hud hos barn före skolåldern väljs i första hand Locobase/</w:t>
      </w:r>
      <w:r w:rsidRPr="00800964" w:rsidDel="00C75B80">
        <w:rPr>
          <w:sz w:val="24"/>
          <w:szCs w:val="24"/>
        </w:rPr>
        <w:t xml:space="preserve"> </w:t>
      </w:r>
      <w:r w:rsidRPr="00800964">
        <w:rPr>
          <w:sz w:val="24"/>
          <w:szCs w:val="24"/>
        </w:rPr>
        <w:t>Minicare/Decubal clinic/Lipikar som har en betydligt högre fetthalt. Miniderm är ett alternativ till större barn som har synpunkter på fetthalten.</w:t>
      </w:r>
    </w:p>
    <w:p w14:paraId="236ECF53" w14:textId="77777777" w:rsidR="00702564" w:rsidRPr="0071138D" w:rsidRDefault="00702564" w:rsidP="00702564">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531"/>
      </w:tblGrid>
      <w:tr w:rsidR="00702564" w:rsidRPr="00550979" w14:paraId="4309909B" w14:textId="77777777" w:rsidTr="00632FCC">
        <w:tc>
          <w:tcPr>
            <w:tcW w:w="9062" w:type="dxa"/>
            <w:gridSpan w:val="2"/>
            <w:tcBorders>
              <w:top w:val="single" w:sz="4" w:space="0" w:color="auto"/>
              <w:left w:val="single" w:sz="4" w:space="0" w:color="auto"/>
              <w:bottom w:val="single" w:sz="4" w:space="0" w:color="auto"/>
              <w:right w:val="single" w:sz="4" w:space="0" w:color="auto"/>
            </w:tcBorders>
            <w:shd w:val="clear" w:color="auto" w:fill="FFFFFF" w:themeFill="background2"/>
          </w:tcPr>
          <w:p w14:paraId="6D1468E8" w14:textId="77777777" w:rsidR="00702564" w:rsidRPr="00550979" w:rsidRDefault="00702564" w:rsidP="00632FCC">
            <w:pPr>
              <w:rPr>
                <w:rFonts w:cs="Arial"/>
                <w:sz w:val="24"/>
                <w:szCs w:val="24"/>
              </w:rPr>
            </w:pPr>
            <w:r w:rsidRPr="00550979">
              <w:rPr>
                <w:rFonts w:cs="Arial"/>
                <w:b/>
                <w:sz w:val="24"/>
                <w:szCs w:val="24"/>
              </w:rPr>
              <w:t>Vuxna, tonåringar</w:t>
            </w:r>
          </w:p>
        </w:tc>
      </w:tr>
      <w:tr w:rsidR="00702564" w:rsidRPr="00550979" w14:paraId="4743E8F5" w14:textId="77777777" w:rsidTr="00632FCC">
        <w:tc>
          <w:tcPr>
            <w:tcW w:w="4531" w:type="dxa"/>
            <w:tcBorders>
              <w:top w:val="single" w:sz="4" w:space="0" w:color="auto"/>
            </w:tcBorders>
          </w:tcPr>
          <w:p w14:paraId="60FD5BC1" w14:textId="77777777" w:rsidR="00702564" w:rsidRPr="00550979" w:rsidRDefault="00702564" w:rsidP="00632FCC">
            <w:pPr>
              <w:rPr>
                <w:rFonts w:cs="Arial"/>
                <w:sz w:val="24"/>
                <w:szCs w:val="24"/>
              </w:rPr>
            </w:pPr>
            <w:r w:rsidRPr="00550979">
              <w:rPr>
                <w:rFonts w:cs="Arial"/>
                <w:b/>
                <w:bCs/>
                <w:sz w:val="24"/>
                <w:szCs w:val="24"/>
              </w:rPr>
              <w:t>1 karbamid</w:t>
            </w:r>
          </w:p>
        </w:tc>
        <w:tc>
          <w:tcPr>
            <w:tcW w:w="4531" w:type="dxa"/>
            <w:tcBorders>
              <w:top w:val="single" w:sz="4" w:space="0" w:color="auto"/>
            </w:tcBorders>
          </w:tcPr>
          <w:p w14:paraId="72B5E5F5" w14:textId="77777777" w:rsidR="00702564" w:rsidRPr="00550979" w:rsidRDefault="00702564" w:rsidP="00632FCC">
            <w:pPr>
              <w:rPr>
                <w:rFonts w:cs="Arial"/>
                <w:sz w:val="24"/>
                <w:szCs w:val="24"/>
              </w:rPr>
            </w:pPr>
            <w:r w:rsidRPr="00550979">
              <w:rPr>
                <w:rFonts w:cs="Arial"/>
                <w:sz w:val="24"/>
                <w:szCs w:val="24"/>
              </w:rPr>
              <w:t>Canoderm (22 %)</w:t>
            </w:r>
          </w:p>
        </w:tc>
      </w:tr>
      <w:tr w:rsidR="00702564" w:rsidRPr="00800964" w14:paraId="59664E81" w14:textId="77777777" w:rsidTr="00632FCC">
        <w:tc>
          <w:tcPr>
            <w:tcW w:w="4531" w:type="dxa"/>
          </w:tcPr>
          <w:p w14:paraId="134CC9B6" w14:textId="77777777" w:rsidR="00702564" w:rsidRPr="00550979" w:rsidRDefault="00702564" w:rsidP="00632FCC">
            <w:pPr>
              <w:rPr>
                <w:rFonts w:cs="Arial"/>
                <w:sz w:val="24"/>
                <w:szCs w:val="24"/>
              </w:rPr>
            </w:pPr>
            <w:r w:rsidRPr="00550979">
              <w:rPr>
                <w:rFonts w:cs="Arial"/>
                <w:b/>
                <w:bCs/>
                <w:sz w:val="24"/>
                <w:szCs w:val="24"/>
              </w:rPr>
              <w:t>2 propylenglykol</w:t>
            </w:r>
          </w:p>
        </w:tc>
        <w:tc>
          <w:tcPr>
            <w:tcW w:w="4531" w:type="dxa"/>
          </w:tcPr>
          <w:p w14:paraId="03E30245" w14:textId="77777777" w:rsidR="00702564" w:rsidRPr="00550979" w:rsidRDefault="00702564" w:rsidP="00632FCC">
            <w:pPr>
              <w:rPr>
                <w:rFonts w:cs="Arial"/>
                <w:sz w:val="24"/>
                <w:szCs w:val="24"/>
              </w:rPr>
            </w:pPr>
            <w:r w:rsidRPr="00550979">
              <w:rPr>
                <w:rFonts w:cs="Arial"/>
                <w:bCs/>
                <w:sz w:val="24"/>
                <w:szCs w:val="24"/>
              </w:rPr>
              <w:t>Oviderm (20 %)</w:t>
            </w:r>
          </w:p>
          <w:p w14:paraId="36DAB88E" w14:textId="77777777" w:rsidR="00702564" w:rsidRPr="00550979" w:rsidRDefault="00702564" w:rsidP="00632FCC">
            <w:pPr>
              <w:rPr>
                <w:rFonts w:cs="Arial"/>
                <w:bCs/>
                <w:sz w:val="24"/>
                <w:szCs w:val="24"/>
              </w:rPr>
            </w:pPr>
            <w:r w:rsidRPr="00550979">
              <w:rPr>
                <w:rFonts w:cs="Arial"/>
                <w:bCs/>
                <w:sz w:val="24"/>
                <w:szCs w:val="24"/>
              </w:rPr>
              <w:t>Propyderm (24 %)</w:t>
            </w:r>
          </w:p>
          <w:p w14:paraId="7FE6EEDB" w14:textId="77777777" w:rsidR="00702564" w:rsidRPr="006E3AD1" w:rsidRDefault="00702564" w:rsidP="00632FCC">
            <w:pPr>
              <w:rPr>
                <w:rFonts w:cs="Arial"/>
                <w:sz w:val="24"/>
                <w:szCs w:val="24"/>
              </w:rPr>
            </w:pPr>
            <w:r w:rsidRPr="00550979">
              <w:rPr>
                <w:rFonts w:cs="Arial"/>
                <w:bCs/>
                <w:sz w:val="24"/>
                <w:szCs w:val="24"/>
              </w:rPr>
              <w:t>Propyless (9 %) kutan emulsion</w:t>
            </w:r>
          </w:p>
        </w:tc>
      </w:tr>
    </w:tbl>
    <w:p w14:paraId="44DE89F3" w14:textId="77777777" w:rsidR="00702564" w:rsidRDefault="00702564" w:rsidP="00702564">
      <w:pPr>
        <w:rPr>
          <w:rFonts w:cs="Arial"/>
          <w:szCs w:val="24"/>
        </w:rPr>
      </w:pPr>
    </w:p>
    <w:p w14:paraId="285EF603" w14:textId="77777777" w:rsidR="00702564" w:rsidRPr="00800964" w:rsidRDefault="00702564" w:rsidP="00702564">
      <w:pPr>
        <w:rPr>
          <w:rFonts w:cs="Arial"/>
          <w:sz w:val="24"/>
          <w:szCs w:val="28"/>
        </w:rPr>
      </w:pPr>
      <w:r w:rsidRPr="00800964">
        <w:rPr>
          <w:sz w:val="24"/>
          <w:szCs w:val="24"/>
        </w:rPr>
        <w:t xml:space="preserve">Canoderm kräm/lotion, där lotionen kan vara att föredra till män med behåring. Propyless är en magrare lotion som innehåller propylenglykol som förutom sin fuktighetsbevarande förmåga även verkar hämmande på bakterier och jästsvamp. Propyless är därför ett bra alternativ som </w:t>
      </w:r>
      <w:r w:rsidRPr="00BD0212">
        <w:rPr>
          <w:sz w:val="24"/>
          <w:szCs w:val="24"/>
        </w:rPr>
        <w:t xml:space="preserve">mjukgörande vid mjälleksem medan Oviderm eller Propyderm är lämpliga alternativ vid </w:t>
      </w:r>
      <w:r>
        <w:rPr>
          <w:sz w:val="24"/>
          <w:szCs w:val="24"/>
        </w:rPr>
        <w:br/>
      </w:r>
      <w:r w:rsidRPr="00BD0212">
        <w:rPr>
          <w:sz w:val="24"/>
          <w:szCs w:val="24"/>
        </w:rPr>
        <w:t>nummulärt</w:t>
      </w:r>
      <w:r w:rsidRPr="00800964">
        <w:rPr>
          <w:sz w:val="24"/>
          <w:szCs w:val="24"/>
        </w:rPr>
        <w:t xml:space="preserve"> eksem. Oviderm är fri från konserveringsmedel samt helt luktfri.</w:t>
      </w:r>
    </w:p>
    <w:p w14:paraId="5E10968C" w14:textId="77777777" w:rsidR="00702564" w:rsidRPr="005A0EFA" w:rsidRDefault="00702564" w:rsidP="00702564">
      <w:pPr>
        <w:pStyle w:val="Rubrik3"/>
      </w:pPr>
      <w:r w:rsidRPr="00BD0212">
        <w:t xml:space="preserve">Smörjning med kortison och kalcineurinhämmare   </w:t>
      </w:r>
    </w:p>
    <w:p w14:paraId="3D6C614F" w14:textId="77777777" w:rsidR="00702564" w:rsidRPr="00BD0212" w:rsidRDefault="00702564" w:rsidP="00702564">
      <w:pPr>
        <w:rPr>
          <w:rFonts w:cs="Arial"/>
          <w:sz w:val="24"/>
          <w:szCs w:val="24"/>
        </w:rPr>
      </w:pPr>
      <w:r w:rsidRPr="00800964">
        <w:rPr>
          <w:rFonts w:cs="Arial"/>
          <w:sz w:val="24"/>
          <w:szCs w:val="24"/>
        </w:rPr>
        <w:t xml:space="preserve">För god kompliance och effekt är det viktigt med kortisonpreparat av tillräcklig styrka för snabb </w:t>
      </w:r>
      <w:r w:rsidRPr="00BD0212">
        <w:rPr>
          <w:rFonts w:cs="Arial"/>
          <w:sz w:val="24"/>
          <w:szCs w:val="24"/>
        </w:rPr>
        <w:t>effekt och klådlindring. Smörjning skall ske 1 gång/dag tills läkning (huden ej längre röd och grov) därefter 2 gånger per vecka i 2-3 veckor. Enligt senaste rekommendationer från Läkemedelsverket avseende atopisk dermatit, det ger inte större effekt att smörja huden med kortison 2 gånger om dagen. Utglesning av antal smörjtillfällen är ofta att föredra i stället för att trappa ner styrkan på kortisonpreparaten. Eksem hos små barn svarar ofta bättre på salvberedning än på kräm. Mjukgörande parallellt under och efter kortisonbehandlingen.</w:t>
      </w:r>
    </w:p>
    <w:p w14:paraId="01DDF57C" w14:textId="77777777" w:rsidR="00702564" w:rsidRPr="00BD0212" w:rsidRDefault="00702564" w:rsidP="00702564">
      <w:pPr>
        <w:rPr>
          <w:rFonts w:cs="Arial"/>
          <w:sz w:val="24"/>
          <w:szCs w:val="24"/>
        </w:rPr>
      </w:pPr>
    </w:p>
    <w:p w14:paraId="3B1F4B19" w14:textId="77777777" w:rsidR="00702564" w:rsidRPr="00463C7C" w:rsidRDefault="00702564" w:rsidP="00702564">
      <w:pPr>
        <w:rPr>
          <w:rFonts w:cs="Arial"/>
          <w:sz w:val="24"/>
          <w:szCs w:val="24"/>
        </w:rPr>
      </w:pPr>
      <w:r w:rsidRPr="00BD0212">
        <w:rPr>
          <w:rFonts w:cs="Arial"/>
          <w:sz w:val="24"/>
          <w:szCs w:val="24"/>
        </w:rPr>
        <w:t>Vid svår klåda och störd nattsömn ge sederande antihistamin som Atarax (10mg)</w:t>
      </w:r>
      <w:r>
        <w:rPr>
          <w:rFonts w:cs="Arial"/>
          <w:sz w:val="24"/>
          <w:szCs w:val="24"/>
        </w:rPr>
        <w:t xml:space="preserve"> </w:t>
      </w:r>
      <w:r w:rsidRPr="00BD0212">
        <w:rPr>
          <w:rFonts w:cs="Arial"/>
          <w:sz w:val="24"/>
          <w:szCs w:val="24"/>
        </w:rPr>
        <w:t xml:space="preserve">/Tavegyl </w:t>
      </w:r>
      <w:r>
        <w:rPr>
          <w:rFonts w:cs="Arial"/>
          <w:sz w:val="24"/>
          <w:szCs w:val="24"/>
        </w:rPr>
        <w:t xml:space="preserve">(1 mg)   </w:t>
      </w:r>
      <w:r w:rsidRPr="00BD0212">
        <w:rPr>
          <w:rFonts w:cs="Arial"/>
          <w:sz w:val="24"/>
          <w:szCs w:val="24"/>
        </w:rPr>
        <w:t>1 timme före sänggåendet. Nyare antihistaminpreparat som desloratidin eller cetrizin har ingen effekt vid eksembehandling.</w:t>
      </w:r>
      <w:r>
        <w:rPr>
          <w:rFonts w:cs="Arial"/>
          <w:sz w:val="24"/>
          <w:szCs w:val="24"/>
        </w:rPr>
        <w:br/>
      </w:r>
    </w:p>
    <w:p w14:paraId="3A90C8A4" w14:textId="77777777" w:rsidR="00702564" w:rsidRDefault="00702564" w:rsidP="00702564">
      <w:pPr>
        <w:rPr>
          <w:rFonts w:cs="Arial"/>
          <w:sz w:val="24"/>
          <w:szCs w:val="24"/>
        </w:rPr>
      </w:pPr>
      <w:r w:rsidRPr="00800964">
        <w:rPr>
          <w:rFonts w:cs="Arial"/>
          <w:sz w:val="24"/>
          <w:szCs w:val="24"/>
        </w:rPr>
        <w:t>Färdiga smörjscheman (</w:t>
      </w:r>
      <w:r w:rsidRPr="00463C7C">
        <w:rPr>
          <w:rFonts w:cs="Arial"/>
          <w:sz w:val="24"/>
          <w:szCs w:val="24"/>
        </w:rPr>
        <w:t>PM</w:t>
      </w:r>
      <w:r w:rsidRPr="00800964">
        <w:rPr>
          <w:rFonts w:cs="Arial"/>
          <w:sz w:val="24"/>
          <w:szCs w:val="24"/>
        </w:rPr>
        <w:t>) för eksembehandling med Ovixan/Elocon/Betnovat/</w:t>
      </w:r>
      <w:r>
        <w:rPr>
          <w:rFonts w:cs="Arial"/>
          <w:sz w:val="24"/>
          <w:szCs w:val="24"/>
        </w:rPr>
        <w:t xml:space="preserve"> </w:t>
      </w:r>
      <w:r w:rsidRPr="00800964">
        <w:rPr>
          <w:rFonts w:cs="Arial"/>
          <w:sz w:val="24"/>
          <w:szCs w:val="24"/>
        </w:rPr>
        <w:t xml:space="preserve">Emovat/Dermovat finns på intranätet att trycka ut till patienterna. </w:t>
      </w:r>
    </w:p>
    <w:p w14:paraId="5F6DFBCA" w14:textId="77777777" w:rsidR="00702564" w:rsidRDefault="00702564" w:rsidP="00702564">
      <w:pPr>
        <w:tabs>
          <w:tab w:val="clear" w:pos="284"/>
        </w:tabs>
        <w:spacing w:after="120" w:line="260" w:lineRule="atLeast"/>
        <w:rPr>
          <w:rFonts w:cs="Arial"/>
          <w:sz w:val="24"/>
          <w:szCs w:val="24"/>
        </w:rPr>
      </w:pPr>
      <w:r>
        <w:rPr>
          <w:rFonts w:cs="Arial"/>
          <w:sz w:val="24"/>
          <w:szCs w:val="24"/>
        </w:rPr>
        <w:br w:type="page"/>
      </w:r>
    </w:p>
    <w:p w14:paraId="196167C6" w14:textId="77777777" w:rsidR="00702564" w:rsidRPr="00800964" w:rsidRDefault="00702564" w:rsidP="00702564">
      <w:pPr>
        <w:rPr>
          <w:rFonts w:cs="Arial"/>
          <w:sz w:val="24"/>
          <w:szCs w:val="24"/>
        </w:rPr>
      </w:pP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887"/>
        <w:gridCol w:w="2456"/>
        <w:gridCol w:w="2604"/>
      </w:tblGrid>
      <w:tr w:rsidR="00702564" w:rsidRPr="00800964" w14:paraId="774D1957" w14:textId="77777777" w:rsidTr="00632FCC">
        <w:trPr>
          <w:trHeight w:val="501"/>
        </w:trPr>
        <w:tc>
          <w:tcPr>
            <w:tcW w:w="8553" w:type="dxa"/>
            <w:gridSpan w:val="4"/>
            <w:shd w:val="clear" w:color="auto" w:fill="B1D7FF" w:themeFill="text2" w:themeFillTint="33"/>
          </w:tcPr>
          <w:p w14:paraId="48D6E647" w14:textId="77777777" w:rsidR="00702564" w:rsidRPr="00800964" w:rsidRDefault="00702564" w:rsidP="00632FCC">
            <w:pPr>
              <w:rPr>
                <w:rFonts w:cs="Arial"/>
                <w:sz w:val="24"/>
                <w:szCs w:val="28"/>
              </w:rPr>
            </w:pPr>
            <w:r w:rsidRPr="00800964">
              <w:rPr>
                <w:rFonts w:cs="Arial"/>
                <w:b/>
                <w:bCs/>
                <w:sz w:val="24"/>
                <w:szCs w:val="28"/>
              </w:rPr>
              <w:t>Glukokortikoider för utvärtes bruk</w:t>
            </w:r>
          </w:p>
        </w:tc>
      </w:tr>
      <w:tr w:rsidR="00702564" w:rsidRPr="00800964" w14:paraId="32BCD610" w14:textId="77777777" w:rsidTr="00632FCC">
        <w:trPr>
          <w:trHeight w:val="303"/>
        </w:trPr>
        <w:tc>
          <w:tcPr>
            <w:tcW w:w="2606" w:type="dxa"/>
            <w:vMerge w:val="restart"/>
          </w:tcPr>
          <w:p w14:paraId="63D21FDB" w14:textId="77777777" w:rsidR="00702564" w:rsidRPr="00800964" w:rsidRDefault="00702564" w:rsidP="00632FCC">
            <w:pPr>
              <w:rPr>
                <w:rFonts w:cs="Arial"/>
                <w:sz w:val="24"/>
                <w:szCs w:val="28"/>
              </w:rPr>
            </w:pPr>
            <w:r w:rsidRPr="00800964">
              <w:rPr>
                <w:rFonts w:cs="Arial"/>
                <w:sz w:val="24"/>
                <w:szCs w:val="28"/>
              </w:rPr>
              <w:t>Milda glukokortikoider</w:t>
            </w:r>
          </w:p>
        </w:tc>
        <w:tc>
          <w:tcPr>
            <w:tcW w:w="887" w:type="dxa"/>
            <w:vMerge w:val="restart"/>
          </w:tcPr>
          <w:p w14:paraId="0F1CFB24" w14:textId="77777777" w:rsidR="00702564" w:rsidRPr="00800964" w:rsidRDefault="00702564" w:rsidP="00632FCC">
            <w:pPr>
              <w:rPr>
                <w:rFonts w:cs="Arial"/>
                <w:sz w:val="24"/>
                <w:szCs w:val="28"/>
              </w:rPr>
            </w:pPr>
            <w:r w:rsidRPr="00800964">
              <w:rPr>
                <w:rFonts w:cs="Arial"/>
                <w:sz w:val="24"/>
                <w:szCs w:val="28"/>
              </w:rPr>
              <w:t>gr I</w:t>
            </w:r>
          </w:p>
        </w:tc>
        <w:tc>
          <w:tcPr>
            <w:tcW w:w="2456" w:type="dxa"/>
            <w:vMerge w:val="restart"/>
          </w:tcPr>
          <w:p w14:paraId="65DB3ABD" w14:textId="77777777" w:rsidR="00702564" w:rsidRPr="00800964" w:rsidRDefault="00702564" w:rsidP="00632FCC">
            <w:pPr>
              <w:rPr>
                <w:rFonts w:cs="Arial"/>
                <w:sz w:val="24"/>
                <w:szCs w:val="28"/>
              </w:rPr>
            </w:pPr>
            <w:r w:rsidRPr="00800964">
              <w:rPr>
                <w:rFonts w:cs="Arial"/>
                <w:sz w:val="24"/>
                <w:szCs w:val="28"/>
              </w:rPr>
              <w:t>hydrokortison</w:t>
            </w:r>
          </w:p>
        </w:tc>
        <w:tc>
          <w:tcPr>
            <w:tcW w:w="2602" w:type="dxa"/>
          </w:tcPr>
          <w:p w14:paraId="26695A60" w14:textId="77777777" w:rsidR="00702564" w:rsidRPr="00800964" w:rsidRDefault="00702564" w:rsidP="00632FCC">
            <w:pPr>
              <w:rPr>
                <w:rFonts w:cs="Arial"/>
                <w:sz w:val="24"/>
                <w:szCs w:val="28"/>
              </w:rPr>
            </w:pPr>
            <w:r w:rsidRPr="00800964">
              <w:rPr>
                <w:rFonts w:cs="Arial"/>
                <w:sz w:val="24"/>
                <w:szCs w:val="28"/>
              </w:rPr>
              <w:t>Hydrokortison</w:t>
            </w:r>
          </w:p>
        </w:tc>
      </w:tr>
      <w:tr w:rsidR="00702564" w:rsidRPr="00800964" w14:paraId="41895C34" w14:textId="77777777" w:rsidTr="00632FCC">
        <w:trPr>
          <w:trHeight w:val="145"/>
        </w:trPr>
        <w:tc>
          <w:tcPr>
            <w:tcW w:w="2606" w:type="dxa"/>
            <w:vMerge/>
          </w:tcPr>
          <w:p w14:paraId="116CFEB4" w14:textId="77777777" w:rsidR="00702564" w:rsidRPr="00800964" w:rsidRDefault="00702564" w:rsidP="00632FCC">
            <w:pPr>
              <w:rPr>
                <w:rFonts w:cs="Arial"/>
                <w:sz w:val="24"/>
                <w:szCs w:val="28"/>
              </w:rPr>
            </w:pPr>
          </w:p>
        </w:tc>
        <w:tc>
          <w:tcPr>
            <w:tcW w:w="887" w:type="dxa"/>
            <w:vMerge/>
          </w:tcPr>
          <w:p w14:paraId="1D73FF88" w14:textId="77777777" w:rsidR="00702564" w:rsidRPr="00800964" w:rsidRDefault="00702564" w:rsidP="00632FCC">
            <w:pPr>
              <w:rPr>
                <w:rFonts w:cs="Arial"/>
                <w:sz w:val="24"/>
                <w:szCs w:val="28"/>
              </w:rPr>
            </w:pPr>
          </w:p>
        </w:tc>
        <w:tc>
          <w:tcPr>
            <w:tcW w:w="2456" w:type="dxa"/>
            <w:vMerge/>
          </w:tcPr>
          <w:p w14:paraId="061ECA78" w14:textId="77777777" w:rsidR="00702564" w:rsidRPr="00800964" w:rsidRDefault="00702564" w:rsidP="00632FCC">
            <w:pPr>
              <w:rPr>
                <w:rFonts w:cs="Arial"/>
                <w:sz w:val="24"/>
                <w:szCs w:val="28"/>
              </w:rPr>
            </w:pPr>
          </w:p>
        </w:tc>
        <w:tc>
          <w:tcPr>
            <w:tcW w:w="2602" w:type="dxa"/>
          </w:tcPr>
          <w:p w14:paraId="664A0AB3" w14:textId="77777777" w:rsidR="00702564" w:rsidRPr="00800964" w:rsidRDefault="00702564" w:rsidP="00632FCC">
            <w:pPr>
              <w:rPr>
                <w:rFonts w:cs="Arial"/>
                <w:sz w:val="24"/>
                <w:szCs w:val="28"/>
              </w:rPr>
            </w:pPr>
            <w:r w:rsidRPr="00800964">
              <w:rPr>
                <w:rFonts w:cs="Arial"/>
                <w:sz w:val="24"/>
                <w:szCs w:val="28"/>
              </w:rPr>
              <w:t>Mildison Lipid</w:t>
            </w:r>
          </w:p>
        </w:tc>
      </w:tr>
      <w:tr w:rsidR="00702564" w:rsidRPr="00800964" w14:paraId="2F6385E0" w14:textId="77777777" w:rsidTr="00632FCC">
        <w:trPr>
          <w:trHeight w:val="145"/>
        </w:trPr>
        <w:tc>
          <w:tcPr>
            <w:tcW w:w="2606" w:type="dxa"/>
            <w:vMerge/>
          </w:tcPr>
          <w:p w14:paraId="4DA3154D" w14:textId="77777777" w:rsidR="00702564" w:rsidRPr="00800964" w:rsidRDefault="00702564" w:rsidP="00632FCC">
            <w:pPr>
              <w:rPr>
                <w:rFonts w:cs="Arial"/>
                <w:sz w:val="24"/>
                <w:szCs w:val="28"/>
              </w:rPr>
            </w:pPr>
          </w:p>
        </w:tc>
        <w:tc>
          <w:tcPr>
            <w:tcW w:w="887" w:type="dxa"/>
            <w:vMerge/>
          </w:tcPr>
          <w:p w14:paraId="0474FFB8" w14:textId="77777777" w:rsidR="00702564" w:rsidRPr="00800964" w:rsidRDefault="00702564" w:rsidP="00632FCC">
            <w:pPr>
              <w:rPr>
                <w:rFonts w:cs="Arial"/>
                <w:sz w:val="24"/>
                <w:szCs w:val="28"/>
              </w:rPr>
            </w:pPr>
          </w:p>
        </w:tc>
        <w:tc>
          <w:tcPr>
            <w:tcW w:w="2456" w:type="dxa"/>
            <w:vMerge/>
          </w:tcPr>
          <w:p w14:paraId="1782FA08" w14:textId="77777777" w:rsidR="00702564" w:rsidRPr="00800964" w:rsidRDefault="00702564" w:rsidP="00632FCC">
            <w:pPr>
              <w:rPr>
                <w:rFonts w:cs="Arial"/>
                <w:sz w:val="24"/>
                <w:szCs w:val="28"/>
              </w:rPr>
            </w:pPr>
          </w:p>
        </w:tc>
        <w:tc>
          <w:tcPr>
            <w:tcW w:w="2602" w:type="dxa"/>
          </w:tcPr>
          <w:p w14:paraId="16BEC3A0" w14:textId="77777777" w:rsidR="00702564" w:rsidRPr="00800964" w:rsidRDefault="00702564" w:rsidP="00632FCC">
            <w:pPr>
              <w:rPr>
                <w:rFonts w:cs="Arial"/>
                <w:sz w:val="24"/>
                <w:szCs w:val="28"/>
              </w:rPr>
            </w:pPr>
            <w:r w:rsidRPr="00800964">
              <w:rPr>
                <w:rFonts w:cs="Arial"/>
                <w:sz w:val="24"/>
                <w:szCs w:val="28"/>
              </w:rPr>
              <w:t>Ficotril</w:t>
            </w:r>
          </w:p>
        </w:tc>
      </w:tr>
      <w:tr w:rsidR="00702564" w:rsidRPr="00800964" w14:paraId="5B5540FC" w14:textId="77777777" w:rsidTr="00632FCC">
        <w:trPr>
          <w:trHeight w:val="615"/>
        </w:trPr>
        <w:tc>
          <w:tcPr>
            <w:tcW w:w="2606" w:type="dxa"/>
          </w:tcPr>
          <w:p w14:paraId="1813B76C" w14:textId="77777777" w:rsidR="00702564" w:rsidRPr="00800964" w:rsidRDefault="00702564" w:rsidP="00632FCC">
            <w:pPr>
              <w:rPr>
                <w:rFonts w:cs="Arial"/>
                <w:sz w:val="24"/>
                <w:szCs w:val="28"/>
              </w:rPr>
            </w:pPr>
            <w:r w:rsidRPr="00800964">
              <w:rPr>
                <w:rFonts w:cs="Arial"/>
                <w:sz w:val="24"/>
                <w:szCs w:val="28"/>
              </w:rPr>
              <w:t>Medelstarka glukokortikoider</w:t>
            </w:r>
          </w:p>
        </w:tc>
        <w:tc>
          <w:tcPr>
            <w:tcW w:w="887" w:type="dxa"/>
          </w:tcPr>
          <w:p w14:paraId="477063EE" w14:textId="77777777" w:rsidR="00702564" w:rsidRPr="00800964" w:rsidRDefault="00702564" w:rsidP="00632FCC">
            <w:pPr>
              <w:rPr>
                <w:rFonts w:cs="Arial"/>
                <w:sz w:val="24"/>
                <w:szCs w:val="28"/>
              </w:rPr>
            </w:pPr>
            <w:r w:rsidRPr="00800964">
              <w:rPr>
                <w:rFonts w:cs="Arial"/>
                <w:sz w:val="24"/>
                <w:szCs w:val="28"/>
              </w:rPr>
              <w:t>gr II</w:t>
            </w:r>
          </w:p>
        </w:tc>
        <w:tc>
          <w:tcPr>
            <w:tcW w:w="2456" w:type="dxa"/>
          </w:tcPr>
          <w:p w14:paraId="3DB6760E" w14:textId="77777777" w:rsidR="00702564" w:rsidRPr="00800964" w:rsidRDefault="00702564" w:rsidP="00632FCC">
            <w:pPr>
              <w:rPr>
                <w:rFonts w:cs="Arial"/>
                <w:sz w:val="24"/>
                <w:szCs w:val="28"/>
              </w:rPr>
            </w:pPr>
            <w:r w:rsidRPr="00800964">
              <w:rPr>
                <w:rFonts w:cs="Arial"/>
                <w:sz w:val="24"/>
                <w:szCs w:val="28"/>
              </w:rPr>
              <w:t>klobetason/ hydrokortisonbutyrat</w:t>
            </w:r>
          </w:p>
        </w:tc>
        <w:tc>
          <w:tcPr>
            <w:tcW w:w="2602" w:type="dxa"/>
          </w:tcPr>
          <w:p w14:paraId="1BDBD3B3" w14:textId="77777777" w:rsidR="00702564" w:rsidRPr="00800964" w:rsidRDefault="00702564" w:rsidP="00632FCC">
            <w:pPr>
              <w:rPr>
                <w:rFonts w:cs="Arial"/>
                <w:sz w:val="24"/>
                <w:szCs w:val="28"/>
              </w:rPr>
            </w:pPr>
            <w:r w:rsidRPr="00800964">
              <w:rPr>
                <w:rFonts w:cs="Arial"/>
                <w:sz w:val="24"/>
                <w:szCs w:val="28"/>
              </w:rPr>
              <w:t>Emovat/Locoid</w:t>
            </w:r>
          </w:p>
        </w:tc>
      </w:tr>
      <w:tr w:rsidR="00702564" w:rsidRPr="00800964" w14:paraId="1D722F00" w14:textId="77777777" w:rsidTr="00632FCC">
        <w:trPr>
          <w:trHeight w:val="303"/>
        </w:trPr>
        <w:tc>
          <w:tcPr>
            <w:tcW w:w="2606" w:type="dxa"/>
            <w:vMerge w:val="restart"/>
          </w:tcPr>
          <w:p w14:paraId="70AADDE8" w14:textId="77777777" w:rsidR="00702564" w:rsidRPr="00800964" w:rsidRDefault="00702564" w:rsidP="00632FCC">
            <w:pPr>
              <w:rPr>
                <w:rFonts w:cs="Arial"/>
                <w:sz w:val="24"/>
                <w:szCs w:val="28"/>
              </w:rPr>
            </w:pPr>
            <w:r w:rsidRPr="00800964">
              <w:rPr>
                <w:rFonts w:cs="Arial"/>
                <w:sz w:val="24"/>
                <w:szCs w:val="28"/>
              </w:rPr>
              <w:t>Starka glukokortikosterioider</w:t>
            </w:r>
          </w:p>
        </w:tc>
        <w:tc>
          <w:tcPr>
            <w:tcW w:w="887" w:type="dxa"/>
            <w:vMerge w:val="restart"/>
          </w:tcPr>
          <w:p w14:paraId="66100FBB" w14:textId="77777777" w:rsidR="00702564" w:rsidRPr="00800964" w:rsidRDefault="00702564" w:rsidP="00632FCC">
            <w:pPr>
              <w:rPr>
                <w:rFonts w:cs="Arial"/>
                <w:sz w:val="24"/>
                <w:szCs w:val="28"/>
              </w:rPr>
            </w:pPr>
            <w:r w:rsidRPr="00800964">
              <w:rPr>
                <w:rFonts w:cs="Arial"/>
                <w:sz w:val="24"/>
                <w:szCs w:val="28"/>
              </w:rPr>
              <w:t>gr III</w:t>
            </w:r>
          </w:p>
        </w:tc>
        <w:tc>
          <w:tcPr>
            <w:tcW w:w="2456" w:type="dxa"/>
          </w:tcPr>
          <w:p w14:paraId="11385BEB" w14:textId="77777777" w:rsidR="00702564" w:rsidRPr="00800964" w:rsidRDefault="00702564" w:rsidP="00632FCC">
            <w:pPr>
              <w:rPr>
                <w:rFonts w:cs="Arial"/>
                <w:sz w:val="24"/>
                <w:szCs w:val="28"/>
              </w:rPr>
            </w:pPr>
            <w:r w:rsidRPr="00800964">
              <w:rPr>
                <w:rFonts w:cs="Arial"/>
                <w:sz w:val="24"/>
                <w:szCs w:val="28"/>
              </w:rPr>
              <w:t>mometason</w:t>
            </w:r>
          </w:p>
        </w:tc>
        <w:tc>
          <w:tcPr>
            <w:tcW w:w="2602" w:type="dxa"/>
          </w:tcPr>
          <w:p w14:paraId="3A2AF7D3" w14:textId="77777777" w:rsidR="00702564" w:rsidRPr="00800964" w:rsidRDefault="00702564" w:rsidP="00632FCC">
            <w:pPr>
              <w:rPr>
                <w:rFonts w:cs="Arial"/>
                <w:sz w:val="24"/>
                <w:szCs w:val="28"/>
              </w:rPr>
            </w:pPr>
            <w:r w:rsidRPr="00800964">
              <w:rPr>
                <w:rFonts w:cs="Arial"/>
                <w:sz w:val="24"/>
                <w:szCs w:val="28"/>
              </w:rPr>
              <w:t>Mometason</w:t>
            </w:r>
            <w:r>
              <w:rPr>
                <w:rFonts w:cs="Arial"/>
                <w:sz w:val="24"/>
                <w:szCs w:val="28"/>
              </w:rPr>
              <w:t xml:space="preserve"> </w:t>
            </w:r>
            <w:r w:rsidRPr="00B205D5">
              <w:rPr>
                <w:rFonts w:cs="Arial"/>
                <w:sz w:val="24"/>
                <w:szCs w:val="28"/>
              </w:rPr>
              <w:t>kräm</w:t>
            </w:r>
            <w:r w:rsidRPr="00800964">
              <w:rPr>
                <w:rFonts w:cs="Arial"/>
                <w:sz w:val="24"/>
                <w:szCs w:val="28"/>
              </w:rPr>
              <w:t xml:space="preserve">, </w:t>
            </w:r>
            <w:r>
              <w:rPr>
                <w:rFonts w:cs="Arial"/>
                <w:sz w:val="24"/>
                <w:szCs w:val="28"/>
              </w:rPr>
              <w:br/>
            </w:r>
            <w:r w:rsidRPr="00800964">
              <w:rPr>
                <w:rFonts w:cs="Arial"/>
                <w:sz w:val="24"/>
                <w:szCs w:val="28"/>
              </w:rPr>
              <w:t>Ovixan</w:t>
            </w:r>
            <w:r>
              <w:rPr>
                <w:rFonts w:cs="Arial"/>
                <w:sz w:val="24"/>
                <w:szCs w:val="28"/>
              </w:rPr>
              <w:t xml:space="preserve"> </w:t>
            </w:r>
            <w:r w:rsidRPr="00B205D5">
              <w:rPr>
                <w:rFonts w:cs="Arial"/>
                <w:sz w:val="24"/>
                <w:szCs w:val="28"/>
              </w:rPr>
              <w:t>kräm</w:t>
            </w:r>
          </w:p>
        </w:tc>
      </w:tr>
      <w:tr w:rsidR="00702564" w:rsidRPr="00800964" w14:paraId="03927A45" w14:textId="77777777" w:rsidTr="00632FCC">
        <w:trPr>
          <w:trHeight w:val="145"/>
        </w:trPr>
        <w:tc>
          <w:tcPr>
            <w:tcW w:w="2606" w:type="dxa"/>
            <w:vMerge/>
          </w:tcPr>
          <w:p w14:paraId="4081C235" w14:textId="77777777" w:rsidR="00702564" w:rsidRPr="00800964" w:rsidRDefault="00702564" w:rsidP="00632FCC">
            <w:pPr>
              <w:rPr>
                <w:rFonts w:cs="Arial"/>
                <w:sz w:val="24"/>
                <w:szCs w:val="28"/>
              </w:rPr>
            </w:pPr>
          </w:p>
        </w:tc>
        <w:tc>
          <w:tcPr>
            <w:tcW w:w="887" w:type="dxa"/>
            <w:vMerge/>
          </w:tcPr>
          <w:p w14:paraId="4D042F5D" w14:textId="77777777" w:rsidR="00702564" w:rsidRPr="00800964" w:rsidRDefault="00702564" w:rsidP="00632FCC">
            <w:pPr>
              <w:rPr>
                <w:rFonts w:cs="Arial"/>
                <w:sz w:val="24"/>
                <w:szCs w:val="28"/>
              </w:rPr>
            </w:pPr>
          </w:p>
        </w:tc>
        <w:tc>
          <w:tcPr>
            <w:tcW w:w="2456" w:type="dxa"/>
          </w:tcPr>
          <w:p w14:paraId="3499E0E5" w14:textId="77777777" w:rsidR="00702564" w:rsidRPr="00800964" w:rsidRDefault="00702564" w:rsidP="00632FCC">
            <w:pPr>
              <w:rPr>
                <w:rFonts w:cs="Arial"/>
                <w:sz w:val="24"/>
                <w:szCs w:val="28"/>
              </w:rPr>
            </w:pPr>
            <w:r w:rsidRPr="00800964">
              <w:rPr>
                <w:rFonts w:cs="Arial"/>
                <w:sz w:val="24"/>
                <w:szCs w:val="28"/>
              </w:rPr>
              <w:t>Betametason</w:t>
            </w:r>
          </w:p>
        </w:tc>
        <w:tc>
          <w:tcPr>
            <w:tcW w:w="2602" w:type="dxa"/>
          </w:tcPr>
          <w:p w14:paraId="0E55906E" w14:textId="77777777" w:rsidR="00702564" w:rsidRPr="00800964" w:rsidRDefault="00702564" w:rsidP="00632FCC">
            <w:pPr>
              <w:rPr>
                <w:rFonts w:cs="Arial"/>
                <w:sz w:val="24"/>
                <w:szCs w:val="28"/>
              </w:rPr>
            </w:pPr>
            <w:r w:rsidRPr="00800964">
              <w:rPr>
                <w:rFonts w:cs="Arial"/>
                <w:sz w:val="24"/>
                <w:szCs w:val="28"/>
              </w:rPr>
              <w:t>Betnovat</w:t>
            </w:r>
          </w:p>
        </w:tc>
      </w:tr>
      <w:tr w:rsidR="00702564" w:rsidRPr="00800964" w14:paraId="4C222726" w14:textId="77777777" w:rsidTr="00632FCC">
        <w:trPr>
          <w:trHeight w:val="311"/>
        </w:trPr>
        <w:tc>
          <w:tcPr>
            <w:tcW w:w="2606" w:type="dxa"/>
          </w:tcPr>
          <w:p w14:paraId="25696649" w14:textId="77777777" w:rsidR="00702564" w:rsidRPr="00800964" w:rsidRDefault="00702564" w:rsidP="00632FCC">
            <w:pPr>
              <w:rPr>
                <w:rFonts w:cs="Arial"/>
                <w:sz w:val="24"/>
                <w:szCs w:val="28"/>
              </w:rPr>
            </w:pPr>
            <w:r>
              <w:rPr>
                <w:rFonts w:cs="Arial"/>
                <w:sz w:val="24"/>
                <w:szCs w:val="28"/>
              </w:rPr>
              <w:t xml:space="preserve"> </w:t>
            </w:r>
            <w:r w:rsidRPr="00800964">
              <w:rPr>
                <w:rFonts w:cs="Arial"/>
                <w:sz w:val="24"/>
                <w:szCs w:val="28"/>
              </w:rPr>
              <w:t>Mycket stark glukokortikoid</w:t>
            </w:r>
          </w:p>
        </w:tc>
        <w:tc>
          <w:tcPr>
            <w:tcW w:w="887" w:type="dxa"/>
          </w:tcPr>
          <w:p w14:paraId="5785C15B" w14:textId="77777777" w:rsidR="00702564" w:rsidRPr="00800964" w:rsidRDefault="00702564" w:rsidP="00632FCC">
            <w:pPr>
              <w:rPr>
                <w:rFonts w:cs="Arial"/>
                <w:sz w:val="24"/>
                <w:szCs w:val="28"/>
              </w:rPr>
            </w:pPr>
            <w:r w:rsidRPr="00800964">
              <w:rPr>
                <w:rFonts w:cs="Arial"/>
                <w:sz w:val="24"/>
                <w:szCs w:val="28"/>
              </w:rPr>
              <w:t>gr IV</w:t>
            </w:r>
          </w:p>
        </w:tc>
        <w:tc>
          <w:tcPr>
            <w:tcW w:w="2456" w:type="dxa"/>
          </w:tcPr>
          <w:p w14:paraId="41579ACC" w14:textId="77777777" w:rsidR="00702564" w:rsidRPr="00800964" w:rsidRDefault="00702564" w:rsidP="00632FCC">
            <w:pPr>
              <w:rPr>
                <w:rFonts w:cs="Arial"/>
                <w:sz w:val="24"/>
                <w:szCs w:val="28"/>
              </w:rPr>
            </w:pPr>
            <w:r w:rsidRPr="00800964">
              <w:rPr>
                <w:rFonts w:cs="Arial"/>
                <w:sz w:val="24"/>
                <w:szCs w:val="28"/>
              </w:rPr>
              <w:t>klobetasol</w:t>
            </w:r>
          </w:p>
        </w:tc>
        <w:tc>
          <w:tcPr>
            <w:tcW w:w="2602" w:type="dxa"/>
          </w:tcPr>
          <w:p w14:paraId="58DA5CAC" w14:textId="77777777" w:rsidR="00702564" w:rsidRPr="00800964" w:rsidRDefault="00702564" w:rsidP="00632FCC">
            <w:pPr>
              <w:rPr>
                <w:rFonts w:cs="Arial"/>
                <w:sz w:val="24"/>
                <w:szCs w:val="28"/>
              </w:rPr>
            </w:pPr>
            <w:r w:rsidRPr="00800964">
              <w:rPr>
                <w:rFonts w:cs="Arial"/>
                <w:sz w:val="24"/>
                <w:szCs w:val="28"/>
              </w:rPr>
              <w:t>Dermovat</w:t>
            </w:r>
          </w:p>
        </w:tc>
      </w:tr>
    </w:tbl>
    <w:p w14:paraId="5544AF86" w14:textId="77777777" w:rsidR="00702564" w:rsidRPr="00800964" w:rsidRDefault="00702564" w:rsidP="00702564">
      <w:pPr>
        <w:rPr>
          <w:rFonts w:cs="Arial"/>
          <w:sz w:val="24"/>
          <w:szCs w:val="28"/>
        </w:rPr>
      </w:pPr>
      <w:r w:rsidRPr="00800964">
        <w:rPr>
          <w:rFonts w:cs="Arial"/>
          <w:sz w:val="24"/>
          <w:szCs w:val="28"/>
        </w:rPr>
        <w:br/>
      </w:r>
    </w:p>
    <w:tbl>
      <w:tblPr>
        <w:tblStyle w:val="Tabellrutnt"/>
        <w:tblpPr w:leftFromText="141" w:rightFromText="141" w:vertAnchor="text" w:tblpY="1"/>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673"/>
        <w:gridCol w:w="2693"/>
      </w:tblGrid>
      <w:tr w:rsidR="00702564" w:rsidRPr="0071138D" w14:paraId="3BE2F190" w14:textId="77777777" w:rsidTr="00632FCC">
        <w:trPr>
          <w:trHeight w:val="418"/>
        </w:trPr>
        <w:tc>
          <w:tcPr>
            <w:tcW w:w="8642" w:type="dxa"/>
            <w:gridSpan w:val="3"/>
            <w:shd w:val="clear" w:color="auto" w:fill="B1D7FF" w:themeFill="text2" w:themeFillTint="33"/>
          </w:tcPr>
          <w:p w14:paraId="470E95E6" w14:textId="77777777" w:rsidR="00702564" w:rsidRPr="000F68F4" w:rsidRDefault="00702564" w:rsidP="00632FCC">
            <w:pPr>
              <w:rPr>
                <w:rFonts w:cs="Arial"/>
                <w:b/>
                <w:bCs/>
                <w:szCs w:val="24"/>
              </w:rPr>
            </w:pPr>
            <w:r w:rsidRPr="000F68F4">
              <w:rPr>
                <w:rFonts w:cs="Arial"/>
                <w:b/>
                <w:bCs/>
                <w:szCs w:val="24"/>
              </w:rPr>
              <w:t>Glukokortikoider i kombination med antimykotika</w:t>
            </w:r>
          </w:p>
          <w:p w14:paraId="159979D1" w14:textId="77777777" w:rsidR="00702564" w:rsidRPr="0071138D" w:rsidRDefault="00702564" w:rsidP="00632FCC">
            <w:pPr>
              <w:rPr>
                <w:rFonts w:cs="Arial"/>
                <w:szCs w:val="24"/>
              </w:rPr>
            </w:pPr>
          </w:p>
        </w:tc>
      </w:tr>
      <w:tr w:rsidR="00702564" w:rsidRPr="00800964" w14:paraId="719EE865" w14:textId="77777777" w:rsidTr="00632FCC">
        <w:tc>
          <w:tcPr>
            <w:tcW w:w="1276" w:type="dxa"/>
            <w:vMerge w:val="restart"/>
          </w:tcPr>
          <w:p w14:paraId="0C59E25B" w14:textId="77777777" w:rsidR="00702564" w:rsidRPr="00800964" w:rsidRDefault="00702564" w:rsidP="00632FCC">
            <w:pPr>
              <w:rPr>
                <w:rFonts w:cs="Arial"/>
                <w:sz w:val="24"/>
                <w:szCs w:val="28"/>
              </w:rPr>
            </w:pPr>
            <w:r w:rsidRPr="00800964">
              <w:rPr>
                <w:rFonts w:cs="Arial"/>
                <w:sz w:val="24"/>
                <w:szCs w:val="28"/>
              </w:rPr>
              <w:t>gr I</w:t>
            </w:r>
          </w:p>
        </w:tc>
        <w:tc>
          <w:tcPr>
            <w:tcW w:w="4673" w:type="dxa"/>
            <w:vMerge w:val="restart"/>
          </w:tcPr>
          <w:p w14:paraId="6F4D63A5" w14:textId="77777777" w:rsidR="00702564" w:rsidRPr="00800964" w:rsidRDefault="00702564" w:rsidP="00632FCC">
            <w:pPr>
              <w:rPr>
                <w:rFonts w:cs="Arial"/>
                <w:sz w:val="24"/>
                <w:szCs w:val="28"/>
              </w:rPr>
            </w:pPr>
            <w:r w:rsidRPr="00800964">
              <w:rPr>
                <w:rFonts w:cs="Arial"/>
                <w:sz w:val="24"/>
                <w:szCs w:val="28"/>
              </w:rPr>
              <w:t>hydrokortison + mikonazol</w:t>
            </w:r>
          </w:p>
        </w:tc>
        <w:tc>
          <w:tcPr>
            <w:tcW w:w="2693" w:type="dxa"/>
          </w:tcPr>
          <w:p w14:paraId="06F49FB0" w14:textId="77777777" w:rsidR="00702564" w:rsidRPr="00800964" w:rsidRDefault="00702564" w:rsidP="00632FCC">
            <w:pPr>
              <w:rPr>
                <w:rFonts w:cs="Arial"/>
                <w:sz w:val="24"/>
                <w:szCs w:val="28"/>
              </w:rPr>
            </w:pPr>
            <w:r w:rsidRPr="00800964">
              <w:rPr>
                <w:rFonts w:cs="Arial"/>
                <w:sz w:val="24"/>
                <w:szCs w:val="28"/>
              </w:rPr>
              <w:t>Cortimyk</w:t>
            </w:r>
          </w:p>
        </w:tc>
      </w:tr>
      <w:tr w:rsidR="00702564" w:rsidRPr="00800964" w14:paraId="50DF9D72" w14:textId="77777777" w:rsidTr="00632FCC">
        <w:tc>
          <w:tcPr>
            <w:tcW w:w="1276" w:type="dxa"/>
            <w:vMerge/>
          </w:tcPr>
          <w:p w14:paraId="78465323" w14:textId="77777777" w:rsidR="00702564" w:rsidRPr="00800964" w:rsidRDefault="00702564" w:rsidP="00632FCC">
            <w:pPr>
              <w:rPr>
                <w:rFonts w:cs="Arial"/>
                <w:sz w:val="24"/>
                <w:szCs w:val="28"/>
              </w:rPr>
            </w:pPr>
          </w:p>
        </w:tc>
        <w:tc>
          <w:tcPr>
            <w:tcW w:w="4673" w:type="dxa"/>
            <w:vMerge/>
          </w:tcPr>
          <w:p w14:paraId="3CF06E03" w14:textId="77777777" w:rsidR="00702564" w:rsidRPr="00800964" w:rsidRDefault="00702564" w:rsidP="00632FCC">
            <w:pPr>
              <w:rPr>
                <w:rFonts w:cs="Arial"/>
                <w:sz w:val="24"/>
                <w:szCs w:val="28"/>
              </w:rPr>
            </w:pPr>
          </w:p>
        </w:tc>
        <w:tc>
          <w:tcPr>
            <w:tcW w:w="2693" w:type="dxa"/>
          </w:tcPr>
          <w:p w14:paraId="6EB92C26" w14:textId="77777777" w:rsidR="00702564" w:rsidRPr="00800964" w:rsidRDefault="00702564" w:rsidP="00632FCC">
            <w:pPr>
              <w:rPr>
                <w:rFonts w:cs="Arial"/>
                <w:sz w:val="24"/>
                <w:szCs w:val="28"/>
              </w:rPr>
            </w:pPr>
            <w:r w:rsidRPr="00800964">
              <w:rPr>
                <w:rFonts w:cs="Arial"/>
                <w:sz w:val="24"/>
                <w:szCs w:val="28"/>
              </w:rPr>
              <w:t>Daktacort</w:t>
            </w:r>
          </w:p>
        </w:tc>
      </w:tr>
      <w:tr w:rsidR="00702564" w:rsidRPr="00800964" w14:paraId="64F2E030" w14:textId="77777777" w:rsidTr="00632FCC">
        <w:tc>
          <w:tcPr>
            <w:tcW w:w="1276" w:type="dxa"/>
          </w:tcPr>
          <w:p w14:paraId="2DA81121" w14:textId="77777777" w:rsidR="00702564" w:rsidRPr="00800964" w:rsidRDefault="00702564" w:rsidP="00632FCC">
            <w:pPr>
              <w:rPr>
                <w:rFonts w:cs="Arial"/>
                <w:sz w:val="24"/>
                <w:szCs w:val="28"/>
              </w:rPr>
            </w:pPr>
            <w:r w:rsidRPr="00800964">
              <w:rPr>
                <w:rFonts w:cs="Arial"/>
                <w:sz w:val="24"/>
                <w:szCs w:val="28"/>
              </w:rPr>
              <w:t>gr II</w:t>
            </w:r>
          </w:p>
        </w:tc>
        <w:tc>
          <w:tcPr>
            <w:tcW w:w="4673" w:type="dxa"/>
          </w:tcPr>
          <w:p w14:paraId="23A5FC5A" w14:textId="77777777" w:rsidR="00702564" w:rsidRPr="00800964" w:rsidRDefault="00702564" w:rsidP="00632FCC">
            <w:pPr>
              <w:rPr>
                <w:rFonts w:cs="Arial"/>
                <w:sz w:val="24"/>
                <w:szCs w:val="28"/>
              </w:rPr>
            </w:pPr>
            <w:r w:rsidRPr="00800964">
              <w:rPr>
                <w:rFonts w:cs="Arial"/>
                <w:sz w:val="24"/>
                <w:szCs w:val="28"/>
              </w:rPr>
              <w:t>triamcinolon + ekonazol</w:t>
            </w:r>
          </w:p>
        </w:tc>
        <w:tc>
          <w:tcPr>
            <w:tcW w:w="2693" w:type="dxa"/>
          </w:tcPr>
          <w:p w14:paraId="31CEC89C" w14:textId="77777777" w:rsidR="00702564" w:rsidRPr="00800964" w:rsidRDefault="00702564" w:rsidP="00632FCC">
            <w:pPr>
              <w:rPr>
                <w:rFonts w:cs="Arial"/>
                <w:sz w:val="24"/>
                <w:szCs w:val="28"/>
              </w:rPr>
            </w:pPr>
            <w:r w:rsidRPr="00800964">
              <w:rPr>
                <w:rFonts w:cs="Arial"/>
                <w:sz w:val="24"/>
                <w:szCs w:val="28"/>
              </w:rPr>
              <w:t>Pevisone</w:t>
            </w:r>
          </w:p>
        </w:tc>
      </w:tr>
    </w:tbl>
    <w:p w14:paraId="548F7145" w14:textId="77777777" w:rsidR="00702564" w:rsidRPr="00800964" w:rsidRDefault="00702564" w:rsidP="00702564">
      <w:pPr>
        <w:rPr>
          <w:rFonts w:cs="Arial"/>
          <w:sz w:val="24"/>
          <w:szCs w:val="28"/>
        </w:rPr>
      </w:pPr>
    </w:p>
    <w:p w14:paraId="1DF94A1F" w14:textId="77777777" w:rsidR="00702564" w:rsidRPr="00386EE7" w:rsidRDefault="00702564" w:rsidP="00702564">
      <w:pPr>
        <w:rPr>
          <w:rFonts w:eastAsia="Times New Roman" w:cs="Arial"/>
          <w:b/>
          <w:bCs/>
          <w:szCs w:val="24"/>
        </w:rPr>
      </w:pPr>
    </w:p>
    <w:p w14:paraId="7F9D49DF" w14:textId="77777777" w:rsidR="00702564" w:rsidRDefault="00702564" w:rsidP="00702564">
      <w:pPr>
        <w:rPr>
          <w:rFonts w:cs="Arial"/>
          <w:sz w:val="24"/>
          <w:szCs w:val="24"/>
          <w:highlight w:val="yellow"/>
        </w:rPr>
      </w:pPr>
    </w:p>
    <w:p w14:paraId="5027DC35" w14:textId="77777777" w:rsidR="00702564" w:rsidRDefault="00702564" w:rsidP="00702564">
      <w:pPr>
        <w:pStyle w:val="Rubrik3"/>
        <w:rPr>
          <w:rFonts w:cs="Arial"/>
          <w:szCs w:val="24"/>
        </w:rPr>
      </w:pPr>
    </w:p>
    <w:tbl>
      <w:tblPr>
        <w:tblStyle w:val="Tabellrutnt"/>
        <w:tblpPr w:leftFromText="141" w:rightFromText="141" w:vertAnchor="text" w:horzAnchor="margin" w:tblpY="455"/>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693"/>
      </w:tblGrid>
      <w:tr w:rsidR="00702564" w:rsidRPr="00B205D5" w14:paraId="0A215241" w14:textId="77777777" w:rsidTr="00632FCC">
        <w:trPr>
          <w:trHeight w:val="564"/>
        </w:trPr>
        <w:tc>
          <w:tcPr>
            <w:tcW w:w="8642" w:type="dxa"/>
            <w:gridSpan w:val="2"/>
            <w:shd w:val="clear" w:color="auto" w:fill="B1D7FF" w:themeFill="accent2" w:themeFillTint="33"/>
          </w:tcPr>
          <w:p w14:paraId="2437C22F" w14:textId="77777777" w:rsidR="00702564" w:rsidRPr="00B205D5" w:rsidRDefault="00702564" w:rsidP="00632FCC">
            <w:pPr>
              <w:rPr>
                <w:rFonts w:cs="Arial"/>
                <w:b/>
                <w:bCs/>
                <w:szCs w:val="24"/>
              </w:rPr>
            </w:pPr>
            <w:r w:rsidRPr="00B205D5">
              <w:rPr>
                <w:rFonts w:cs="Arial"/>
                <w:b/>
                <w:bCs/>
                <w:szCs w:val="24"/>
              </w:rPr>
              <w:t>Kalcineurinhämmare</w:t>
            </w:r>
          </w:p>
        </w:tc>
      </w:tr>
      <w:tr w:rsidR="00702564" w:rsidRPr="00B205D5" w14:paraId="2077F3E8" w14:textId="77777777" w:rsidTr="00632FCC">
        <w:tc>
          <w:tcPr>
            <w:tcW w:w="5949" w:type="dxa"/>
          </w:tcPr>
          <w:p w14:paraId="3B5D3E89" w14:textId="77777777" w:rsidR="00702564" w:rsidRPr="00B205D5" w:rsidRDefault="00702564" w:rsidP="00632FCC">
            <w:pPr>
              <w:rPr>
                <w:rFonts w:cs="Arial"/>
                <w:b/>
                <w:bCs/>
                <w:sz w:val="24"/>
                <w:szCs w:val="28"/>
              </w:rPr>
            </w:pPr>
            <w:r w:rsidRPr="00B205D5">
              <w:rPr>
                <w:rFonts w:cs="Arial"/>
                <w:b/>
                <w:bCs/>
                <w:sz w:val="24"/>
                <w:szCs w:val="28"/>
              </w:rPr>
              <w:t>pimekrolimus</w:t>
            </w:r>
          </w:p>
        </w:tc>
        <w:tc>
          <w:tcPr>
            <w:tcW w:w="2693" w:type="dxa"/>
          </w:tcPr>
          <w:p w14:paraId="0334ED15" w14:textId="77777777" w:rsidR="00702564" w:rsidRPr="00B205D5" w:rsidRDefault="00702564" w:rsidP="00632FCC">
            <w:pPr>
              <w:rPr>
                <w:rFonts w:cs="Arial"/>
                <w:sz w:val="24"/>
                <w:szCs w:val="28"/>
              </w:rPr>
            </w:pPr>
            <w:r w:rsidRPr="00B205D5">
              <w:rPr>
                <w:rFonts w:cs="Arial"/>
                <w:sz w:val="24"/>
                <w:szCs w:val="28"/>
              </w:rPr>
              <w:t>Elidel</w:t>
            </w:r>
          </w:p>
        </w:tc>
      </w:tr>
      <w:tr w:rsidR="00702564" w:rsidRPr="00800964" w14:paraId="50850B4A" w14:textId="77777777" w:rsidTr="00632FCC">
        <w:tc>
          <w:tcPr>
            <w:tcW w:w="5949" w:type="dxa"/>
          </w:tcPr>
          <w:p w14:paraId="34D4C461" w14:textId="77777777" w:rsidR="00702564" w:rsidRPr="00B205D5" w:rsidRDefault="00702564" w:rsidP="00632FCC">
            <w:pPr>
              <w:rPr>
                <w:rFonts w:cs="Arial"/>
                <w:b/>
                <w:bCs/>
                <w:sz w:val="24"/>
                <w:szCs w:val="28"/>
              </w:rPr>
            </w:pPr>
            <w:r w:rsidRPr="00B205D5">
              <w:rPr>
                <w:rFonts w:cs="Arial"/>
                <w:b/>
                <w:bCs/>
                <w:sz w:val="24"/>
                <w:szCs w:val="28"/>
              </w:rPr>
              <w:t>takrolimus</w:t>
            </w:r>
          </w:p>
        </w:tc>
        <w:tc>
          <w:tcPr>
            <w:tcW w:w="2693" w:type="dxa"/>
          </w:tcPr>
          <w:p w14:paraId="617E9773" w14:textId="77777777" w:rsidR="00702564" w:rsidRPr="00800964" w:rsidRDefault="00702564" w:rsidP="00632FCC">
            <w:pPr>
              <w:rPr>
                <w:rFonts w:cs="Arial"/>
                <w:sz w:val="24"/>
                <w:szCs w:val="28"/>
              </w:rPr>
            </w:pPr>
            <w:r w:rsidRPr="00B205D5">
              <w:rPr>
                <w:rFonts w:cs="Arial"/>
                <w:sz w:val="24"/>
                <w:szCs w:val="28"/>
              </w:rPr>
              <w:t>Protopic</w:t>
            </w:r>
          </w:p>
        </w:tc>
      </w:tr>
    </w:tbl>
    <w:p w14:paraId="1B0F0108" w14:textId="77777777" w:rsidR="00702564" w:rsidRDefault="00702564" w:rsidP="00702564">
      <w:pPr>
        <w:pStyle w:val="Rubrik3"/>
        <w:rPr>
          <w:rFonts w:cs="Arial"/>
          <w:szCs w:val="24"/>
        </w:rPr>
      </w:pPr>
    </w:p>
    <w:p w14:paraId="29A76002" w14:textId="77777777" w:rsidR="00702564" w:rsidRDefault="00702564" w:rsidP="00702564">
      <w:pPr>
        <w:rPr>
          <w:rFonts w:cs="Arial"/>
          <w:sz w:val="24"/>
          <w:szCs w:val="24"/>
          <w:highlight w:val="yellow"/>
        </w:rPr>
      </w:pPr>
      <w:r>
        <w:rPr>
          <w:rFonts w:cs="Arial"/>
          <w:szCs w:val="24"/>
        </w:rPr>
        <w:br/>
      </w:r>
      <w:r w:rsidRPr="00800964">
        <w:rPr>
          <w:rFonts w:cs="Arial"/>
          <w:sz w:val="24"/>
          <w:szCs w:val="24"/>
        </w:rPr>
        <w:br/>
      </w:r>
      <w:r>
        <w:br/>
      </w:r>
    </w:p>
    <w:p w14:paraId="151AE6E0" w14:textId="77777777" w:rsidR="00702564" w:rsidRPr="00B205D5" w:rsidRDefault="00702564" w:rsidP="00702564">
      <w:pPr>
        <w:rPr>
          <w:rFonts w:cs="Arial"/>
          <w:sz w:val="24"/>
          <w:szCs w:val="24"/>
        </w:rPr>
      </w:pPr>
      <w:r w:rsidRPr="00B205D5">
        <w:rPr>
          <w:rFonts w:cs="Arial"/>
          <w:sz w:val="24"/>
          <w:szCs w:val="24"/>
        </w:rPr>
        <w:t>Som alternativ till topikala kortisonpreparat finns lokala kalcineurinhämmare som takrolimus eller pimekrolimus. De appliceras 2 gånger om dagen tills eksemet är läkt sen endast 2 gånger per vecka som underhållning. Används främst i ansiktet, inklusiv</w:t>
      </w:r>
      <w:r>
        <w:rPr>
          <w:rFonts w:cs="Arial"/>
          <w:sz w:val="24"/>
          <w:szCs w:val="24"/>
        </w:rPr>
        <w:t>t</w:t>
      </w:r>
      <w:r w:rsidRPr="00B205D5">
        <w:rPr>
          <w:rFonts w:cs="Arial"/>
          <w:sz w:val="24"/>
          <w:szCs w:val="24"/>
        </w:rPr>
        <w:t xml:space="preserve"> ögonlock, eller i hudveck eftersom de har bra inflammationsdämpande och klådstillande effekt samt ger inte upphov till kortisonatrofi som lokala kortisonen gör. </w:t>
      </w:r>
    </w:p>
    <w:p w14:paraId="4417D10D" w14:textId="77777777" w:rsidR="00702564" w:rsidRPr="00B205D5" w:rsidRDefault="00702564" w:rsidP="00702564">
      <w:pPr>
        <w:rPr>
          <w:rFonts w:cs="Arial"/>
          <w:sz w:val="24"/>
          <w:szCs w:val="24"/>
        </w:rPr>
      </w:pPr>
      <w:r w:rsidRPr="00B205D5">
        <w:rPr>
          <w:rFonts w:cs="Arial"/>
          <w:sz w:val="24"/>
          <w:szCs w:val="24"/>
        </w:rPr>
        <w:t xml:space="preserve">Pimekrolimus (Elidel) är godkänd från 3 månaders ålder och är avsett för lindrig dermatit. </w:t>
      </w:r>
      <w:r>
        <w:rPr>
          <w:rFonts w:cs="Arial"/>
          <w:sz w:val="24"/>
          <w:szCs w:val="24"/>
        </w:rPr>
        <w:br/>
      </w:r>
      <w:r w:rsidRPr="00B205D5">
        <w:rPr>
          <w:rFonts w:cs="Arial"/>
          <w:sz w:val="24"/>
          <w:szCs w:val="24"/>
        </w:rPr>
        <w:t xml:space="preserve">För lindrig till måttlig dermatit används takrolimus (Protopic). takrolimus 0,03% bör användas för barn mellan 2–16 år, medan för patienter som är 16 år eller äldre ska man använda takrolimus 0,1%. </w:t>
      </w:r>
    </w:p>
    <w:p w14:paraId="60BBC9F8" w14:textId="77777777" w:rsidR="00702564" w:rsidRPr="00B205D5" w:rsidRDefault="00702564" w:rsidP="00702564">
      <w:pPr>
        <w:rPr>
          <w:rFonts w:cs="Arial"/>
          <w:sz w:val="24"/>
          <w:szCs w:val="24"/>
        </w:rPr>
      </w:pPr>
      <w:r w:rsidRPr="00B205D5">
        <w:rPr>
          <w:rFonts w:cs="Arial"/>
          <w:sz w:val="24"/>
          <w:szCs w:val="24"/>
        </w:rPr>
        <w:t>En vanlig biverkning är brännande känsla i huden, vilket brukar gå över inom ca 2 veckor. </w:t>
      </w:r>
    </w:p>
    <w:p w14:paraId="1F401EAA" w14:textId="77777777" w:rsidR="00702564" w:rsidRPr="00B205D5" w:rsidRDefault="00702564" w:rsidP="00702564">
      <w:pPr>
        <w:rPr>
          <w:rFonts w:cs="Arial"/>
          <w:sz w:val="24"/>
          <w:szCs w:val="24"/>
        </w:rPr>
      </w:pPr>
    </w:p>
    <w:p w14:paraId="79E524FD" w14:textId="77777777" w:rsidR="00702564" w:rsidRDefault="00702564" w:rsidP="00702564">
      <w:pPr>
        <w:rPr>
          <w:rFonts w:cs="Arial"/>
          <w:sz w:val="24"/>
          <w:szCs w:val="24"/>
        </w:rPr>
      </w:pPr>
      <w:r w:rsidRPr="00B205D5">
        <w:rPr>
          <w:rFonts w:cs="Arial"/>
          <w:sz w:val="24"/>
          <w:szCs w:val="24"/>
        </w:rPr>
        <w:t xml:space="preserve">När det gäller gravida kvinnor kan kortikosteroid gr.II-III ges i doser upp till 200 g per månad. </w:t>
      </w:r>
      <w:r>
        <w:rPr>
          <w:rFonts w:cs="Arial"/>
          <w:sz w:val="24"/>
          <w:szCs w:val="24"/>
        </w:rPr>
        <w:br/>
      </w:r>
      <w:r w:rsidRPr="00B205D5">
        <w:rPr>
          <w:rFonts w:cs="Arial"/>
          <w:sz w:val="24"/>
          <w:szCs w:val="24"/>
        </w:rPr>
        <w:t>Som alternativ finns även Protopic eller Elidel.</w:t>
      </w:r>
    </w:p>
    <w:p w14:paraId="66C8F7D1" w14:textId="77777777" w:rsidR="00702564" w:rsidRDefault="00702564" w:rsidP="00702564">
      <w:pPr>
        <w:tabs>
          <w:tab w:val="clear" w:pos="284"/>
        </w:tabs>
        <w:spacing w:after="120" w:line="260" w:lineRule="atLeast"/>
        <w:rPr>
          <w:rFonts w:cs="Arial"/>
          <w:sz w:val="24"/>
          <w:szCs w:val="24"/>
        </w:rPr>
      </w:pPr>
      <w:r>
        <w:rPr>
          <w:rFonts w:cs="Arial"/>
          <w:sz w:val="24"/>
          <w:szCs w:val="24"/>
        </w:rPr>
        <w:br w:type="page"/>
      </w:r>
    </w:p>
    <w:p w14:paraId="46D7FB25" w14:textId="77777777" w:rsidR="00702564" w:rsidRPr="005A0EFA" w:rsidRDefault="00702564" w:rsidP="00702564">
      <w:pPr>
        <w:pStyle w:val="Rubrik3"/>
      </w:pPr>
      <w:r>
        <w:lastRenderedPageBreak/>
        <w:t>H</w:t>
      </w:r>
      <w:r w:rsidRPr="005A0EFA">
        <w:t>andekse</w:t>
      </w:r>
      <w:r>
        <w:t>m</w:t>
      </w:r>
    </w:p>
    <w:p w14:paraId="66CA9BB2" w14:textId="77777777" w:rsidR="00702564" w:rsidRPr="00800964" w:rsidRDefault="00702564" w:rsidP="00702564">
      <w:pPr>
        <w:rPr>
          <w:rFonts w:cs="Arial"/>
          <w:sz w:val="24"/>
          <w:szCs w:val="24"/>
        </w:rPr>
      </w:pPr>
      <w:r w:rsidRPr="00B5104B">
        <w:rPr>
          <w:rFonts w:cs="Arial"/>
          <w:bCs/>
          <w:sz w:val="24"/>
          <w:szCs w:val="24"/>
        </w:rPr>
        <w:t xml:space="preserve">Glycerin (t ex Locobase Repair) (handelsvara) har hög fetthalt, god läkande och skyddande </w:t>
      </w:r>
      <w:r w:rsidRPr="00B5104B">
        <w:rPr>
          <w:rFonts w:cs="Arial"/>
          <w:bCs/>
          <w:sz w:val="24"/>
          <w:szCs w:val="24"/>
        </w:rPr>
        <w:br/>
      </w:r>
      <w:r w:rsidRPr="00800964">
        <w:rPr>
          <w:rFonts w:cs="Arial"/>
          <w:sz w:val="24"/>
          <w:szCs w:val="24"/>
        </w:rPr>
        <w:t>effekt vid torr, narig hud, ger färre smörjtillfällen än magrare alternativ.</w:t>
      </w:r>
      <w:r>
        <w:rPr>
          <w:rFonts w:cs="Arial"/>
          <w:sz w:val="24"/>
          <w:szCs w:val="24"/>
        </w:rPr>
        <w:t xml:space="preserve"> </w:t>
      </w:r>
    </w:p>
    <w:p w14:paraId="05C3F307" w14:textId="77777777" w:rsidR="00702564" w:rsidRPr="00925DFD" w:rsidRDefault="00702564" w:rsidP="00702564">
      <w:pPr>
        <w:rPr>
          <w:rFonts w:cs="Arial"/>
          <w:b/>
          <w:bCs/>
          <w:color w:val="FF0000"/>
          <w:sz w:val="24"/>
          <w:szCs w:val="24"/>
        </w:rPr>
      </w:pPr>
      <w:r w:rsidRPr="00BD0212">
        <w:rPr>
          <w:rFonts w:cs="Arial"/>
          <w:sz w:val="24"/>
          <w:szCs w:val="24"/>
        </w:rPr>
        <w:t>Kortisonpreparat gr.III är förstahandsval. Vid otillräcklig effekt kan man välja gr</w:t>
      </w:r>
      <w:r>
        <w:rPr>
          <w:rFonts w:cs="Arial"/>
          <w:sz w:val="24"/>
          <w:szCs w:val="24"/>
        </w:rPr>
        <w:t>.</w:t>
      </w:r>
      <w:r w:rsidRPr="00BD0212">
        <w:rPr>
          <w:rFonts w:cs="Arial"/>
          <w:sz w:val="24"/>
          <w:szCs w:val="24"/>
        </w:rPr>
        <w:t>IV steroid, Dermovat. Vid grovt, kraftigt förtjockat eksem med sprickor kan man använda Dermovat kräm i kombination med Duoderm/Hydrocoll tunn platta som byttes 1 gång/vecka tills eksemet blir</w:t>
      </w:r>
      <w:r w:rsidRPr="00E052A5">
        <w:rPr>
          <w:rFonts w:cs="Arial"/>
          <w:sz w:val="24"/>
          <w:szCs w:val="24"/>
        </w:rPr>
        <w:t xml:space="preserve"> </w:t>
      </w:r>
      <w:r w:rsidRPr="00BD0212">
        <w:rPr>
          <w:rFonts w:cs="Arial"/>
          <w:sz w:val="24"/>
          <w:szCs w:val="24"/>
        </w:rPr>
        <w:t>betydligt bättre sen kan man fortsätta med enbart smörjning med kortison, separat PM finns på intranätet.</w:t>
      </w:r>
    </w:p>
    <w:p w14:paraId="494F1495" w14:textId="77777777" w:rsidR="00702564" w:rsidRPr="00780250" w:rsidRDefault="00702564" w:rsidP="00702564">
      <w:pPr>
        <w:rPr>
          <w:rFonts w:cs="Arial"/>
          <w:sz w:val="24"/>
          <w:szCs w:val="24"/>
        </w:rPr>
      </w:pPr>
    </w:p>
    <w:p w14:paraId="79D56514" w14:textId="77777777" w:rsidR="00702564" w:rsidRDefault="00702564" w:rsidP="00702564">
      <w:pPr>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2"/>
        <w:gridCol w:w="4383"/>
      </w:tblGrid>
      <w:tr w:rsidR="00702564" w14:paraId="5C47FB8C" w14:textId="77777777" w:rsidTr="00632FCC">
        <w:tc>
          <w:tcPr>
            <w:tcW w:w="8785" w:type="dxa"/>
            <w:gridSpan w:val="2"/>
            <w:shd w:val="clear" w:color="auto" w:fill="FFFFFF" w:themeFill="background2"/>
          </w:tcPr>
          <w:p w14:paraId="0A939F03" w14:textId="77777777" w:rsidR="00702564" w:rsidRDefault="00702564" w:rsidP="00632FCC">
            <w:pPr>
              <w:pStyle w:val="Rubrik3"/>
              <w:rPr>
                <w:rFonts w:cs="Arial"/>
                <w:b w:val="0"/>
              </w:rPr>
            </w:pPr>
            <w:r w:rsidRPr="0071138D">
              <w:t>Lätt eksem, även ansiktet</w:t>
            </w:r>
          </w:p>
        </w:tc>
      </w:tr>
      <w:tr w:rsidR="00702564" w:rsidRPr="00B205D5" w14:paraId="5BED427B" w14:textId="77777777" w:rsidTr="00632FCC">
        <w:tc>
          <w:tcPr>
            <w:tcW w:w="8785" w:type="dxa"/>
            <w:gridSpan w:val="2"/>
          </w:tcPr>
          <w:p w14:paraId="508A124F" w14:textId="77777777" w:rsidR="00702564" w:rsidRPr="00B205D5" w:rsidRDefault="00702564" w:rsidP="00632FCC">
            <w:pPr>
              <w:pStyle w:val="Rubrik3"/>
            </w:pPr>
            <w:r w:rsidRPr="00B205D5">
              <w:t>Barn (under 2 år)</w:t>
            </w:r>
          </w:p>
        </w:tc>
      </w:tr>
      <w:tr w:rsidR="00702564" w:rsidRPr="00B205D5" w14:paraId="0CE265CB" w14:textId="77777777" w:rsidTr="00632FCC">
        <w:tc>
          <w:tcPr>
            <w:tcW w:w="4402" w:type="dxa"/>
          </w:tcPr>
          <w:p w14:paraId="381C4419" w14:textId="77777777" w:rsidR="00702564" w:rsidRPr="00B205D5" w:rsidRDefault="00702564" w:rsidP="00632FCC">
            <w:pPr>
              <w:rPr>
                <w:rFonts w:cs="Arial"/>
                <w:b/>
                <w:sz w:val="24"/>
                <w:szCs w:val="28"/>
              </w:rPr>
            </w:pPr>
            <w:r w:rsidRPr="00B205D5">
              <w:rPr>
                <w:rFonts w:cs="Arial"/>
                <w:b/>
                <w:bCs/>
                <w:iCs/>
                <w:sz w:val="24"/>
                <w:szCs w:val="28"/>
              </w:rPr>
              <w:t>1 hydrokortison (mild kortison gr I)</w:t>
            </w:r>
          </w:p>
        </w:tc>
        <w:tc>
          <w:tcPr>
            <w:tcW w:w="4383" w:type="dxa"/>
          </w:tcPr>
          <w:p w14:paraId="2F6D3DA3" w14:textId="77777777" w:rsidR="00702564" w:rsidRPr="00B205D5" w:rsidRDefault="00702564" w:rsidP="00632FCC">
            <w:pPr>
              <w:rPr>
                <w:rFonts w:cs="Arial"/>
                <w:b/>
                <w:sz w:val="24"/>
                <w:szCs w:val="28"/>
              </w:rPr>
            </w:pPr>
            <w:r w:rsidRPr="00B205D5">
              <w:rPr>
                <w:rFonts w:cs="Arial"/>
                <w:bCs/>
                <w:sz w:val="24"/>
                <w:szCs w:val="28"/>
              </w:rPr>
              <w:t>Hydrokortisonsalva</w:t>
            </w:r>
          </w:p>
        </w:tc>
      </w:tr>
      <w:tr w:rsidR="00702564" w:rsidRPr="00B205D5" w14:paraId="3DD77018" w14:textId="77777777" w:rsidTr="00632FCC">
        <w:tc>
          <w:tcPr>
            <w:tcW w:w="4402" w:type="dxa"/>
          </w:tcPr>
          <w:p w14:paraId="6467CC79" w14:textId="77777777" w:rsidR="00702564" w:rsidRPr="00B205D5" w:rsidRDefault="00702564" w:rsidP="00632FCC">
            <w:pPr>
              <w:rPr>
                <w:rFonts w:cs="Arial"/>
                <w:b/>
                <w:bCs/>
                <w:iCs/>
                <w:sz w:val="24"/>
                <w:szCs w:val="28"/>
              </w:rPr>
            </w:pPr>
            <w:r w:rsidRPr="00B205D5">
              <w:rPr>
                <w:rFonts w:cs="Arial"/>
                <w:b/>
                <w:bCs/>
                <w:iCs/>
                <w:sz w:val="24"/>
                <w:szCs w:val="28"/>
              </w:rPr>
              <w:t>2 pimekrolimus</w:t>
            </w:r>
          </w:p>
        </w:tc>
        <w:tc>
          <w:tcPr>
            <w:tcW w:w="4383" w:type="dxa"/>
          </w:tcPr>
          <w:p w14:paraId="7D1C32D7" w14:textId="77777777" w:rsidR="00702564" w:rsidRPr="00B205D5" w:rsidRDefault="00702564" w:rsidP="00632FCC">
            <w:pPr>
              <w:rPr>
                <w:rFonts w:cs="Arial"/>
                <w:bCs/>
                <w:sz w:val="24"/>
                <w:szCs w:val="28"/>
              </w:rPr>
            </w:pPr>
            <w:r w:rsidRPr="00B205D5">
              <w:rPr>
                <w:rFonts w:cs="Arial"/>
                <w:bCs/>
                <w:sz w:val="24"/>
                <w:szCs w:val="28"/>
              </w:rPr>
              <w:t>Elidel kräm</w:t>
            </w:r>
          </w:p>
        </w:tc>
      </w:tr>
      <w:tr w:rsidR="00702564" w:rsidRPr="00B205D5" w14:paraId="586CEE57" w14:textId="77777777" w:rsidTr="00632FCC">
        <w:tc>
          <w:tcPr>
            <w:tcW w:w="8785" w:type="dxa"/>
            <w:gridSpan w:val="2"/>
          </w:tcPr>
          <w:p w14:paraId="0CF42AA7" w14:textId="77777777" w:rsidR="00702564" w:rsidRPr="00B205D5" w:rsidRDefault="00702564" w:rsidP="00632FCC">
            <w:pPr>
              <w:rPr>
                <w:rFonts w:cs="Arial"/>
                <w:b/>
                <w:sz w:val="24"/>
                <w:szCs w:val="28"/>
              </w:rPr>
            </w:pPr>
          </w:p>
          <w:p w14:paraId="0E150BA8" w14:textId="77777777" w:rsidR="00702564" w:rsidRPr="00B205D5" w:rsidRDefault="00702564" w:rsidP="00632FCC">
            <w:pPr>
              <w:rPr>
                <w:rFonts w:cs="Arial"/>
                <w:b/>
                <w:sz w:val="24"/>
                <w:szCs w:val="28"/>
              </w:rPr>
            </w:pPr>
            <w:r w:rsidRPr="00B205D5">
              <w:rPr>
                <w:rFonts w:asciiTheme="majorHAnsi" w:eastAsiaTheme="majorEastAsia" w:hAnsiTheme="majorHAnsi" w:cs="Times New Roman"/>
                <w:b/>
                <w:bCs/>
                <w:sz w:val="24"/>
              </w:rPr>
              <w:t>Barn ( 2</w:t>
            </w:r>
            <w:r>
              <w:rPr>
                <w:rFonts w:asciiTheme="majorHAnsi" w:eastAsiaTheme="majorEastAsia" w:hAnsiTheme="majorHAnsi" w:cs="Times New Roman"/>
                <w:b/>
                <w:bCs/>
                <w:sz w:val="24"/>
              </w:rPr>
              <w:t>-16</w:t>
            </w:r>
            <w:r w:rsidRPr="00B205D5">
              <w:rPr>
                <w:rFonts w:asciiTheme="majorHAnsi" w:eastAsiaTheme="majorEastAsia" w:hAnsiTheme="majorHAnsi" w:cs="Times New Roman"/>
                <w:b/>
                <w:bCs/>
                <w:sz w:val="24"/>
              </w:rPr>
              <w:t xml:space="preserve"> år)</w:t>
            </w:r>
          </w:p>
        </w:tc>
      </w:tr>
      <w:tr w:rsidR="00702564" w:rsidRPr="00B205D5" w14:paraId="7C173149" w14:textId="77777777" w:rsidTr="00632FCC">
        <w:tc>
          <w:tcPr>
            <w:tcW w:w="4402" w:type="dxa"/>
          </w:tcPr>
          <w:p w14:paraId="6600764A" w14:textId="77777777" w:rsidR="00702564" w:rsidRPr="00B205D5" w:rsidRDefault="00702564" w:rsidP="00632FCC">
            <w:pPr>
              <w:rPr>
                <w:rFonts w:cs="Arial"/>
                <w:b/>
                <w:sz w:val="24"/>
                <w:szCs w:val="28"/>
              </w:rPr>
            </w:pPr>
            <w:r w:rsidRPr="00B205D5">
              <w:rPr>
                <w:rFonts w:cs="Arial"/>
                <w:b/>
                <w:bCs/>
                <w:iCs/>
                <w:sz w:val="24"/>
                <w:szCs w:val="28"/>
              </w:rPr>
              <w:t>1 hydrokortison (mild kortison gr I)</w:t>
            </w:r>
          </w:p>
        </w:tc>
        <w:tc>
          <w:tcPr>
            <w:tcW w:w="4383" w:type="dxa"/>
          </w:tcPr>
          <w:p w14:paraId="3AC6EA4C" w14:textId="77777777" w:rsidR="00702564" w:rsidRPr="00B205D5" w:rsidRDefault="00702564" w:rsidP="00632FCC">
            <w:pPr>
              <w:rPr>
                <w:rFonts w:cs="Arial"/>
                <w:b/>
                <w:sz w:val="24"/>
                <w:szCs w:val="28"/>
              </w:rPr>
            </w:pPr>
            <w:r w:rsidRPr="00B205D5">
              <w:rPr>
                <w:rFonts w:cs="Arial"/>
                <w:bCs/>
                <w:sz w:val="24"/>
                <w:szCs w:val="28"/>
              </w:rPr>
              <w:t>Mildison Lipid</w:t>
            </w:r>
          </w:p>
        </w:tc>
      </w:tr>
      <w:tr w:rsidR="00702564" w:rsidRPr="00B205D5" w14:paraId="2CA7FA65" w14:textId="77777777" w:rsidTr="00632FCC">
        <w:tc>
          <w:tcPr>
            <w:tcW w:w="4402" w:type="dxa"/>
          </w:tcPr>
          <w:p w14:paraId="20CAA8E5" w14:textId="77777777" w:rsidR="00702564" w:rsidRPr="00B205D5" w:rsidRDefault="00702564" w:rsidP="00632FCC">
            <w:pPr>
              <w:rPr>
                <w:rFonts w:cs="Arial"/>
                <w:b/>
                <w:bCs/>
                <w:iCs/>
                <w:sz w:val="24"/>
                <w:szCs w:val="28"/>
              </w:rPr>
            </w:pPr>
            <w:r w:rsidRPr="00B205D5">
              <w:rPr>
                <w:rFonts w:cs="Arial"/>
                <w:b/>
                <w:bCs/>
                <w:iCs/>
                <w:sz w:val="24"/>
                <w:szCs w:val="28"/>
              </w:rPr>
              <w:t>2 takrolimus</w:t>
            </w:r>
          </w:p>
        </w:tc>
        <w:tc>
          <w:tcPr>
            <w:tcW w:w="4383" w:type="dxa"/>
          </w:tcPr>
          <w:p w14:paraId="19BE17E9" w14:textId="77777777" w:rsidR="00702564" w:rsidRPr="00B205D5" w:rsidRDefault="00702564" w:rsidP="00632FCC">
            <w:pPr>
              <w:rPr>
                <w:rFonts w:cs="Arial"/>
                <w:bCs/>
                <w:sz w:val="24"/>
                <w:szCs w:val="28"/>
              </w:rPr>
            </w:pPr>
            <w:r w:rsidRPr="00B205D5">
              <w:rPr>
                <w:rFonts w:cs="Arial"/>
                <w:bCs/>
                <w:sz w:val="24"/>
                <w:szCs w:val="28"/>
              </w:rPr>
              <w:t>Protopic</w:t>
            </w:r>
            <w:r>
              <w:rPr>
                <w:rFonts w:cs="Arial"/>
                <w:bCs/>
                <w:sz w:val="24"/>
                <w:szCs w:val="28"/>
              </w:rPr>
              <w:t xml:space="preserve"> 0,03 %</w:t>
            </w:r>
          </w:p>
        </w:tc>
      </w:tr>
      <w:tr w:rsidR="00702564" w:rsidRPr="00B205D5" w14:paraId="3471115B" w14:textId="77777777" w:rsidTr="00632FCC">
        <w:tc>
          <w:tcPr>
            <w:tcW w:w="8785" w:type="dxa"/>
            <w:gridSpan w:val="2"/>
          </w:tcPr>
          <w:p w14:paraId="433DC9BC" w14:textId="77777777" w:rsidR="00702564" w:rsidRPr="00B205D5" w:rsidRDefault="00702564" w:rsidP="00632FCC">
            <w:pPr>
              <w:pStyle w:val="Rubrik3"/>
              <w:rPr>
                <w:szCs w:val="28"/>
              </w:rPr>
            </w:pPr>
            <w:r w:rsidRPr="00B205D5">
              <w:rPr>
                <w:szCs w:val="28"/>
              </w:rPr>
              <w:t>Vuxna</w:t>
            </w:r>
          </w:p>
        </w:tc>
      </w:tr>
      <w:tr w:rsidR="00702564" w:rsidRPr="00800964" w14:paraId="10ACCC1E" w14:textId="77777777" w:rsidTr="00632FCC">
        <w:tc>
          <w:tcPr>
            <w:tcW w:w="4402" w:type="dxa"/>
          </w:tcPr>
          <w:p w14:paraId="70B3A4A6" w14:textId="77777777" w:rsidR="00702564" w:rsidRPr="00B205D5" w:rsidRDefault="00702564" w:rsidP="00632FCC">
            <w:pPr>
              <w:rPr>
                <w:rFonts w:cs="Arial"/>
                <w:b/>
                <w:sz w:val="24"/>
                <w:szCs w:val="28"/>
              </w:rPr>
            </w:pPr>
            <w:r w:rsidRPr="00B205D5">
              <w:rPr>
                <w:rFonts w:cs="Arial"/>
                <w:b/>
                <w:bCs/>
                <w:iCs/>
                <w:sz w:val="24"/>
                <w:szCs w:val="28"/>
              </w:rPr>
              <w:t>1 hydrokortison (mild kortison gr I)</w:t>
            </w:r>
          </w:p>
        </w:tc>
        <w:tc>
          <w:tcPr>
            <w:tcW w:w="4383" w:type="dxa"/>
          </w:tcPr>
          <w:p w14:paraId="36C07748" w14:textId="77777777" w:rsidR="00702564" w:rsidRPr="00800964" w:rsidRDefault="00702564" w:rsidP="00632FCC">
            <w:pPr>
              <w:rPr>
                <w:rFonts w:cs="Arial"/>
                <w:b/>
                <w:sz w:val="24"/>
                <w:szCs w:val="28"/>
              </w:rPr>
            </w:pPr>
            <w:r w:rsidRPr="00B205D5">
              <w:rPr>
                <w:rFonts w:cs="Arial"/>
                <w:bCs/>
                <w:sz w:val="24"/>
                <w:szCs w:val="28"/>
              </w:rPr>
              <w:t>Mildison Lipid</w:t>
            </w:r>
          </w:p>
        </w:tc>
      </w:tr>
      <w:tr w:rsidR="00702564" w:rsidRPr="00B205D5" w14:paraId="38D2DB7C" w14:textId="77777777" w:rsidTr="00632FCC">
        <w:tc>
          <w:tcPr>
            <w:tcW w:w="4402" w:type="dxa"/>
          </w:tcPr>
          <w:p w14:paraId="501F4EE6" w14:textId="77777777" w:rsidR="00702564" w:rsidRPr="00B205D5" w:rsidRDefault="00702564" w:rsidP="00632FCC">
            <w:pPr>
              <w:rPr>
                <w:rFonts w:cs="Arial"/>
                <w:b/>
                <w:sz w:val="24"/>
                <w:szCs w:val="28"/>
              </w:rPr>
            </w:pPr>
            <w:r w:rsidRPr="00B205D5">
              <w:rPr>
                <w:rFonts w:cs="Arial"/>
                <w:b/>
                <w:bCs/>
                <w:iCs/>
                <w:sz w:val="24"/>
                <w:szCs w:val="28"/>
              </w:rPr>
              <w:t>2 klobetason (medelstark kortison gr II)</w:t>
            </w:r>
          </w:p>
        </w:tc>
        <w:tc>
          <w:tcPr>
            <w:tcW w:w="4383" w:type="dxa"/>
          </w:tcPr>
          <w:p w14:paraId="5C22A9A4" w14:textId="77777777" w:rsidR="00702564" w:rsidRPr="00B205D5" w:rsidRDefault="00702564" w:rsidP="00632FCC">
            <w:pPr>
              <w:rPr>
                <w:rFonts w:cs="Arial"/>
                <w:b/>
                <w:sz w:val="24"/>
                <w:szCs w:val="28"/>
              </w:rPr>
            </w:pPr>
            <w:r w:rsidRPr="00B205D5">
              <w:rPr>
                <w:rFonts w:cs="Arial"/>
                <w:bCs/>
                <w:sz w:val="24"/>
                <w:szCs w:val="28"/>
              </w:rPr>
              <w:t>Emovat ** kräm</w:t>
            </w:r>
          </w:p>
        </w:tc>
      </w:tr>
      <w:tr w:rsidR="00702564" w:rsidRPr="00800964" w14:paraId="0400F0B5" w14:textId="77777777" w:rsidTr="00632FCC">
        <w:tc>
          <w:tcPr>
            <w:tcW w:w="4402" w:type="dxa"/>
          </w:tcPr>
          <w:p w14:paraId="0C3AF4E6" w14:textId="77777777" w:rsidR="00702564" w:rsidRPr="00B205D5" w:rsidRDefault="00702564" w:rsidP="00632FCC">
            <w:pPr>
              <w:rPr>
                <w:rFonts w:cs="Arial"/>
                <w:bCs/>
                <w:sz w:val="24"/>
                <w:szCs w:val="28"/>
              </w:rPr>
            </w:pPr>
            <w:r w:rsidRPr="00B205D5">
              <w:rPr>
                <w:rFonts w:cs="Arial"/>
                <w:b/>
                <w:bCs/>
                <w:iCs/>
                <w:sz w:val="24"/>
                <w:szCs w:val="28"/>
              </w:rPr>
              <w:t>3 takrolimus</w:t>
            </w:r>
          </w:p>
        </w:tc>
        <w:tc>
          <w:tcPr>
            <w:tcW w:w="4383" w:type="dxa"/>
          </w:tcPr>
          <w:p w14:paraId="4CD1CEA8" w14:textId="77777777" w:rsidR="00702564" w:rsidRPr="00B205D5" w:rsidRDefault="00702564" w:rsidP="00632FCC">
            <w:pPr>
              <w:rPr>
                <w:rFonts w:cs="Arial"/>
                <w:bCs/>
                <w:sz w:val="24"/>
                <w:szCs w:val="28"/>
              </w:rPr>
            </w:pPr>
            <w:r w:rsidRPr="00B205D5">
              <w:rPr>
                <w:rFonts w:cs="Arial"/>
                <w:bCs/>
                <w:sz w:val="24"/>
                <w:szCs w:val="28"/>
              </w:rPr>
              <w:t>Protopic 0,1%</w:t>
            </w:r>
          </w:p>
          <w:p w14:paraId="27F1D83A" w14:textId="77777777" w:rsidR="00702564" w:rsidRPr="00800964" w:rsidRDefault="00702564" w:rsidP="00632FCC">
            <w:pPr>
              <w:rPr>
                <w:rFonts w:cs="Arial"/>
                <w:bCs/>
                <w:sz w:val="24"/>
                <w:szCs w:val="28"/>
              </w:rPr>
            </w:pPr>
            <w:r w:rsidRPr="00B205D5">
              <w:rPr>
                <w:rFonts w:cs="Arial"/>
                <w:bCs/>
                <w:sz w:val="24"/>
                <w:szCs w:val="28"/>
              </w:rPr>
              <w:t>Takrolimus 0,1%</w:t>
            </w:r>
          </w:p>
        </w:tc>
      </w:tr>
    </w:tbl>
    <w:p w14:paraId="331EF5BE" w14:textId="77777777" w:rsidR="00702564" w:rsidRDefault="00702564" w:rsidP="00702564">
      <w:pPr>
        <w:rPr>
          <w:rFonts w:cs="Arial"/>
          <w:sz w:val="24"/>
          <w:szCs w:val="28"/>
        </w:rPr>
      </w:pPr>
      <w:r w:rsidRPr="00B205D5">
        <w:rPr>
          <w:rFonts w:cs="Arial"/>
          <w:iCs/>
          <w:sz w:val="24"/>
          <w:szCs w:val="28"/>
        </w:rPr>
        <w:t>** vid leveransproblem: Locoid (hydrokortison-17-butyrat)</w:t>
      </w:r>
    </w:p>
    <w:p w14:paraId="45C65762" w14:textId="77777777" w:rsidR="00702564" w:rsidRDefault="00702564" w:rsidP="00702564">
      <w:pPr>
        <w:rPr>
          <w:rFonts w:cs="Arial"/>
          <w:sz w:val="24"/>
          <w:szCs w:val="28"/>
        </w:rPr>
      </w:pPr>
    </w:p>
    <w:tbl>
      <w:tblPr>
        <w:tblW w:w="8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9"/>
        <w:gridCol w:w="27"/>
        <w:gridCol w:w="4345"/>
      </w:tblGrid>
      <w:tr w:rsidR="00702564" w14:paraId="2C46FF42" w14:textId="77777777" w:rsidTr="00632FCC">
        <w:trPr>
          <w:trHeight w:val="716"/>
        </w:trPr>
        <w:tc>
          <w:tcPr>
            <w:tcW w:w="8771" w:type="dxa"/>
            <w:gridSpan w:val="3"/>
            <w:shd w:val="clear" w:color="auto" w:fill="FFFFFF" w:themeFill="background2"/>
          </w:tcPr>
          <w:p w14:paraId="651330E0" w14:textId="77777777" w:rsidR="00702564" w:rsidRDefault="00702564" w:rsidP="00632FCC">
            <w:pPr>
              <w:pStyle w:val="Rubrik3"/>
            </w:pPr>
            <w:r w:rsidRPr="0071138D">
              <w:t>Torrt, grovt eksem</w:t>
            </w:r>
          </w:p>
        </w:tc>
      </w:tr>
      <w:tr w:rsidR="00702564" w14:paraId="3CA43B78" w14:textId="77777777" w:rsidTr="00632FCC">
        <w:trPr>
          <w:trHeight w:val="716"/>
        </w:trPr>
        <w:tc>
          <w:tcPr>
            <w:tcW w:w="8771" w:type="dxa"/>
            <w:gridSpan w:val="3"/>
          </w:tcPr>
          <w:p w14:paraId="3ABB4072" w14:textId="77777777" w:rsidR="00702564" w:rsidRDefault="00702564" w:rsidP="00632FCC">
            <w:pPr>
              <w:pStyle w:val="Rubrik3"/>
            </w:pPr>
            <w:r w:rsidRPr="0071138D">
              <w:t xml:space="preserve">Barn </w:t>
            </w:r>
            <w:r>
              <w:t>(2-16 år)</w:t>
            </w:r>
          </w:p>
        </w:tc>
      </w:tr>
      <w:tr w:rsidR="00702564" w:rsidRPr="00B205D5" w14:paraId="627700EB" w14:textId="77777777" w:rsidTr="00632FCC">
        <w:trPr>
          <w:trHeight w:val="312"/>
        </w:trPr>
        <w:tc>
          <w:tcPr>
            <w:tcW w:w="4426" w:type="dxa"/>
            <w:gridSpan w:val="2"/>
          </w:tcPr>
          <w:p w14:paraId="038A2D36" w14:textId="77777777" w:rsidR="00702564" w:rsidRPr="00B205D5" w:rsidRDefault="00702564" w:rsidP="00632FCC">
            <w:pPr>
              <w:rPr>
                <w:rFonts w:asciiTheme="minorHAnsi" w:hAnsiTheme="minorHAnsi" w:cs="Arial"/>
                <w:b/>
                <w:sz w:val="24"/>
                <w:szCs w:val="28"/>
              </w:rPr>
            </w:pPr>
            <w:r w:rsidRPr="00B205D5">
              <w:rPr>
                <w:rFonts w:asciiTheme="minorHAnsi" w:hAnsiTheme="minorHAnsi" w:cs="Arial"/>
                <w:b/>
                <w:bCs/>
                <w:iCs/>
                <w:sz w:val="24"/>
                <w:szCs w:val="28"/>
              </w:rPr>
              <w:t>1 klobetason (medelstark kortison gr II)</w:t>
            </w:r>
          </w:p>
        </w:tc>
        <w:tc>
          <w:tcPr>
            <w:tcW w:w="4345" w:type="dxa"/>
          </w:tcPr>
          <w:p w14:paraId="66F51016" w14:textId="77777777" w:rsidR="00702564" w:rsidRPr="00B205D5" w:rsidRDefault="00702564" w:rsidP="00632FCC">
            <w:pPr>
              <w:rPr>
                <w:rFonts w:asciiTheme="minorHAnsi" w:hAnsiTheme="minorHAnsi" w:cs="Arial"/>
                <w:b/>
                <w:sz w:val="24"/>
                <w:szCs w:val="28"/>
              </w:rPr>
            </w:pPr>
            <w:r w:rsidRPr="00B205D5">
              <w:rPr>
                <w:rFonts w:asciiTheme="minorHAnsi" w:hAnsiTheme="minorHAnsi" w:cs="Arial"/>
                <w:bCs/>
                <w:sz w:val="24"/>
                <w:szCs w:val="28"/>
              </w:rPr>
              <w:t>Emovat ** salva</w:t>
            </w:r>
          </w:p>
        </w:tc>
      </w:tr>
      <w:tr w:rsidR="00702564" w:rsidRPr="00800964" w14:paraId="353BCEC5" w14:textId="77777777" w:rsidTr="00632FCC">
        <w:trPr>
          <w:trHeight w:val="454"/>
        </w:trPr>
        <w:tc>
          <w:tcPr>
            <w:tcW w:w="4399" w:type="dxa"/>
          </w:tcPr>
          <w:p w14:paraId="0A6B2AEA" w14:textId="77777777" w:rsidR="00702564" w:rsidRPr="00B205D5" w:rsidRDefault="00702564" w:rsidP="00632FCC">
            <w:pPr>
              <w:rPr>
                <w:rFonts w:cs="Arial"/>
                <w:b/>
                <w:bCs/>
                <w:iCs/>
                <w:sz w:val="24"/>
                <w:szCs w:val="28"/>
              </w:rPr>
            </w:pPr>
            <w:r w:rsidRPr="00B205D5">
              <w:rPr>
                <w:rFonts w:cs="Arial"/>
                <w:b/>
                <w:bCs/>
                <w:iCs/>
                <w:sz w:val="24"/>
                <w:szCs w:val="28"/>
              </w:rPr>
              <w:t>2 takrolimus</w:t>
            </w:r>
          </w:p>
        </w:tc>
        <w:tc>
          <w:tcPr>
            <w:tcW w:w="4372" w:type="dxa"/>
            <w:gridSpan w:val="2"/>
          </w:tcPr>
          <w:p w14:paraId="4C5A09EE" w14:textId="77777777" w:rsidR="00702564" w:rsidRPr="00800964" w:rsidRDefault="00702564" w:rsidP="00632FCC">
            <w:pPr>
              <w:rPr>
                <w:rFonts w:cs="Arial"/>
                <w:bCs/>
                <w:sz w:val="24"/>
                <w:szCs w:val="28"/>
              </w:rPr>
            </w:pPr>
            <w:r w:rsidRPr="00B205D5">
              <w:rPr>
                <w:rFonts w:cs="Arial"/>
                <w:bCs/>
                <w:sz w:val="24"/>
                <w:szCs w:val="28"/>
              </w:rPr>
              <w:t>Protopic</w:t>
            </w:r>
            <w:r>
              <w:rPr>
                <w:rFonts w:cs="Arial"/>
                <w:bCs/>
                <w:sz w:val="24"/>
                <w:szCs w:val="28"/>
              </w:rPr>
              <w:t xml:space="preserve"> 0,03 %</w:t>
            </w:r>
          </w:p>
        </w:tc>
      </w:tr>
      <w:tr w:rsidR="00702564" w:rsidRPr="00800964" w14:paraId="68EAA559" w14:textId="77777777" w:rsidTr="00632FCC">
        <w:trPr>
          <w:trHeight w:val="691"/>
        </w:trPr>
        <w:tc>
          <w:tcPr>
            <w:tcW w:w="8771" w:type="dxa"/>
            <w:gridSpan w:val="3"/>
          </w:tcPr>
          <w:p w14:paraId="52783734" w14:textId="77777777" w:rsidR="00702564" w:rsidRPr="00800964" w:rsidRDefault="00702564" w:rsidP="00632FCC">
            <w:pPr>
              <w:pStyle w:val="Rubrik3"/>
              <w:rPr>
                <w:rFonts w:asciiTheme="minorHAnsi" w:hAnsiTheme="minorHAnsi"/>
                <w:szCs w:val="28"/>
              </w:rPr>
            </w:pPr>
            <w:r w:rsidRPr="00800964">
              <w:rPr>
                <w:rFonts w:asciiTheme="minorHAnsi" w:hAnsiTheme="minorHAnsi"/>
                <w:szCs w:val="28"/>
              </w:rPr>
              <w:t>Vuxna</w:t>
            </w:r>
          </w:p>
        </w:tc>
      </w:tr>
      <w:tr w:rsidR="00702564" w:rsidRPr="00800964" w14:paraId="0DEEC31D" w14:textId="77777777" w:rsidTr="00632FCC">
        <w:trPr>
          <w:trHeight w:val="939"/>
        </w:trPr>
        <w:tc>
          <w:tcPr>
            <w:tcW w:w="4426" w:type="dxa"/>
            <w:gridSpan w:val="2"/>
          </w:tcPr>
          <w:p w14:paraId="0CD630E9" w14:textId="77777777" w:rsidR="00702564" w:rsidRPr="00800964" w:rsidRDefault="00702564" w:rsidP="00632FCC">
            <w:pPr>
              <w:rPr>
                <w:rFonts w:asciiTheme="minorHAnsi" w:hAnsiTheme="minorHAnsi" w:cs="Arial"/>
                <w:b/>
                <w:sz w:val="24"/>
                <w:szCs w:val="28"/>
              </w:rPr>
            </w:pPr>
            <w:r w:rsidRPr="00800964">
              <w:rPr>
                <w:rFonts w:asciiTheme="minorHAnsi" w:hAnsiTheme="minorHAnsi" w:cs="Arial"/>
                <w:b/>
                <w:bCs/>
                <w:iCs/>
                <w:sz w:val="24"/>
                <w:szCs w:val="28"/>
              </w:rPr>
              <w:t>mometason (stark kortison gr III)</w:t>
            </w:r>
          </w:p>
        </w:tc>
        <w:tc>
          <w:tcPr>
            <w:tcW w:w="4345" w:type="dxa"/>
          </w:tcPr>
          <w:p w14:paraId="101F0B80" w14:textId="77777777" w:rsidR="00702564" w:rsidRPr="00800964" w:rsidRDefault="00702564" w:rsidP="00632FCC">
            <w:pPr>
              <w:rPr>
                <w:rFonts w:asciiTheme="minorHAnsi" w:hAnsiTheme="minorHAnsi" w:cs="Arial"/>
                <w:sz w:val="24"/>
                <w:szCs w:val="28"/>
              </w:rPr>
            </w:pPr>
            <w:r w:rsidRPr="00800964">
              <w:rPr>
                <w:rFonts w:asciiTheme="minorHAnsi" w:hAnsiTheme="minorHAnsi" w:cs="Arial"/>
                <w:bCs/>
                <w:sz w:val="24"/>
                <w:szCs w:val="28"/>
              </w:rPr>
              <w:t xml:space="preserve">Mometason </w:t>
            </w:r>
            <w:r w:rsidRPr="00800964">
              <w:rPr>
                <w:rFonts w:asciiTheme="minorHAnsi" w:hAnsiTheme="minorHAnsi" w:cs="Arial"/>
                <w:sz w:val="24"/>
                <w:szCs w:val="28"/>
              </w:rPr>
              <w:t>salva, kräm</w:t>
            </w:r>
          </w:p>
          <w:p w14:paraId="1208F177" w14:textId="77777777" w:rsidR="00702564" w:rsidRPr="00800964" w:rsidRDefault="00702564" w:rsidP="00632FCC">
            <w:pPr>
              <w:rPr>
                <w:rFonts w:asciiTheme="minorHAnsi" w:hAnsiTheme="minorHAnsi" w:cs="Arial"/>
                <w:sz w:val="24"/>
                <w:szCs w:val="28"/>
              </w:rPr>
            </w:pPr>
            <w:r w:rsidRPr="00800964">
              <w:rPr>
                <w:rFonts w:asciiTheme="minorHAnsi" w:hAnsiTheme="minorHAnsi" w:cs="Arial"/>
                <w:bCs/>
                <w:sz w:val="24"/>
                <w:szCs w:val="28"/>
              </w:rPr>
              <w:t xml:space="preserve">Ovixan </w:t>
            </w:r>
            <w:r w:rsidRPr="00800964">
              <w:rPr>
                <w:rFonts w:asciiTheme="minorHAnsi" w:hAnsiTheme="minorHAnsi" w:cs="Arial"/>
                <w:sz w:val="24"/>
                <w:szCs w:val="28"/>
              </w:rPr>
              <w:t>kräm</w:t>
            </w:r>
          </w:p>
          <w:p w14:paraId="7C240C0A" w14:textId="77777777" w:rsidR="00702564" w:rsidRPr="00800964" w:rsidRDefault="00702564" w:rsidP="00632FCC">
            <w:pPr>
              <w:rPr>
                <w:rFonts w:asciiTheme="minorHAnsi" w:hAnsiTheme="minorHAnsi" w:cs="Arial"/>
                <w:bCs/>
                <w:sz w:val="24"/>
                <w:szCs w:val="28"/>
              </w:rPr>
            </w:pPr>
            <w:r w:rsidRPr="00800964">
              <w:rPr>
                <w:rFonts w:asciiTheme="minorHAnsi" w:hAnsiTheme="minorHAnsi" w:cs="Arial"/>
                <w:bCs/>
                <w:sz w:val="24"/>
                <w:szCs w:val="28"/>
              </w:rPr>
              <w:t>Elocon salva</w:t>
            </w:r>
          </w:p>
        </w:tc>
      </w:tr>
      <w:tr w:rsidR="00702564" w:rsidRPr="00800964" w14:paraId="1EDFBDC3" w14:textId="77777777" w:rsidTr="00632FCC">
        <w:trPr>
          <w:trHeight w:val="312"/>
        </w:trPr>
        <w:tc>
          <w:tcPr>
            <w:tcW w:w="4426" w:type="dxa"/>
            <w:gridSpan w:val="2"/>
          </w:tcPr>
          <w:p w14:paraId="1BBFDD2B" w14:textId="77777777" w:rsidR="00702564" w:rsidRPr="00800964" w:rsidRDefault="00702564" w:rsidP="00632FCC">
            <w:pPr>
              <w:rPr>
                <w:rFonts w:asciiTheme="minorHAnsi" w:hAnsiTheme="minorHAnsi" w:cs="Arial"/>
                <w:b/>
                <w:sz w:val="24"/>
                <w:szCs w:val="28"/>
              </w:rPr>
            </w:pPr>
            <w:r w:rsidRPr="00800964">
              <w:rPr>
                <w:rFonts w:asciiTheme="minorHAnsi" w:hAnsiTheme="minorHAnsi" w:cs="Arial"/>
                <w:b/>
                <w:bCs/>
                <w:iCs/>
                <w:sz w:val="24"/>
                <w:szCs w:val="28"/>
              </w:rPr>
              <w:t>betametason (stark kortison gr III)</w:t>
            </w:r>
          </w:p>
        </w:tc>
        <w:tc>
          <w:tcPr>
            <w:tcW w:w="4345" w:type="dxa"/>
          </w:tcPr>
          <w:p w14:paraId="2A9485DA" w14:textId="77777777" w:rsidR="00702564" w:rsidRPr="00800964" w:rsidRDefault="00702564" w:rsidP="00632FCC">
            <w:pPr>
              <w:rPr>
                <w:rFonts w:asciiTheme="minorHAnsi" w:hAnsiTheme="minorHAnsi" w:cs="Arial"/>
                <w:b/>
                <w:sz w:val="24"/>
                <w:szCs w:val="28"/>
              </w:rPr>
            </w:pPr>
            <w:r w:rsidRPr="00800964">
              <w:rPr>
                <w:rFonts w:asciiTheme="minorHAnsi" w:hAnsiTheme="minorHAnsi" w:cs="Arial"/>
                <w:bCs/>
                <w:sz w:val="24"/>
                <w:szCs w:val="28"/>
              </w:rPr>
              <w:t xml:space="preserve">Betnovat </w:t>
            </w:r>
            <w:r w:rsidRPr="00800964">
              <w:rPr>
                <w:rFonts w:asciiTheme="minorHAnsi" w:hAnsiTheme="minorHAnsi" w:cs="Arial"/>
                <w:sz w:val="24"/>
                <w:szCs w:val="28"/>
              </w:rPr>
              <w:t>salva, kräm</w:t>
            </w:r>
          </w:p>
        </w:tc>
      </w:tr>
    </w:tbl>
    <w:p w14:paraId="087F92D9" w14:textId="77777777" w:rsidR="00702564" w:rsidRDefault="00702564" w:rsidP="00702564">
      <w:pPr>
        <w:ind w:left="5245" w:hanging="5245"/>
        <w:rPr>
          <w:rFonts w:cs="Arial"/>
          <w:iCs/>
          <w:sz w:val="24"/>
          <w:szCs w:val="28"/>
        </w:rPr>
      </w:pPr>
      <w:r w:rsidRPr="00B205D5">
        <w:rPr>
          <w:rFonts w:cs="Arial"/>
          <w:iCs/>
          <w:sz w:val="24"/>
          <w:szCs w:val="28"/>
        </w:rPr>
        <w:t>** vid leveransproblem: Locoid (hydrokortison-17-butyrat)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2"/>
        <w:gridCol w:w="4530"/>
      </w:tblGrid>
      <w:tr w:rsidR="00702564" w14:paraId="7898F014" w14:textId="77777777" w:rsidTr="00632FCC">
        <w:tc>
          <w:tcPr>
            <w:tcW w:w="9062" w:type="dxa"/>
            <w:gridSpan w:val="2"/>
            <w:shd w:val="clear" w:color="auto" w:fill="FFFFFF" w:themeFill="background2"/>
          </w:tcPr>
          <w:p w14:paraId="21313A5E" w14:textId="77777777" w:rsidR="00702564" w:rsidRPr="00C0695E" w:rsidRDefault="00702564" w:rsidP="00632FCC">
            <w:pPr>
              <w:pStyle w:val="Rubrik3"/>
              <w:rPr>
                <w:szCs w:val="24"/>
              </w:rPr>
            </w:pPr>
            <w:r w:rsidRPr="0071138D">
              <w:lastRenderedPageBreak/>
              <w:t>Övrigt aktivt eksem, vätskande sårigt, ej infekterat</w:t>
            </w:r>
          </w:p>
        </w:tc>
      </w:tr>
      <w:tr w:rsidR="00702564" w14:paraId="757509B9" w14:textId="77777777" w:rsidTr="00632FCC">
        <w:tc>
          <w:tcPr>
            <w:tcW w:w="9062" w:type="dxa"/>
            <w:gridSpan w:val="2"/>
          </w:tcPr>
          <w:p w14:paraId="1E3F177E" w14:textId="77777777" w:rsidR="00702564" w:rsidRPr="00C0695E" w:rsidRDefault="00702564" w:rsidP="00632FCC">
            <w:pPr>
              <w:pStyle w:val="Rubrik3"/>
              <w:rPr>
                <w:szCs w:val="24"/>
              </w:rPr>
            </w:pPr>
            <w:r w:rsidRPr="0071138D">
              <w:t>Barn</w:t>
            </w:r>
          </w:p>
        </w:tc>
      </w:tr>
      <w:tr w:rsidR="00702564" w:rsidRPr="00800964" w14:paraId="63483188" w14:textId="77777777" w:rsidTr="00632FCC">
        <w:tc>
          <w:tcPr>
            <w:tcW w:w="4532" w:type="dxa"/>
          </w:tcPr>
          <w:p w14:paraId="2602ECF4" w14:textId="77777777" w:rsidR="00702564" w:rsidRPr="00800964" w:rsidRDefault="00702564" w:rsidP="00632FCC">
            <w:pPr>
              <w:rPr>
                <w:rFonts w:cs="Arial"/>
                <w:b/>
                <w:bCs/>
                <w:iCs/>
                <w:sz w:val="24"/>
                <w:szCs w:val="28"/>
              </w:rPr>
            </w:pPr>
            <w:r w:rsidRPr="00800964">
              <w:rPr>
                <w:rFonts w:cs="Arial"/>
                <w:b/>
                <w:bCs/>
                <w:iCs/>
                <w:sz w:val="24"/>
                <w:szCs w:val="28"/>
              </w:rPr>
              <w:t>klobetason (medelstark kortison gr II)</w:t>
            </w:r>
          </w:p>
        </w:tc>
        <w:tc>
          <w:tcPr>
            <w:tcW w:w="4530" w:type="dxa"/>
          </w:tcPr>
          <w:p w14:paraId="59491219" w14:textId="77777777" w:rsidR="00702564" w:rsidRPr="00800964" w:rsidRDefault="00702564" w:rsidP="00632FCC">
            <w:pPr>
              <w:rPr>
                <w:rFonts w:cs="Arial"/>
                <w:b/>
                <w:bCs/>
                <w:iCs/>
                <w:sz w:val="24"/>
                <w:szCs w:val="28"/>
              </w:rPr>
            </w:pPr>
            <w:r w:rsidRPr="00800964">
              <w:rPr>
                <w:rFonts w:cs="Arial"/>
                <w:bCs/>
                <w:sz w:val="24"/>
                <w:szCs w:val="28"/>
              </w:rPr>
              <w:t>Emovat</w:t>
            </w:r>
            <w:r w:rsidRPr="00800964">
              <w:rPr>
                <w:rFonts w:cs="Arial"/>
                <w:b/>
                <w:sz w:val="24"/>
                <w:szCs w:val="28"/>
              </w:rPr>
              <w:t xml:space="preserve"> </w:t>
            </w:r>
            <w:r w:rsidRPr="00800964">
              <w:rPr>
                <w:rFonts w:cs="Arial"/>
                <w:bCs/>
                <w:sz w:val="24"/>
                <w:szCs w:val="28"/>
              </w:rPr>
              <w:t>**</w:t>
            </w:r>
            <w:r w:rsidRPr="00800964">
              <w:rPr>
                <w:rFonts w:cs="Arial"/>
                <w:b/>
                <w:sz w:val="24"/>
                <w:szCs w:val="28"/>
              </w:rPr>
              <w:t xml:space="preserve"> </w:t>
            </w:r>
            <w:r w:rsidRPr="00800964">
              <w:rPr>
                <w:rFonts w:cs="Arial"/>
                <w:sz w:val="24"/>
                <w:szCs w:val="28"/>
              </w:rPr>
              <w:t>kräm</w:t>
            </w:r>
          </w:p>
        </w:tc>
      </w:tr>
      <w:tr w:rsidR="00702564" w:rsidRPr="00800964" w14:paraId="34F6DCDA" w14:textId="77777777" w:rsidTr="00632FCC">
        <w:tc>
          <w:tcPr>
            <w:tcW w:w="9062" w:type="dxa"/>
            <w:gridSpan w:val="2"/>
          </w:tcPr>
          <w:p w14:paraId="63A11030" w14:textId="77777777" w:rsidR="00702564" w:rsidRPr="00800964" w:rsidRDefault="00702564" w:rsidP="00632FCC">
            <w:pPr>
              <w:pStyle w:val="Rubrik3"/>
              <w:rPr>
                <w:rFonts w:cs="Arial"/>
                <w:sz w:val="28"/>
                <w:szCs w:val="24"/>
              </w:rPr>
            </w:pPr>
            <w:r w:rsidRPr="00800964">
              <w:rPr>
                <w:sz w:val="28"/>
                <w:szCs w:val="24"/>
              </w:rPr>
              <w:t>Vuxna</w:t>
            </w:r>
          </w:p>
        </w:tc>
      </w:tr>
      <w:tr w:rsidR="00702564" w:rsidRPr="00800964" w14:paraId="6FAE4F26" w14:textId="77777777" w:rsidTr="00632FCC">
        <w:tc>
          <w:tcPr>
            <w:tcW w:w="4532" w:type="dxa"/>
          </w:tcPr>
          <w:p w14:paraId="7D8361BF" w14:textId="77777777" w:rsidR="00702564" w:rsidRPr="00800964" w:rsidRDefault="00702564" w:rsidP="00632FCC">
            <w:pPr>
              <w:rPr>
                <w:rFonts w:cs="Arial"/>
                <w:sz w:val="24"/>
                <w:szCs w:val="28"/>
              </w:rPr>
            </w:pPr>
            <w:r w:rsidRPr="00800964">
              <w:rPr>
                <w:rFonts w:cs="Arial"/>
                <w:b/>
                <w:bCs/>
                <w:iCs/>
                <w:sz w:val="24"/>
                <w:szCs w:val="28"/>
              </w:rPr>
              <w:t>mometason (stark kortison gr III)</w:t>
            </w:r>
          </w:p>
        </w:tc>
        <w:tc>
          <w:tcPr>
            <w:tcW w:w="4530" w:type="dxa"/>
          </w:tcPr>
          <w:p w14:paraId="3449D253" w14:textId="77777777" w:rsidR="00702564" w:rsidRPr="00800964" w:rsidRDefault="00702564" w:rsidP="00632FCC">
            <w:pPr>
              <w:rPr>
                <w:rFonts w:cs="Arial"/>
                <w:sz w:val="24"/>
                <w:szCs w:val="28"/>
              </w:rPr>
            </w:pPr>
            <w:r w:rsidRPr="00800964">
              <w:rPr>
                <w:rFonts w:cs="Arial"/>
                <w:bCs/>
                <w:sz w:val="24"/>
                <w:szCs w:val="28"/>
              </w:rPr>
              <w:t xml:space="preserve">Ovixan </w:t>
            </w:r>
            <w:r w:rsidRPr="00800964">
              <w:rPr>
                <w:rFonts w:cs="Arial"/>
                <w:sz w:val="24"/>
                <w:szCs w:val="28"/>
              </w:rPr>
              <w:t>kräm</w:t>
            </w:r>
          </w:p>
          <w:p w14:paraId="0F169066" w14:textId="77777777" w:rsidR="00702564" w:rsidRPr="00800964" w:rsidRDefault="00702564" w:rsidP="00632FCC">
            <w:pPr>
              <w:rPr>
                <w:rFonts w:cs="Arial"/>
                <w:sz w:val="24"/>
                <w:szCs w:val="28"/>
              </w:rPr>
            </w:pPr>
            <w:r w:rsidRPr="00800964">
              <w:rPr>
                <w:rFonts w:cs="Arial"/>
                <w:bCs/>
                <w:sz w:val="24"/>
                <w:szCs w:val="28"/>
              </w:rPr>
              <w:t>Mometason</w:t>
            </w:r>
            <w:r w:rsidRPr="00800964">
              <w:rPr>
                <w:rFonts w:cs="Arial"/>
                <w:sz w:val="24"/>
                <w:szCs w:val="28"/>
              </w:rPr>
              <w:t xml:space="preserve"> kräm</w:t>
            </w:r>
          </w:p>
        </w:tc>
      </w:tr>
      <w:tr w:rsidR="00702564" w:rsidRPr="00800964" w14:paraId="17E8D13A" w14:textId="77777777" w:rsidTr="00632FCC">
        <w:tc>
          <w:tcPr>
            <w:tcW w:w="4532" w:type="dxa"/>
          </w:tcPr>
          <w:p w14:paraId="0D1F6A8E" w14:textId="77777777" w:rsidR="00702564" w:rsidRPr="00800964" w:rsidRDefault="00702564" w:rsidP="00632FCC">
            <w:pPr>
              <w:rPr>
                <w:rFonts w:cs="Arial"/>
                <w:sz w:val="24"/>
                <w:szCs w:val="28"/>
              </w:rPr>
            </w:pPr>
            <w:r w:rsidRPr="00800964">
              <w:rPr>
                <w:rFonts w:cs="Arial"/>
                <w:b/>
                <w:bCs/>
                <w:iCs/>
                <w:sz w:val="24"/>
                <w:szCs w:val="28"/>
              </w:rPr>
              <w:t>betametason (stark kortison gr III)</w:t>
            </w:r>
          </w:p>
        </w:tc>
        <w:tc>
          <w:tcPr>
            <w:tcW w:w="4530" w:type="dxa"/>
          </w:tcPr>
          <w:p w14:paraId="094785E8" w14:textId="77777777" w:rsidR="00702564" w:rsidRPr="00800964" w:rsidRDefault="00702564" w:rsidP="00632FCC">
            <w:pPr>
              <w:rPr>
                <w:rFonts w:cs="Arial"/>
                <w:sz w:val="24"/>
                <w:szCs w:val="28"/>
              </w:rPr>
            </w:pPr>
            <w:r w:rsidRPr="00800964">
              <w:rPr>
                <w:rFonts w:cs="Arial"/>
                <w:bCs/>
                <w:sz w:val="24"/>
                <w:szCs w:val="28"/>
              </w:rPr>
              <w:t xml:space="preserve">Betnovat </w:t>
            </w:r>
            <w:r w:rsidRPr="00800964">
              <w:rPr>
                <w:rFonts w:cs="Arial"/>
                <w:sz w:val="24"/>
                <w:szCs w:val="28"/>
              </w:rPr>
              <w:t>kräm</w:t>
            </w:r>
          </w:p>
        </w:tc>
      </w:tr>
    </w:tbl>
    <w:p w14:paraId="59AF5D89" w14:textId="77777777" w:rsidR="00702564" w:rsidRPr="00800964" w:rsidRDefault="00702564" w:rsidP="00702564">
      <w:pPr>
        <w:ind w:left="5245" w:hanging="5245"/>
        <w:rPr>
          <w:rFonts w:cs="Arial"/>
          <w:iCs/>
          <w:sz w:val="24"/>
          <w:szCs w:val="28"/>
        </w:rPr>
      </w:pPr>
      <w:r w:rsidRPr="00800964">
        <w:rPr>
          <w:rFonts w:cs="Arial"/>
          <w:iCs/>
          <w:sz w:val="24"/>
          <w:szCs w:val="28"/>
        </w:rPr>
        <w:t>** vid leveransproblem: Locoid (hydrokortison-17-butyra</w:t>
      </w:r>
      <w:r w:rsidRPr="00EF1504">
        <w:rPr>
          <w:rFonts w:cs="Arial"/>
          <w:iCs/>
          <w:sz w:val="24"/>
          <w:szCs w:val="28"/>
        </w:rPr>
        <w:t>t)</w:t>
      </w:r>
    </w:p>
    <w:p w14:paraId="37A424D7" w14:textId="77777777" w:rsidR="00702564" w:rsidRPr="00800964" w:rsidRDefault="00702564" w:rsidP="00702564">
      <w:pPr>
        <w:rPr>
          <w:rFonts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531"/>
      </w:tblGrid>
      <w:tr w:rsidR="00702564" w:rsidRPr="00800964" w14:paraId="646553C6" w14:textId="77777777" w:rsidTr="00632FCC">
        <w:tc>
          <w:tcPr>
            <w:tcW w:w="9062" w:type="dxa"/>
            <w:gridSpan w:val="2"/>
            <w:shd w:val="clear" w:color="auto" w:fill="FFFFFF" w:themeFill="background2"/>
          </w:tcPr>
          <w:p w14:paraId="2F261E4E" w14:textId="77777777" w:rsidR="00702564" w:rsidRPr="00800964" w:rsidRDefault="00702564" w:rsidP="00632FCC">
            <w:pPr>
              <w:rPr>
                <w:rFonts w:cs="Arial"/>
                <w:b/>
                <w:bCs/>
                <w:iCs/>
                <w:sz w:val="24"/>
                <w:szCs w:val="28"/>
              </w:rPr>
            </w:pPr>
            <w:r w:rsidRPr="00800964">
              <w:rPr>
                <w:rFonts w:cs="Arial"/>
                <w:b/>
                <w:sz w:val="24"/>
                <w:szCs w:val="24"/>
              </w:rPr>
              <w:t>Infekterat eksem</w:t>
            </w:r>
          </w:p>
        </w:tc>
      </w:tr>
      <w:tr w:rsidR="00702564" w:rsidRPr="00800964" w14:paraId="3AE7D7A2" w14:textId="77777777" w:rsidTr="00632FCC">
        <w:tc>
          <w:tcPr>
            <w:tcW w:w="4531" w:type="dxa"/>
          </w:tcPr>
          <w:p w14:paraId="1E4BD109" w14:textId="77777777" w:rsidR="00702564" w:rsidRPr="00800964" w:rsidRDefault="00702564" w:rsidP="00632FCC">
            <w:pPr>
              <w:rPr>
                <w:rFonts w:cs="Arial"/>
                <w:b/>
                <w:bCs/>
                <w:iCs/>
                <w:sz w:val="24"/>
                <w:szCs w:val="28"/>
              </w:rPr>
            </w:pPr>
            <w:r>
              <w:rPr>
                <w:rFonts w:cs="Arial"/>
                <w:b/>
                <w:bCs/>
                <w:iCs/>
                <w:sz w:val="24"/>
                <w:szCs w:val="28"/>
              </w:rPr>
              <w:t>b</w:t>
            </w:r>
            <w:r w:rsidRPr="00800964">
              <w:rPr>
                <w:rFonts w:cs="Arial"/>
                <w:b/>
                <w:bCs/>
                <w:iCs/>
                <w:sz w:val="24"/>
                <w:szCs w:val="28"/>
              </w:rPr>
              <w:t>etametason, neomycin</w:t>
            </w:r>
          </w:p>
        </w:tc>
        <w:tc>
          <w:tcPr>
            <w:tcW w:w="4531" w:type="dxa"/>
          </w:tcPr>
          <w:p w14:paraId="5D9F14A5" w14:textId="77777777" w:rsidR="00702564" w:rsidRPr="00800964" w:rsidRDefault="00702564" w:rsidP="00632FCC">
            <w:pPr>
              <w:rPr>
                <w:rFonts w:cs="Arial"/>
                <w:bCs/>
                <w:sz w:val="24"/>
                <w:szCs w:val="28"/>
              </w:rPr>
            </w:pPr>
            <w:r w:rsidRPr="00800964">
              <w:rPr>
                <w:rFonts w:cs="Arial"/>
                <w:bCs/>
                <w:sz w:val="24"/>
                <w:szCs w:val="28"/>
              </w:rPr>
              <w:t>Betametason-neomycin i Essex kräm APL</w:t>
            </w:r>
          </w:p>
        </w:tc>
      </w:tr>
      <w:tr w:rsidR="00702564" w:rsidRPr="00800964" w14:paraId="0F2E221D" w14:textId="77777777" w:rsidTr="00632FCC">
        <w:tc>
          <w:tcPr>
            <w:tcW w:w="4531" w:type="dxa"/>
          </w:tcPr>
          <w:p w14:paraId="6B482596" w14:textId="77777777" w:rsidR="00702564" w:rsidRPr="00EF1504" w:rsidRDefault="00702564" w:rsidP="00632FCC">
            <w:pPr>
              <w:rPr>
                <w:rFonts w:cs="Arial"/>
                <w:b/>
                <w:bCs/>
                <w:iCs/>
                <w:sz w:val="24"/>
                <w:szCs w:val="28"/>
              </w:rPr>
            </w:pPr>
            <w:r w:rsidRPr="00EF1504">
              <w:rPr>
                <w:rFonts w:cs="Arial"/>
                <w:b/>
                <w:sz w:val="24"/>
                <w:szCs w:val="24"/>
              </w:rPr>
              <w:t>Ev. kaliumpermanganatbaddning</w:t>
            </w:r>
          </w:p>
        </w:tc>
        <w:tc>
          <w:tcPr>
            <w:tcW w:w="4531" w:type="dxa"/>
          </w:tcPr>
          <w:p w14:paraId="49D6CD20" w14:textId="77777777" w:rsidR="00702564" w:rsidRPr="00EF1504" w:rsidRDefault="00702564" w:rsidP="00632FCC">
            <w:pPr>
              <w:rPr>
                <w:rFonts w:cs="Arial"/>
                <w:bCs/>
                <w:sz w:val="24"/>
                <w:szCs w:val="28"/>
              </w:rPr>
            </w:pPr>
            <w:r w:rsidRPr="00EF1504">
              <w:rPr>
                <w:rFonts w:cs="Arial"/>
                <w:bCs/>
                <w:sz w:val="24"/>
                <w:szCs w:val="28"/>
              </w:rPr>
              <w:t xml:space="preserve">Kaliumpermanganat APL 0,1% </w:t>
            </w:r>
          </w:p>
          <w:p w14:paraId="5088122D" w14:textId="77777777" w:rsidR="00702564" w:rsidRPr="00EF1504" w:rsidRDefault="00702564" w:rsidP="00632FCC">
            <w:pPr>
              <w:rPr>
                <w:rFonts w:cs="Arial"/>
                <w:bCs/>
                <w:sz w:val="24"/>
                <w:szCs w:val="28"/>
              </w:rPr>
            </w:pPr>
            <w:r w:rsidRPr="00EF1504">
              <w:rPr>
                <w:rFonts w:cs="Arial"/>
                <w:bCs/>
                <w:sz w:val="24"/>
                <w:szCs w:val="28"/>
              </w:rPr>
              <w:t>(10 minuter) Se bakgrundsmaterial</w:t>
            </w:r>
          </w:p>
        </w:tc>
      </w:tr>
    </w:tbl>
    <w:p w14:paraId="77DF7D3C" w14:textId="77777777" w:rsidR="00702564" w:rsidRDefault="00702564" w:rsidP="00702564">
      <w:pPr>
        <w:tabs>
          <w:tab w:val="clear" w:pos="284"/>
          <w:tab w:val="left" w:pos="2328"/>
        </w:tabs>
        <w:rPr>
          <w:rFonts w:cs="Arial"/>
          <w:iCs/>
          <w:sz w:val="24"/>
          <w:szCs w:val="28"/>
        </w:rPr>
      </w:pPr>
      <w:r w:rsidRPr="00800964">
        <w:rPr>
          <w:rFonts w:cs="Arial"/>
          <w:b/>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2"/>
        <w:gridCol w:w="4474"/>
      </w:tblGrid>
      <w:tr w:rsidR="00702564" w:rsidRPr="00800964" w14:paraId="6C1EB084" w14:textId="77777777" w:rsidTr="00632FCC">
        <w:trPr>
          <w:trHeight w:val="589"/>
        </w:trPr>
        <w:tc>
          <w:tcPr>
            <w:tcW w:w="8976" w:type="dxa"/>
            <w:gridSpan w:val="2"/>
            <w:shd w:val="clear" w:color="auto" w:fill="FFFFFF" w:themeFill="background2"/>
          </w:tcPr>
          <w:p w14:paraId="53D46AAB" w14:textId="77777777" w:rsidR="00702564" w:rsidRPr="00EF1504" w:rsidRDefault="00702564" w:rsidP="00632FCC">
            <w:pPr>
              <w:rPr>
                <w:rFonts w:cs="Arial"/>
                <w:b/>
                <w:sz w:val="24"/>
                <w:szCs w:val="24"/>
              </w:rPr>
            </w:pPr>
            <w:r w:rsidRPr="00EF1504">
              <w:rPr>
                <w:rFonts w:cs="Arial"/>
                <w:b/>
                <w:sz w:val="24"/>
                <w:szCs w:val="24"/>
              </w:rPr>
              <w:t>Ögonlockseksem</w:t>
            </w:r>
          </w:p>
          <w:p w14:paraId="170D1656" w14:textId="77777777" w:rsidR="00702564" w:rsidRPr="00EF1504" w:rsidRDefault="00702564" w:rsidP="00632FCC">
            <w:pPr>
              <w:rPr>
                <w:rFonts w:cs="Arial"/>
                <w:b/>
                <w:bCs/>
                <w:iCs/>
                <w:sz w:val="24"/>
                <w:szCs w:val="28"/>
              </w:rPr>
            </w:pPr>
          </w:p>
        </w:tc>
      </w:tr>
      <w:tr w:rsidR="00702564" w:rsidRPr="00800964" w14:paraId="5238FE5D" w14:textId="77777777" w:rsidTr="00632FCC">
        <w:trPr>
          <w:trHeight w:val="302"/>
        </w:trPr>
        <w:tc>
          <w:tcPr>
            <w:tcW w:w="4502" w:type="dxa"/>
          </w:tcPr>
          <w:p w14:paraId="70669888" w14:textId="77777777" w:rsidR="00702564" w:rsidRPr="00EF1504" w:rsidRDefault="00702564" w:rsidP="00632FCC">
            <w:pPr>
              <w:rPr>
                <w:rFonts w:cs="Arial"/>
                <w:b/>
                <w:bCs/>
                <w:iCs/>
                <w:sz w:val="24"/>
                <w:szCs w:val="28"/>
              </w:rPr>
            </w:pPr>
            <w:r w:rsidRPr="00EF1504">
              <w:rPr>
                <w:rFonts w:cs="Arial"/>
                <w:b/>
                <w:bCs/>
                <w:iCs/>
                <w:sz w:val="24"/>
                <w:szCs w:val="28"/>
              </w:rPr>
              <w:t>1 hydrokortison (extramild kortison gr I)</w:t>
            </w:r>
          </w:p>
        </w:tc>
        <w:tc>
          <w:tcPr>
            <w:tcW w:w="4474" w:type="dxa"/>
          </w:tcPr>
          <w:p w14:paraId="2AF69EDB" w14:textId="77777777" w:rsidR="00702564" w:rsidRPr="00EF1504" w:rsidRDefault="00702564" w:rsidP="00632FCC">
            <w:pPr>
              <w:rPr>
                <w:rFonts w:cs="Arial"/>
                <w:bCs/>
                <w:sz w:val="24"/>
                <w:szCs w:val="28"/>
              </w:rPr>
            </w:pPr>
            <w:r w:rsidRPr="00EF1504">
              <w:rPr>
                <w:rFonts w:cs="Arial"/>
                <w:bCs/>
                <w:sz w:val="24"/>
                <w:szCs w:val="28"/>
              </w:rPr>
              <w:t xml:space="preserve">Ficortil </w:t>
            </w:r>
            <w:r w:rsidRPr="00EF1504">
              <w:rPr>
                <w:rFonts w:cs="Arial"/>
                <w:sz w:val="24"/>
                <w:szCs w:val="28"/>
              </w:rPr>
              <w:t>ögonsalva</w:t>
            </w:r>
          </w:p>
        </w:tc>
      </w:tr>
      <w:tr w:rsidR="00702564" w:rsidRPr="00800964" w14:paraId="1318BD1F" w14:textId="77777777" w:rsidTr="00632FCC">
        <w:trPr>
          <w:trHeight w:val="589"/>
        </w:trPr>
        <w:tc>
          <w:tcPr>
            <w:tcW w:w="4502" w:type="dxa"/>
          </w:tcPr>
          <w:p w14:paraId="6F832893" w14:textId="77777777" w:rsidR="00702564" w:rsidRPr="00EF1504" w:rsidRDefault="00702564" w:rsidP="00632FCC">
            <w:pPr>
              <w:rPr>
                <w:rFonts w:cs="Arial"/>
                <w:b/>
                <w:bCs/>
                <w:iCs/>
                <w:sz w:val="24"/>
                <w:szCs w:val="28"/>
              </w:rPr>
            </w:pPr>
            <w:r w:rsidRPr="00EF1504">
              <w:rPr>
                <w:rFonts w:cs="Arial"/>
                <w:b/>
                <w:bCs/>
                <w:iCs/>
                <w:sz w:val="24"/>
                <w:szCs w:val="28"/>
              </w:rPr>
              <w:t>2 takrolimus</w:t>
            </w:r>
          </w:p>
        </w:tc>
        <w:tc>
          <w:tcPr>
            <w:tcW w:w="4474" w:type="dxa"/>
          </w:tcPr>
          <w:p w14:paraId="15B873BC" w14:textId="77777777" w:rsidR="00702564" w:rsidRPr="00EF1504" w:rsidRDefault="00702564" w:rsidP="00632FCC">
            <w:pPr>
              <w:rPr>
                <w:rFonts w:cs="Arial"/>
                <w:bCs/>
                <w:sz w:val="24"/>
                <w:szCs w:val="28"/>
              </w:rPr>
            </w:pPr>
            <w:r w:rsidRPr="00EF1504">
              <w:rPr>
                <w:rFonts w:cs="Arial"/>
                <w:bCs/>
                <w:sz w:val="24"/>
                <w:szCs w:val="28"/>
              </w:rPr>
              <w:t>Protopic</w:t>
            </w:r>
          </w:p>
          <w:p w14:paraId="603CAF2A" w14:textId="77777777" w:rsidR="00702564" w:rsidRPr="00EF1504" w:rsidRDefault="00702564" w:rsidP="00632FCC">
            <w:pPr>
              <w:rPr>
                <w:rFonts w:cs="Arial"/>
                <w:bCs/>
                <w:sz w:val="24"/>
                <w:szCs w:val="28"/>
              </w:rPr>
            </w:pPr>
            <w:r w:rsidRPr="00EF1504">
              <w:rPr>
                <w:rFonts w:cs="Arial"/>
                <w:bCs/>
                <w:sz w:val="24"/>
                <w:szCs w:val="28"/>
              </w:rPr>
              <w:t>Takrolimus</w:t>
            </w:r>
          </w:p>
        </w:tc>
      </w:tr>
    </w:tbl>
    <w:p w14:paraId="371C0017" w14:textId="77777777" w:rsidR="00702564" w:rsidRPr="00800964" w:rsidRDefault="00702564" w:rsidP="00702564">
      <w:pPr>
        <w:tabs>
          <w:tab w:val="clear" w:pos="284"/>
          <w:tab w:val="left" w:pos="2328"/>
        </w:tabs>
        <w:ind w:left="5245" w:hanging="5245"/>
        <w:rPr>
          <w:rFonts w:cs="Arial"/>
          <w:iCs/>
          <w:sz w:val="24"/>
          <w:szCs w:val="28"/>
        </w:rPr>
      </w:pPr>
    </w:p>
    <w:p w14:paraId="483C442D" w14:textId="77777777" w:rsidR="00702564" w:rsidRPr="00800964" w:rsidRDefault="00702564" w:rsidP="00702564">
      <w:pPr>
        <w:rPr>
          <w:rFonts w:cs="Arial"/>
          <w:sz w:val="24"/>
          <w:szCs w:val="24"/>
        </w:rPr>
      </w:pPr>
      <w:r w:rsidRPr="00800964">
        <w:rPr>
          <w:rFonts w:cs="Arial"/>
          <w:sz w:val="24"/>
          <w:szCs w:val="24"/>
        </w:rPr>
        <w:t xml:space="preserve">Mildison Lipid kräm har en bättre kosmetik, är mindre fet och går lättare att smörja in, än Hydrokortison kräm. Även Ovixan har en fördel gällande kosmetiken jämfört med Elocon/mometason kräm. Den är lättare att smörja in och går lättare in i huden. </w:t>
      </w:r>
    </w:p>
    <w:p w14:paraId="4B1059AC" w14:textId="77777777" w:rsidR="00702564" w:rsidRPr="00800964" w:rsidRDefault="00702564" w:rsidP="00702564">
      <w:pPr>
        <w:rPr>
          <w:rFonts w:cs="Arial"/>
          <w:sz w:val="24"/>
          <w:szCs w:val="24"/>
        </w:rPr>
      </w:pPr>
    </w:p>
    <w:p w14:paraId="4D4D07D5" w14:textId="77777777" w:rsidR="00702564" w:rsidRPr="00800964" w:rsidRDefault="00702564" w:rsidP="00702564">
      <w:pPr>
        <w:rPr>
          <w:rFonts w:cs="Arial"/>
          <w:sz w:val="24"/>
          <w:szCs w:val="24"/>
        </w:rPr>
      </w:pPr>
      <w:r w:rsidRPr="00800964">
        <w:rPr>
          <w:rFonts w:cs="Arial"/>
          <w:sz w:val="24"/>
          <w:szCs w:val="24"/>
        </w:rPr>
        <w:t xml:space="preserve">Vid vätskande, sårigt eksem eventuellt med smärta och svullnad skall infektion misstänkas. Kaliumpermanganatbaddning 0,1 % eller bad (blandas från 3 </w:t>
      </w:r>
      <w:r w:rsidRPr="00EF1504">
        <w:rPr>
          <w:rFonts w:cs="Arial"/>
          <w:sz w:val="24"/>
          <w:szCs w:val="24"/>
        </w:rPr>
        <w:t>%) 10 min dagligen under några dagar kombineras med Betametason- neomycin i Essex kräm 2 gånger per dag. Detta gäller även barn, då medelstark motsvarighet saknas på marknaden. Det är dock lämpligt att så snart infektionsmomentet lugnat ner sig, gå över till rena kortisonpreparat, och för barnen i första hand Emovat, om ej påtagligt grovt eksem. Vid infektion i ansiktseksem kan Fucidin-hydrokortisonkräm</w:t>
      </w:r>
      <w:r w:rsidRPr="00800964">
        <w:rPr>
          <w:rFonts w:cs="Arial"/>
          <w:sz w:val="24"/>
          <w:szCs w:val="24"/>
        </w:rPr>
        <w:t xml:space="preserve"> övervägas samt baddning med</w:t>
      </w:r>
      <w:r>
        <w:rPr>
          <w:rFonts w:cs="Arial"/>
          <w:sz w:val="24"/>
          <w:szCs w:val="24"/>
        </w:rPr>
        <w:t xml:space="preserve"> </w:t>
      </w:r>
      <w:r w:rsidRPr="00800964">
        <w:rPr>
          <w:rFonts w:cs="Arial"/>
          <w:sz w:val="24"/>
          <w:szCs w:val="24"/>
        </w:rPr>
        <w:t>alsollösning.</w:t>
      </w:r>
      <w:r w:rsidRPr="00800964">
        <w:rPr>
          <w:rFonts w:cs="Arial"/>
          <w:sz w:val="24"/>
          <w:szCs w:val="24"/>
        </w:rPr>
        <w:br/>
      </w:r>
    </w:p>
    <w:p w14:paraId="1F3242E2" w14:textId="77777777" w:rsidR="00702564" w:rsidRPr="00800964" w:rsidRDefault="00702564" w:rsidP="00702564">
      <w:pPr>
        <w:rPr>
          <w:rFonts w:cs="Arial"/>
          <w:sz w:val="24"/>
          <w:szCs w:val="24"/>
        </w:rPr>
      </w:pPr>
      <w:r w:rsidRPr="00800964">
        <w:rPr>
          <w:rFonts w:cs="Arial"/>
          <w:sz w:val="24"/>
          <w:szCs w:val="24"/>
        </w:rPr>
        <w:t>Vid påtaglig infektion bör peroral antibiotika övervägas (flukloxacillin- Heracilllin).</w:t>
      </w:r>
    </w:p>
    <w:p w14:paraId="663C9D09" w14:textId="77777777" w:rsidR="00702564" w:rsidRPr="00DB3597" w:rsidRDefault="00702564" w:rsidP="00702564">
      <w:pPr>
        <w:rPr>
          <w:rFonts w:cs="Arial"/>
          <w:bCs/>
          <w:sz w:val="24"/>
          <w:szCs w:val="24"/>
        </w:rPr>
      </w:pPr>
      <w:r w:rsidRPr="00DB3597">
        <w:rPr>
          <w:rFonts w:cs="Arial"/>
          <w:bCs/>
          <w:sz w:val="24"/>
          <w:szCs w:val="24"/>
        </w:rPr>
        <w:t xml:space="preserve">Patientinstruktion kaliumpermanganatbad/baddning kan hämtas på </w:t>
      </w:r>
      <w:r w:rsidRPr="00DB3597">
        <w:rPr>
          <w:rFonts w:cs="Arial"/>
          <w:bCs/>
          <w:sz w:val="24"/>
          <w:szCs w:val="24"/>
        </w:rPr>
        <w:br/>
      </w:r>
      <w:hyperlink r:id="rId96" w:anchor="/SitePages/Startsida.aspx" w:history="1">
        <w:r w:rsidRPr="00DB3597">
          <w:rPr>
            <w:rStyle w:val="Hyperlnk"/>
            <w:rFonts w:cs="Arial"/>
            <w:bCs/>
            <w:color w:val="0070C0"/>
            <w:sz w:val="24"/>
            <w:szCs w:val="24"/>
          </w:rPr>
          <w:t>Intranätet</w:t>
        </w:r>
      </w:hyperlink>
      <w:r w:rsidRPr="00DB3597">
        <w:rPr>
          <w:rFonts w:cs="Arial"/>
          <w:bCs/>
          <w:color w:val="0070C0"/>
          <w:sz w:val="24"/>
          <w:szCs w:val="24"/>
        </w:rPr>
        <w:t xml:space="preserve"> </w:t>
      </w:r>
      <w:r w:rsidRPr="00DB3597">
        <w:rPr>
          <w:rFonts w:cs="Arial"/>
          <w:bCs/>
          <w:sz w:val="24"/>
          <w:szCs w:val="24"/>
        </w:rPr>
        <w:t>under PM och vårdprogram/Hud.</w:t>
      </w:r>
    </w:p>
    <w:p w14:paraId="3E61404E" w14:textId="77777777" w:rsidR="00702564" w:rsidRDefault="00702564" w:rsidP="00702564">
      <w:pPr>
        <w:tabs>
          <w:tab w:val="clear" w:pos="284"/>
        </w:tabs>
        <w:spacing w:after="120" w:line="260" w:lineRule="atLeast"/>
        <w:rPr>
          <w:rFonts w:ascii="Corbel" w:hAnsi="Corbel" w:cs="Arial"/>
          <w:b/>
          <w:sz w:val="32"/>
          <w:szCs w:val="32"/>
        </w:rPr>
      </w:pPr>
      <w:r>
        <w:rPr>
          <w:rFonts w:ascii="Corbel" w:hAnsi="Corbel" w:cs="Arial"/>
          <w:b/>
          <w:sz w:val="32"/>
          <w:szCs w:val="32"/>
        </w:rPr>
        <w:br w:type="page"/>
      </w:r>
    </w:p>
    <w:p w14:paraId="33ECC89A" w14:textId="77777777" w:rsidR="00702564" w:rsidRPr="000F68F4" w:rsidRDefault="00702564" w:rsidP="00702564">
      <w:pPr>
        <w:pStyle w:val="Rubrik2"/>
      </w:pPr>
      <w:r w:rsidRPr="000F68F4">
        <w:lastRenderedPageBreak/>
        <w:t>Seborroiskt eksem</w:t>
      </w:r>
    </w:p>
    <w:p w14:paraId="1DD894BD" w14:textId="77777777" w:rsidR="00702564" w:rsidRDefault="00702564" w:rsidP="00702564">
      <w:pP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7"/>
        <w:gridCol w:w="3969"/>
      </w:tblGrid>
      <w:tr w:rsidR="00702564" w:rsidRPr="00EF1504" w14:paraId="52EBCDB0" w14:textId="77777777" w:rsidTr="00632FCC">
        <w:tc>
          <w:tcPr>
            <w:tcW w:w="8926" w:type="dxa"/>
            <w:gridSpan w:val="2"/>
            <w:shd w:val="clear" w:color="auto" w:fill="FFFFFF" w:themeFill="background2"/>
          </w:tcPr>
          <w:p w14:paraId="18CED381" w14:textId="77777777" w:rsidR="00702564" w:rsidRPr="00EF1504" w:rsidRDefault="00702564" w:rsidP="00632FCC">
            <w:pPr>
              <w:rPr>
                <w:rFonts w:cs="Arial"/>
                <w:b/>
                <w:sz w:val="24"/>
                <w:szCs w:val="24"/>
              </w:rPr>
            </w:pPr>
            <w:r w:rsidRPr="00EF1504">
              <w:rPr>
                <w:rFonts w:cs="Arial"/>
                <w:b/>
                <w:sz w:val="24"/>
                <w:szCs w:val="24"/>
              </w:rPr>
              <w:t>Seborroiskt eksem</w:t>
            </w:r>
          </w:p>
          <w:p w14:paraId="5194C238" w14:textId="77777777" w:rsidR="00702564" w:rsidRPr="00EF1504" w:rsidRDefault="00702564" w:rsidP="00632FCC">
            <w:pPr>
              <w:rPr>
                <w:rFonts w:cs="Arial"/>
                <w:sz w:val="24"/>
                <w:szCs w:val="24"/>
              </w:rPr>
            </w:pPr>
            <w:r w:rsidRPr="00EF1504">
              <w:rPr>
                <w:rFonts w:cs="Arial"/>
                <w:sz w:val="24"/>
                <w:szCs w:val="24"/>
              </w:rPr>
              <w:t xml:space="preserve">(Lämna skriftlig patientinformation) </w:t>
            </w:r>
          </w:p>
        </w:tc>
      </w:tr>
      <w:tr w:rsidR="00702564" w:rsidRPr="00EF1504" w14:paraId="51F776B6" w14:textId="77777777" w:rsidTr="00632FCC">
        <w:tc>
          <w:tcPr>
            <w:tcW w:w="4957" w:type="dxa"/>
          </w:tcPr>
          <w:p w14:paraId="3B3EAFA1" w14:textId="77777777" w:rsidR="00702564" w:rsidRPr="00EF1504" w:rsidRDefault="00702564" w:rsidP="00632FCC">
            <w:pPr>
              <w:rPr>
                <w:rFonts w:cs="Arial"/>
                <w:sz w:val="24"/>
                <w:szCs w:val="24"/>
              </w:rPr>
            </w:pPr>
            <w:r w:rsidRPr="00EF1504">
              <w:rPr>
                <w:rFonts w:cs="Arial"/>
                <w:b/>
                <w:bCs/>
                <w:iCs/>
                <w:sz w:val="24"/>
                <w:szCs w:val="24"/>
              </w:rPr>
              <w:t>ketokonazol</w:t>
            </w:r>
          </w:p>
        </w:tc>
        <w:tc>
          <w:tcPr>
            <w:tcW w:w="3969" w:type="dxa"/>
          </w:tcPr>
          <w:p w14:paraId="6EE49365" w14:textId="77777777" w:rsidR="00702564" w:rsidRPr="00EF1504" w:rsidRDefault="00702564" w:rsidP="00632FCC">
            <w:pPr>
              <w:rPr>
                <w:rFonts w:cs="Arial"/>
                <w:sz w:val="24"/>
                <w:szCs w:val="24"/>
              </w:rPr>
            </w:pPr>
            <w:r w:rsidRPr="00EF1504">
              <w:rPr>
                <w:rFonts w:cs="Arial"/>
                <w:sz w:val="24"/>
                <w:szCs w:val="24"/>
              </w:rPr>
              <w:t>Ketoconazol schampo</w:t>
            </w:r>
          </w:p>
        </w:tc>
      </w:tr>
      <w:tr w:rsidR="00702564" w:rsidRPr="00EF1504" w14:paraId="2D7BF765" w14:textId="77777777" w:rsidTr="00632FCC">
        <w:tc>
          <w:tcPr>
            <w:tcW w:w="4957" w:type="dxa"/>
          </w:tcPr>
          <w:p w14:paraId="1D92090C" w14:textId="77777777" w:rsidR="00702564" w:rsidRPr="00EF1504" w:rsidRDefault="00702564" w:rsidP="00632FCC">
            <w:pPr>
              <w:rPr>
                <w:rFonts w:cs="Arial"/>
                <w:sz w:val="24"/>
                <w:szCs w:val="24"/>
              </w:rPr>
            </w:pPr>
            <w:r w:rsidRPr="00EF1504">
              <w:rPr>
                <w:rFonts w:cs="Arial"/>
                <w:b/>
                <w:bCs/>
                <w:iCs/>
                <w:sz w:val="24"/>
                <w:szCs w:val="24"/>
              </w:rPr>
              <w:t>mometason (stark kortison gr III)</w:t>
            </w:r>
          </w:p>
        </w:tc>
        <w:tc>
          <w:tcPr>
            <w:tcW w:w="3969" w:type="dxa"/>
          </w:tcPr>
          <w:p w14:paraId="0671DE8A" w14:textId="77777777" w:rsidR="00702564" w:rsidRPr="00EF1504" w:rsidRDefault="00702564" w:rsidP="00632FCC">
            <w:pPr>
              <w:rPr>
                <w:rFonts w:cs="Arial"/>
                <w:b/>
                <w:sz w:val="24"/>
                <w:szCs w:val="24"/>
              </w:rPr>
            </w:pPr>
            <w:r w:rsidRPr="00EF1504">
              <w:rPr>
                <w:rFonts w:cs="Arial"/>
                <w:bCs/>
                <w:sz w:val="24"/>
                <w:szCs w:val="24"/>
              </w:rPr>
              <w:t>Ovixan l</w:t>
            </w:r>
            <w:r w:rsidRPr="00EF1504">
              <w:rPr>
                <w:rFonts w:cs="Arial"/>
                <w:sz w:val="24"/>
                <w:szCs w:val="24"/>
              </w:rPr>
              <w:t xml:space="preserve">ösning </w:t>
            </w:r>
          </w:p>
          <w:p w14:paraId="59730B0E" w14:textId="77777777" w:rsidR="00702564" w:rsidRPr="00EF1504" w:rsidRDefault="00702564" w:rsidP="00632FCC">
            <w:pPr>
              <w:rPr>
                <w:rFonts w:cs="Arial"/>
                <w:sz w:val="24"/>
                <w:szCs w:val="24"/>
              </w:rPr>
            </w:pPr>
            <w:r w:rsidRPr="00EF1504">
              <w:rPr>
                <w:rFonts w:cs="Arial"/>
                <w:bCs/>
                <w:sz w:val="24"/>
                <w:szCs w:val="24"/>
              </w:rPr>
              <w:t>Elocon lösning</w:t>
            </w:r>
          </w:p>
        </w:tc>
      </w:tr>
      <w:tr w:rsidR="00702564" w:rsidRPr="00EF1504" w14:paraId="01B3FC09" w14:textId="77777777" w:rsidTr="00632FCC">
        <w:tc>
          <w:tcPr>
            <w:tcW w:w="4957" w:type="dxa"/>
          </w:tcPr>
          <w:p w14:paraId="07CEB955" w14:textId="77777777" w:rsidR="00702564" w:rsidRPr="00EF1504" w:rsidRDefault="00702564" w:rsidP="00632FCC">
            <w:pPr>
              <w:rPr>
                <w:rFonts w:cs="Arial"/>
                <w:sz w:val="24"/>
                <w:szCs w:val="24"/>
              </w:rPr>
            </w:pPr>
            <w:r w:rsidRPr="00EF1504">
              <w:rPr>
                <w:rFonts w:cs="Arial"/>
                <w:b/>
                <w:bCs/>
                <w:iCs/>
                <w:sz w:val="24"/>
                <w:szCs w:val="24"/>
              </w:rPr>
              <w:t>betametason (stark kortison gr III)</w:t>
            </w:r>
          </w:p>
        </w:tc>
        <w:tc>
          <w:tcPr>
            <w:tcW w:w="3969" w:type="dxa"/>
          </w:tcPr>
          <w:p w14:paraId="20A8AAFA" w14:textId="77777777" w:rsidR="00702564" w:rsidRPr="00EF1504" w:rsidRDefault="00702564" w:rsidP="00632FCC">
            <w:pPr>
              <w:rPr>
                <w:rFonts w:cs="Arial"/>
                <w:sz w:val="24"/>
                <w:szCs w:val="24"/>
              </w:rPr>
            </w:pPr>
            <w:r w:rsidRPr="00EF1504">
              <w:rPr>
                <w:rFonts w:cs="Arial"/>
                <w:bCs/>
                <w:sz w:val="24"/>
                <w:szCs w:val="24"/>
              </w:rPr>
              <w:t>Betnovat lösning</w:t>
            </w:r>
          </w:p>
        </w:tc>
      </w:tr>
      <w:tr w:rsidR="00702564" w:rsidRPr="00EF1504" w14:paraId="768A1AAA" w14:textId="77777777" w:rsidTr="00632FCC">
        <w:tc>
          <w:tcPr>
            <w:tcW w:w="8926" w:type="dxa"/>
            <w:gridSpan w:val="2"/>
          </w:tcPr>
          <w:p w14:paraId="70D8961F" w14:textId="77777777" w:rsidR="00702564" w:rsidRPr="00EF1504" w:rsidRDefault="00702564" w:rsidP="00632FCC">
            <w:pPr>
              <w:rPr>
                <w:rFonts w:cs="Arial"/>
                <w:b/>
                <w:sz w:val="24"/>
                <w:szCs w:val="24"/>
              </w:rPr>
            </w:pPr>
          </w:p>
          <w:p w14:paraId="40040D96" w14:textId="77777777" w:rsidR="00702564" w:rsidRPr="00EF1504" w:rsidRDefault="00702564" w:rsidP="00632FCC">
            <w:pPr>
              <w:rPr>
                <w:rFonts w:cs="Arial"/>
                <w:sz w:val="24"/>
                <w:szCs w:val="24"/>
              </w:rPr>
            </w:pPr>
            <w:r w:rsidRPr="00EF1504">
              <w:rPr>
                <w:rFonts w:cs="Arial"/>
                <w:b/>
                <w:sz w:val="24"/>
                <w:szCs w:val="24"/>
              </w:rPr>
              <w:t>Ansikte, öron, hudveck</w:t>
            </w:r>
          </w:p>
        </w:tc>
      </w:tr>
      <w:tr w:rsidR="00702564" w:rsidRPr="00EF1504" w14:paraId="5B5C23C6" w14:textId="77777777" w:rsidTr="00632FCC">
        <w:tc>
          <w:tcPr>
            <w:tcW w:w="4957" w:type="dxa"/>
          </w:tcPr>
          <w:p w14:paraId="2B2DF088" w14:textId="77777777" w:rsidR="00702564" w:rsidRPr="00EF1504" w:rsidRDefault="00702564" w:rsidP="00632FCC">
            <w:pPr>
              <w:rPr>
                <w:rFonts w:cs="Arial"/>
                <w:sz w:val="24"/>
                <w:szCs w:val="24"/>
              </w:rPr>
            </w:pPr>
            <w:r w:rsidRPr="00EF1504">
              <w:rPr>
                <w:rFonts w:cs="Arial"/>
                <w:b/>
                <w:bCs/>
                <w:iCs/>
                <w:sz w:val="24"/>
                <w:szCs w:val="24"/>
              </w:rPr>
              <w:t xml:space="preserve">1 mikonazol+hydrokortison </w:t>
            </w:r>
          </w:p>
        </w:tc>
        <w:tc>
          <w:tcPr>
            <w:tcW w:w="3969" w:type="dxa"/>
          </w:tcPr>
          <w:p w14:paraId="1C716627" w14:textId="77777777" w:rsidR="00702564" w:rsidRPr="00EF1504" w:rsidRDefault="00702564" w:rsidP="00632FCC">
            <w:pPr>
              <w:rPr>
                <w:rFonts w:cs="Arial"/>
                <w:bCs/>
                <w:sz w:val="24"/>
                <w:szCs w:val="24"/>
              </w:rPr>
            </w:pPr>
            <w:r w:rsidRPr="00EF1504">
              <w:rPr>
                <w:rFonts w:cs="Arial"/>
                <w:bCs/>
                <w:sz w:val="24"/>
                <w:szCs w:val="24"/>
              </w:rPr>
              <w:t>Cortimyk (gr I)</w:t>
            </w:r>
          </w:p>
          <w:p w14:paraId="4568AA5A" w14:textId="77777777" w:rsidR="00702564" w:rsidRPr="00EF1504" w:rsidRDefault="00702564" w:rsidP="00632FCC">
            <w:pPr>
              <w:rPr>
                <w:rFonts w:cs="Arial"/>
                <w:sz w:val="24"/>
                <w:szCs w:val="24"/>
              </w:rPr>
            </w:pPr>
            <w:r w:rsidRPr="00EF1504">
              <w:rPr>
                <w:rFonts w:cs="Arial"/>
                <w:bCs/>
                <w:sz w:val="24"/>
                <w:szCs w:val="24"/>
              </w:rPr>
              <w:t>Daktacort (ge I)</w:t>
            </w:r>
          </w:p>
        </w:tc>
      </w:tr>
      <w:tr w:rsidR="00702564" w:rsidRPr="00EF1504" w14:paraId="25C6BCC5" w14:textId="77777777" w:rsidTr="00632FCC">
        <w:tc>
          <w:tcPr>
            <w:tcW w:w="4957" w:type="dxa"/>
          </w:tcPr>
          <w:p w14:paraId="78D53E0A" w14:textId="77777777" w:rsidR="00702564" w:rsidRPr="00EF1504" w:rsidRDefault="00702564" w:rsidP="00632FCC">
            <w:pPr>
              <w:rPr>
                <w:rFonts w:cs="Arial"/>
                <w:b/>
                <w:bCs/>
                <w:iCs/>
                <w:sz w:val="24"/>
                <w:szCs w:val="24"/>
              </w:rPr>
            </w:pPr>
            <w:r w:rsidRPr="00EF1504">
              <w:rPr>
                <w:rFonts w:cs="Arial"/>
                <w:b/>
                <w:bCs/>
                <w:iCs/>
                <w:sz w:val="24"/>
                <w:szCs w:val="24"/>
              </w:rPr>
              <w:t>2 ekonazol + hydrokortison</w:t>
            </w:r>
          </w:p>
        </w:tc>
        <w:tc>
          <w:tcPr>
            <w:tcW w:w="3969" w:type="dxa"/>
          </w:tcPr>
          <w:p w14:paraId="27BA010B" w14:textId="77777777" w:rsidR="00702564" w:rsidRPr="00EF1504" w:rsidRDefault="00702564" w:rsidP="00632FCC">
            <w:pPr>
              <w:rPr>
                <w:rFonts w:cs="Arial"/>
                <w:bCs/>
                <w:sz w:val="24"/>
                <w:szCs w:val="24"/>
              </w:rPr>
            </w:pPr>
            <w:r w:rsidRPr="00EF1504">
              <w:rPr>
                <w:rFonts w:cs="Arial"/>
                <w:bCs/>
                <w:sz w:val="24"/>
                <w:szCs w:val="24"/>
              </w:rPr>
              <w:t>Pevisone kräm</w:t>
            </w:r>
          </w:p>
        </w:tc>
      </w:tr>
      <w:tr w:rsidR="00702564" w:rsidRPr="00800964" w14:paraId="7B60A17A" w14:textId="77777777" w:rsidTr="00632FCC">
        <w:tc>
          <w:tcPr>
            <w:tcW w:w="4957" w:type="dxa"/>
          </w:tcPr>
          <w:p w14:paraId="544486C4" w14:textId="77777777" w:rsidR="00702564" w:rsidRPr="00EF1504" w:rsidRDefault="00702564" w:rsidP="00632FCC">
            <w:pPr>
              <w:rPr>
                <w:rFonts w:cs="Arial"/>
                <w:b/>
                <w:bCs/>
                <w:iCs/>
                <w:sz w:val="24"/>
                <w:szCs w:val="24"/>
              </w:rPr>
            </w:pPr>
            <w:r w:rsidRPr="00EF1504">
              <w:rPr>
                <w:rFonts w:cs="Arial"/>
                <w:b/>
                <w:bCs/>
                <w:iCs/>
                <w:sz w:val="24"/>
                <w:szCs w:val="24"/>
              </w:rPr>
              <w:t>3 takrolimus</w:t>
            </w:r>
          </w:p>
        </w:tc>
        <w:tc>
          <w:tcPr>
            <w:tcW w:w="3969" w:type="dxa"/>
          </w:tcPr>
          <w:p w14:paraId="63F2E5B1" w14:textId="77777777" w:rsidR="00702564" w:rsidRPr="00EF1504" w:rsidRDefault="00702564" w:rsidP="00632FCC">
            <w:pPr>
              <w:rPr>
                <w:rFonts w:cs="Arial"/>
                <w:bCs/>
                <w:sz w:val="24"/>
                <w:szCs w:val="24"/>
              </w:rPr>
            </w:pPr>
            <w:r w:rsidRPr="00EF1504">
              <w:rPr>
                <w:rFonts w:cs="Arial"/>
                <w:bCs/>
                <w:sz w:val="24"/>
                <w:szCs w:val="24"/>
              </w:rPr>
              <w:t>Protopic</w:t>
            </w:r>
          </w:p>
          <w:p w14:paraId="7862A4FE" w14:textId="77777777" w:rsidR="00702564" w:rsidRPr="00800964" w:rsidRDefault="00702564" w:rsidP="00632FCC">
            <w:pPr>
              <w:rPr>
                <w:rFonts w:cs="Arial"/>
                <w:bCs/>
                <w:sz w:val="24"/>
                <w:szCs w:val="24"/>
              </w:rPr>
            </w:pPr>
            <w:r w:rsidRPr="00EF1504">
              <w:rPr>
                <w:rFonts w:cs="Arial"/>
                <w:bCs/>
                <w:sz w:val="24"/>
                <w:szCs w:val="24"/>
              </w:rPr>
              <w:t>Takrolimus</w:t>
            </w:r>
          </w:p>
        </w:tc>
      </w:tr>
    </w:tbl>
    <w:p w14:paraId="451FB33D" w14:textId="77777777" w:rsidR="00702564" w:rsidRPr="00EF1504" w:rsidRDefault="00702564" w:rsidP="00702564">
      <w:pPr>
        <w:rPr>
          <w:rFonts w:cs="Arial"/>
          <w:szCs w:val="24"/>
        </w:rPr>
      </w:pPr>
      <w:r>
        <w:rPr>
          <w:rFonts w:cs="Arial"/>
          <w:szCs w:val="24"/>
        </w:rPr>
        <w:br/>
      </w:r>
      <w:r w:rsidRPr="00800964">
        <w:rPr>
          <w:rFonts w:cs="Arial"/>
          <w:sz w:val="24"/>
          <w:szCs w:val="24"/>
        </w:rPr>
        <w:t xml:space="preserve">Ketokonazolschampo räcker vid lindriga former. Om otillräcklig effekt av enbart ketokonazolschampo 2 ggr/vecka - lägg till kortisonlösning. Vid seborroiskt eksem i ansiktet rekommenderas ketokonazolschampo som tvål i ansiktet 2 gånger per vecka i samband med schamponering av hårbotten. Bör endast sitta i kort stund i ansiktet. Om detta ej räcker kan schamponeringen kombineras med Cortimyk eller Daktacort. </w:t>
      </w:r>
      <w:r w:rsidRPr="00800964">
        <w:rPr>
          <w:rFonts w:cs="Arial"/>
          <w:sz w:val="24"/>
          <w:szCs w:val="24"/>
        </w:rPr>
        <w:br/>
        <w:t xml:space="preserve">Med fördel ges även Propyless som mjukgörande. </w:t>
      </w:r>
      <w:r w:rsidRPr="00800964">
        <w:rPr>
          <w:rFonts w:cs="Arial"/>
          <w:sz w:val="24"/>
          <w:szCs w:val="24"/>
        </w:rPr>
        <w:br/>
        <w:t>Obs! Seborroiskt eksem är en kronisk recidiverande sjukdom som ofta kräver underhållsbehandling.</w:t>
      </w:r>
      <w:r w:rsidRPr="00800964">
        <w:rPr>
          <w:rFonts w:cs="Arial"/>
          <w:sz w:val="24"/>
          <w:szCs w:val="24"/>
        </w:rPr>
        <w:br/>
      </w:r>
    </w:p>
    <w:p w14:paraId="6C2C16FB" w14:textId="77777777" w:rsidR="00702564" w:rsidRDefault="00702564" w:rsidP="00702564">
      <w:pPr>
        <w:rPr>
          <w:rFonts w:cs="Arial"/>
          <w:b/>
        </w:rPr>
      </w:pPr>
      <w:r w:rsidRPr="00DB3597">
        <w:rPr>
          <w:rFonts w:cs="Arial"/>
          <w:bCs/>
          <w:sz w:val="24"/>
          <w:szCs w:val="24"/>
        </w:rPr>
        <w:t>Utförlig patientinformation om seborroiskt eksem och behandling finns på intranätet.</w:t>
      </w:r>
    </w:p>
    <w:p w14:paraId="727A83A2" w14:textId="77777777" w:rsidR="00702564" w:rsidRDefault="00702564" w:rsidP="00702564">
      <w:pPr>
        <w:pStyle w:val="Rubrik2"/>
      </w:pPr>
      <w:r w:rsidRPr="0071138D">
        <w:t>Psoriasis</w:t>
      </w:r>
    </w:p>
    <w:p w14:paraId="6118BFC8" w14:textId="77777777" w:rsidR="00702564" w:rsidRPr="00D015A6" w:rsidRDefault="00702564" w:rsidP="007025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531"/>
      </w:tblGrid>
      <w:tr w:rsidR="00702564" w:rsidRPr="00EF1504" w14:paraId="59A0FFE8" w14:textId="77777777" w:rsidTr="00632FCC">
        <w:tc>
          <w:tcPr>
            <w:tcW w:w="9062" w:type="dxa"/>
            <w:gridSpan w:val="2"/>
            <w:shd w:val="clear" w:color="auto" w:fill="FFFFFF" w:themeFill="background2"/>
          </w:tcPr>
          <w:p w14:paraId="0D824515" w14:textId="77777777" w:rsidR="00702564" w:rsidRPr="00EF1504" w:rsidRDefault="00702564" w:rsidP="00632FCC">
            <w:pPr>
              <w:rPr>
                <w:rFonts w:cs="Arial"/>
                <w:b/>
                <w:sz w:val="24"/>
                <w:szCs w:val="24"/>
              </w:rPr>
            </w:pPr>
            <w:r w:rsidRPr="00EF1504">
              <w:rPr>
                <w:rFonts w:cs="Arial"/>
                <w:b/>
                <w:sz w:val="24"/>
                <w:szCs w:val="24"/>
              </w:rPr>
              <w:t>Kropp/Hårbotten</w:t>
            </w:r>
          </w:p>
        </w:tc>
      </w:tr>
      <w:tr w:rsidR="00702564" w:rsidRPr="00EF1504" w14:paraId="6C991C1E" w14:textId="77777777" w:rsidTr="00632FCC">
        <w:tc>
          <w:tcPr>
            <w:tcW w:w="4531" w:type="dxa"/>
          </w:tcPr>
          <w:p w14:paraId="108659DA" w14:textId="77777777" w:rsidR="00702564" w:rsidRPr="00EF1504" w:rsidRDefault="00702564" w:rsidP="00632FCC">
            <w:pPr>
              <w:rPr>
                <w:rFonts w:cs="Arial"/>
                <w:b/>
                <w:sz w:val="24"/>
                <w:szCs w:val="24"/>
              </w:rPr>
            </w:pPr>
            <w:r w:rsidRPr="00EF1504">
              <w:rPr>
                <w:rFonts w:cs="Arial"/>
                <w:b/>
                <w:sz w:val="24"/>
                <w:szCs w:val="24"/>
              </w:rPr>
              <w:t xml:space="preserve">1 </w:t>
            </w:r>
            <w:r w:rsidRPr="00EF1504">
              <w:rPr>
                <w:b/>
                <w:sz w:val="24"/>
                <w:szCs w:val="24"/>
              </w:rPr>
              <w:t>mometason</w:t>
            </w:r>
            <w:r w:rsidRPr="00EF1504">
              <w:rPr>
                <w:rFonts w:cs="Arial"/>
                <w:b/>
                <w:sz w:val="24"/>
                <w:szCs w:val="24"/>
              </w:rPr>
              <w:t xml:space="preserve"> (gr III)</w:t>
            </w:r>
          </w:p>
        </w:tc>
        <w:tc>
          <w:tcPr>
            <w:tcW w:w="4531" w:type="dxa"/>
          </w:tcPr>
          <w:p w14:paraId="0D31A942" w14:textId="77777777" w:rsidR="00702564" w:rsidRPr="00EF1504" w:rsidRDefault="00702564" w:rsidP="00632FCC">
            <w:pPr>
              <w:rPr>
                <w:rFonts w:cs="Arial"/>
                <w:bCs/>
                <w:sz w:val="24"/>
                <w:szCs w:val="24"/>
              </w:rPr>
            </w:pPr>
            <w:r w:rsidRPr="00EF1504">
              <w:rPr>
                <w:rFonts w:cs="Arial"/>
                <w:bCs/>
                <w:sz w:val="24"/>
                <w:szCs w:val="24"/>
              </w:rPr>
              <w:t>Ovixan</w:t>
            </w:r>
          </w:p>
          <w:p w14:paraId="45371122" w14:textId="77777777" w:rsidR="00702564" w:rsidRPr="00EF1504" w:rsidRDefault="00702564" w:rsidP="00632FCC">
            <w:pPr>
              <w:rPr>
                <w:rFonts w:cs="Arial"/>
                <w:b/>
                <w:sz w:val="24"/>
                <w:szCs w:val="24"/>
              </w:rPr>
            </w:pPr>
            <w:r w:rsidRPr="00EF1504">
              <w:rPr>
                <w:rFonts w:cs="Arial"/>
                <w:bCs/>
                <w:sz w:val="24"/>
                <w:szCs w:val="24"/>
              </w:rPr>
              <w:t>Mometason</w:t>
            </w:r>
          </w:p>
        </w:tc>
      </w:tr>
      <w:tr w:rsidR="00702564" w:rsidRPr="00EF1504" w14:paraId="0FB6271E" w14:textId="77777777" w:rsidTr="00632FCC">
        <w:tc>
          <w:tcPr>
            <w:tcW w:w="4531" w:type="dxa"/>
          </w:tcPr>
          <w:p w14:paraId="48D891C6" w14:textId="77777777" w:rsidR="00702564" w:rsidRPr="00EF1504" w:rsidRDefault="00702564" w:rsidP="00632FCC">
            <w:pPr>
              <w:rPr>
                <w:rFonts w:cs="Arial"/>
                <w:b/>
                <w:sz w:val="24"/>
                <w:szCs w:val="24"/>
              </w:rPr>
            </w:pPr>
            <w:r w:rsidRPr="00EF1504">
              <w:rPr>
                <w:rFonts w:cs="Arial"/>
                <w:b/>
                <w:sz w:val="24"/>
                <w:szCs w:val="24"/>
              </w:rPr>
              <w:t xml:space="preserve">1 </w:t>
            </w:r>
            <w:r w:rsidRPr="00EF1504">
              <w:rPr>
                <w:b/>
                <w:sz w:val="24"/>
                <w:szCs w:val="24"/>
              </w:rPr>
              <w:t>betametason</w:t>
            </w:r>
            <w:r w:rsidRPr="00EF1504">
              <w:rPr>
                <w:rFonts w:cs="Arial"/>
                <w:b/>
                <w:sz w:val="24"/>
                <w:szCs w:val="24"/>
              </w:rPr>
              <w:t xml:space="preserve"> (gr III)</w:t>
            </w:r>
          </w:p>
        </w:tc>
        <w:tc>
          <w:tcPr>
            <w:tcW w:w="4531" w:type="dxa"/>
          </w:tcPr>
          <w:p w14:paraId="375D41E8" w14:textId="77777777" w:rsidR="00702564" w:rsidRPr="00EF1504" w:rsidRDefault="00702564" w:rsidP="00632FCC">
            <w:pPr>
              <w:rPr>
                <w:rFonts w:cs="Arial"/>
                <w:b/>
                <w:sz w:val="24"/>
                <w:szCs w:val="24"/>
              </w:rPr>
            </w:pPr>
            <w:r w:rsidRPr="00EF1504">
              <w:rPr>
                <w:rFonts w:cs="Arial"/>
                <w:bCs/>
                <w:sz w:val="24"/>
                <w:szCs w:val="24"/>
              </w:rPr>
              <w:t>Betnovat</w:t>
            </w:r>
          </w:p>
        </w:tc>
      </w:tr>
      <w:tr w:rsidR="00702564" w:rsidRPr="00800964" w14:paraId="37836C7C" w14:textId="77777777" w:rsidTr="00632FCC">
        <w:tc>
          <w:tcPr>
            <w:tcW w:w="4531" w:type="dxa"/>
          </w:tcPr>
          <w:p w14:paraId="5A076876" w14:textId="77777777" w:rsidR="00702564" w:rsidRPr="00EF1504" w:rsidRDefault="00702564" w:rsidP="00632FCC">
            <w:pPr>
              <w:rPr>
                <w:rFonts w:cs="Arial"/>
                <w:b/>
                <w:sz w:val="24"/>
                <w:szCs w:val="24"/>
              </w:rPr>
            </w:pPr>
            <w:r w:rsidRPr="00EF1504">
              <w:rPr>
                <w:b/>
                <w:sz w:val="24"/>
                <w:szCs w:val="24"/>
              </w:rPr>
              <w:t>2 betametason+kalcipotriol (gr III)</w:t>
            </w:r>
          </w:p>
        </w:tc>
        <w:tc>
          <w:tcPr>
            <w:tcW w:w="4531" w:type="dxa"/>
          </w:tcPr>
          <w:p w14:paraId="693F6A68" w14:textId="77777777" w:rsidR="00702564" w:rsidRPr="00EF1504" w:rsidRDefault="00702564" w:rsidP="00632FCC">
            <w:pPr>
              <w:rPr>
                <w:bCs/>
                <w:sz w:val="24"/>
                <w:szCs w:val="24"/>
              </w:rPr>
            </w:pPr>
            <w:r w:rsidRPr="00EF1504">
              <w:rPr>
                <w:bCs/>
                <w:sz w:val="24"/>
                <w:szCs w:val="24"/>
              </w:rPr>
              <w:t>Enstilar kutant skum</w:t>
            </w:r>
          </w:p>
          <w:p w14:paraId="40E1F511" w14:textId="77777777" w:rsidR="00702564" w:rsidRPr="00EF1504" w:rsidRDefault="00702564" w:rsidP="00632FCC">
            <w:pPr>
              <w:rPr>
                <w:bCs/>
                <w:sz w:val="24"/>
                <w:szCs w:val="24"/>
              </w:rPr>
            </w:pPr>
            <w:r w:rsidRPr="00EF1504">
              <w:rPr>
                <w:bCs/>
                <w:sz w:val="24"/>
                <w:szCs w:val="24"/>
              </w:rPr>
              <w:t>Daivobet salva, gel</w:t>
            </w:r>
          </w:p>
        </w:tc>
      </w:tr>
    </w:tbl>
    <w:p w14:paraId="47E5ACAF" w14:textId="77777777" w:rsidR="00702564" w:rsidRDefault="00702564" w:rsidP="00702564">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2"/>
        <w:gridCol w:w="4530"/>
      </w:tblGrid>
      <w:tr w:rsidR="00702564" w:rsidRPr="00EF1504" w14:paraId="1D483D7C" w14:textId="77777777" w:rsidTr="00632FCC">
        <w:tc>
          <w:tcPr>
            <w:tcW w:w="9062" w:type="dxa"/>
            <w:gridSpan w:val="2"/>
            <w:shd w:val="clear" w:color="auto" w:fill="FFFFFF" w:themeFill="background2"/>
          </w:tcPr>
          <w:p w14:paraId="511E9508" w14:textId="77777777" w:rsidR="00702564" w:rsidRPr="00EF1504" w:rsidRDefault="00702564" w:rsidP="00632FCC">
            <w:pPr>
              <w:rPr>
                <w:rFonts w:cs="Arial"/>
                <w:b/>
                <w:sz w:val="24"/>
                <w:szCs w:val="24"/>
              </w:rPr>
            </w:pPr>
            <w:r w:rsidRPr="00EF1504">
              <w:rPr>
                <w:rFonts w:cs="Arial"/>
                <w:b/>
                <w:sz w:val="24"/>
                <w:szCs w:val="24"/>
              </w:rPr>
              <w:t>Hudveck/ansikte</w:t>
            </w:r>
          </w:p>
        </w:tc>
      </w:tr>
      <w:tr w:rsidR="00702564" w:rsidRPr="00EF1504" w14:paraId="295A22FD" w14:textId="77777777" w:rsidTr="00632FCC">
        <w:tc>
          <w:tcPr>
            <w:tcW w:w="4532" w:type="dxa"/>
          </w:tcPr>
          <w:p w14:paraId="776B6EE6" w14:textId="77777777" w:rsidR="00702564" w:rsidRPr="00EF1504" w:rsidRDefault="00702564" w:rsidP="00632FCC">
            <w:pPr>
              <w:rPr>
                <w:rFonts w:cs="Arial"/>
                <w:b/>
                <w:sz w:val="24"/>
                <w:szCs w:val="24"/>
              </w:rPr>
            </w:pPr>
            <w:r w:rsidRPr="00EF1504">
              <w:rPr>
                <w:rFonts w:cs="Arial"/>
                <w:b/>
                <w:bCs/>
                <w:iCs/>
                <w:sz w:val="24"/>
                <w:szCs w:val="24"/>
              </w:rPr>
              <w:t>1 klobetason (gr II)</w:t>
            </w:r>
          </w:p>
        </w:tc>
        <w:tc>
          <w:tcPr>
            <w:tcW w:w="4530" w:type="dxa"/>
          </w:tcPr>
          <w:p w14:paraId="6F8A57E0" w14:textId="77777777" w:rsidR="00702564" w:rsidRPr="00EF1504" w:rsidRDefault="00702564" w:rsidP="00632FCC">
            <w:pPr>
              <w:rPr>
                <w:rFonts w:cs="Arial"/>
                <w:b/>
                <w:sz w:val="24"/>
                <w:szCs w:val="24"/>
              </w:rPr>
            </w:pPr>
            <w:r w:rsidRPr="00EF1504">
              <w:rPr>
                <w:rFonts w:cs="Arial"/>
                <w:bCs/>
                <w:sz w:val="24"/>
                <w:szCs w:val="24"/>
              </w:rPr>
              <w:t>Emovat **</w:t>
            </w:r>
          </w:p>
        </w:tc>
      </w:tr>
      <w:tr w:rsidR="00702564" w:rsidRPr="00EF1504" w14:paraId="0DDE0A6F" w14:textId="77777777" w:rsidTr="00632FCC">
        <w:tc>
          <w:tcPr>
            <w:tcW w:w="4532" w:type="dxa"/>
          </w:tcPr>
          <w:p w14:paraId="01FD0C12" w14:textId="77777777" w:rsidR="00702564" w:rsidRPr="00EF1504" w:rsidRDefault="00702564" w:rsidP="00632FCC">
            <w:pPr>
              <w:rPr>
                <w:rFonts w:cs="Arial"/>
                <w:b/>
                <w:sz w:val="24"/>
                <w:szCs w:val="24"/>
              </w:rPr>
            </w:pPr>
            <w:r w:rsidRPr="00EF1504">
              <w:rPr>
                <w:b/>
                <w:bCs/>
                <w:iCs/>
                <w:spacing w:val="-1"/>
                <w:sz w:val="24"/>
                <w:szCs w:val="24"/>
              </w:rPr>
              <w:t>1 ekonazol + triamcinilon</w:t>
            </w:r>
            <w:r w:rsidRPr="00EF1504">
              <w:rPr>
                <w:rFonts w:cs="Arial"/>
                <w:b/>
                <w:bCs/>
                <w:iCs/>
                <w:sz w:val="24"/>
                <w:szCs w:val="24"/>
              </w:rPr>
              <w:t xml:space="preserve"> (grII)</w:t>
            </w:r>
          </w:p>
        </w:tc>
        <w:tc>
          <w:tcPr>
            <w:tcW w:w="4530" w:type="dxa"/>
          </w:tcPr>
          <w:p w14:paraId="63C4BEF1" w14:textId="77777777" w:rsidR="00702564" w:rsidRPr="00EF1504" w:rsidRDefault="00702564" w:rsidP="00632FCC">
            <w:pPr>
              <w:rPr>
                <w:rFonts w:cs="Arial"/>
                <w:b/>
                <w:sz w:val="24"/>
                <w:szCs w:val="24"/>
              </w:rPr>
            </w:pPr>
            <w:r w:rsidRPr="00EF1504">
              <w:rPr>
                <w:rFonts w:cs="Arial"/>
                <w:bCs/>
                <w:sz w:val="24"/>
                <w:szCs w:val="24"/>
              </w:rPr>
              <w:t>Pevisone</w:t>
            </w:r>
          </w:p>
        </w:tc>
      </w:tr>
      <w:tr w:rsidR="00702564" w:rsidRPr="00800964" w14:paraId="77D9F9CA" w14:textId="77777777" w:rsidTr="00632FCC">
        <w:tc>
          <w:tcPr>
            <w:tcW w:w="4532" w:type="dxa"/>
          </w:tcPr>
          <w:p w14:paraId="1A42F781" w14:textId="77777777" w:rsidR="00702564" w:rsidRPr="00EF1504" w:rsidRDefault="00702564" w:rsidP="00632FCC">
            <w:pPr>
              <w:rPr>
                <w:b/>
                <w:bCs/>
                <w:iCs/>
                <w:spacing w:val="-1"/>
                <w:sz w:val="24"/>
                <w:szCs w:val="24"/>
              </w:rPr>
            </w:pPr>
            <w:r w:rsidRPr="00EF1504">
              <w:rPr>
                <w:b/>
                <w:bCs/>
                <w:iCs/>
                <w:spacing w:val="-1"/>
                <w:sz w:val="24"/>
                <w:szCs w:val="24"/>
              </w:rPr>
              <w:t>2 takrolimus</w:t>
            </w:r>
          </w:p>
        </w:tc>
        <w:tc>
          <w:tcPr>
            <w:tcW w:w="4530" w:type="dxa"/>
          </w:tcPr>
          <w:p w14:paraId="161DC5AA" w14:textId="77777777" w:rsidR="00702564" w:rsidRPr="00EF1504" w:rsidRDefault="00702564" w:rsidP="00632FCC">
            <w:pPr>
              <w:rPr>
                <w:rFonts w:cs="Arial"/>
                <w:bCs/>
                <w:sz w:val="24"/>
                <w:szCs w:val="24"/>
              </w:rPr>
            </w:pPr>
            <w:r w:rsidRPr="00EF1504">
              <w:rPr>
                <w:rFonts w:cs="Arial"/>
                <w:bCs/>
                <w:sz w:val="24"/>
                <w:szCs w:val="24"/>
              </w:rPr>
              <w:t>Protopic</w:t>
            </w:r>
          </w:p>
          <w:p w14:paraId="0F34CE46" w14:textId="77777777" w:rsidR="00702564" w:rsidRPr="00800964" w:rsidRDefault="00702564" w:rsidP="00632FCC">
            <w:pPr>
              <w:rPr>
                <w:rFonts w:cs="Arial"/>
                <w:bCs/>
                <w:sz w:val="24"/>
                <w:szCs w:val="24"/>
              </w:rPr>
            </w:pPr>
            <w:r w:rsidRPr="00EF1504">
              <w:rPr>
                <w:rFonts w:cs="Arial"/>
                <w:bCs/>
                <w:sz w:val="24"/>
                <w:szCs w:val="24"/>
              </w:rPr>
              <w:t>Takrolimus</w:t>
            </w:r>
          </w:p>
        </w:tc>
      </w:tr>
    </w:tbl>
    <w:p w14:paraId="0050BA97" w14:textId="77777777" w:rsidR="00702564" w:rsidRPr="006C7F61" w:rsidRDefault="00702564" w:rsidP="00702564">
      <w:pPr>
        <w:rPr>
          <w:rFonts w:cs="Arial"/>
          <w:bCs/>
          <w:szCs w:val="24"/>
        </w:rPr>
      </w:pPr>
      <w:r w:rsidRPr="006C7F61">
        <w:rPr>
          <w:rFonts w:cs="Arial"/>
          <w:bCs/>
          <w:szCs w:val="24"/>
        </w:rPr>
        <w:t xml:space="preserve">** </w:t>
      </w:r>
      <w:r>
        <w:rPr>
          <w:rFonts w:cs="Arial"/>
          <w:iCs/>
          <w:szCs w:val="24"/>
        </w:rPr>
        <w:t>vid leveransproblem: Locoid (hydrokortison-17-butyrat)</w:t>
      </w:r>
      <w:r w:rsidRPr="006C7F61">
        <w:rPr>
          <w:rFonts w:cs="Arial"/>
          <w:bCs/>
          <w:szCs w:val="24"/>
        </w:rPr>
        <w:br/>
      </w:r>
    </w:p>
    <w:p w14:paraId="3412DE3D" w14:textId="77777777" w:rsidR="00702564" w:rsidRPr="00DB3597" w:rsidRDefault="00702564" w:rsidP="00702564">
      <w:pPr>
        <w:rPr>
          <w:rFonts w:cs="Arial"/>
          <w:bCs/>
          <w:sz w:val="24"/>
          <w:szCs w:val="24"/>
        </w:rPr>
      </w:pPr>
      <w:r w:rsidRPr="00DB3597">
        <w:rPr>
          <w:rFonts w:cs="Arial"/>
          <w:bCs/>
          <w:sz w:val="24"/>
          <w:szCs w:val="24"/>
        </w:rPr>
        <w:lastRenderedPageBreak/>
        <w:t xml:space="preserve">Vid lokalbehandling av psoriasis är starka kortikosteroider förstahandsval och kombinationspreparat innehållande kalcipotriol och betametason andrahandsval. </w:t>
      </w:r>
    </w:p>
    <w:p w14:paraId="52E4AA85" w14:textId="77777777" w:rsidR="00702564" w:rsidRPr="00800964" w:rsidRDefault="00702564" w:rsidP="00702564">
      <w:pPr>
        <w:rPr>
          <w:rFonts w:cs="Arial"/>
          <w:sz w:val="24"/>
          <w:szCs w:val="24"/>
        </w:rPr>
      </w:pPr>
      <w:r w:rsidRPr="00800964">
        <w:rPr>
          <w:rFonts w:cs="Arial"/>
          <w:sz w:val="24"/>
          <w:szCs w:val="24"/>
        </w:rPr>
        <w:t>Daivobet</w:t>
      </w:r>
      <w:r w:rsidRPr="00800964">
        <w:rPr>
          <w:rFonts w:cs="Arial"/>
          <w:b/>
          <w:sz w:val="24"/>
          <w:szCs w:val="24"/>
        </w:rPr>
        <w:t xml:space="preserve"> </w:t>
      </w:r>
      <w:r w:rsidRPr="00800964">
        <w:rPr>
          <w:rFonts w:cs="Arial"/>
          <w:sz w:val="24"/>
          <w:szCs w:val="24"/>
        </w:rPr>
        <w:t xml:space="preserve">har enkel dosering och snabb effekt. Finns i salva till tjockare, fjällig psoriasis på kroppen samt tunnare gel för hårbotten, nu även godkänd (men ej förmånsberättigad för kroppen). </w:t>
      </w:r>
      <w:r>
        <w:rPr>
          <w:rFonts w:cs="Arial"/>
          <w:sz w:val="24"/>
          <w:szCs w:val="24"/>
        </w:rPr>
        <w:br/>
      </w:r>
      <w:r w:rsidRPr="00800964">
        <w:rPr>
          <w:rFonts w:cs="Arial"/>
          <w:sz w:val="24"/>
          <w:szCs w:val="24"/>
        </w:rPr>
        <w:t>Gelen har visat sig ge bättre effekt på kroppen pga. bättre följsamhet och är även drygare.</w:t>
      </w:r>
    </w:p>
    <w:p w14:paraId="296E88CF" w14:textId="77777777" w:rsidR="00702564" w:rsidRPr="00800964" w:rsidRDefault="00702564" w:rsidP="00702564">
      <w:pPr>
        <w:rPr>
          <w:rFonts w:cs="Arial"/>
          <w:sz w:val="24"/>
          <w:szCs w:val="24"/>
        </w:rPr>
      </w:pPr>
      <w:r w:rsidRPr="00800964">
        <w:rPr>
          <w:rFonts w:cs="Arial"/>
          <w:sz w:val="24"/>
          <w:szCs w:val="24"/>
        </w:rPr>
        <w:t xml:space="preserve">Viktigt att instruera, flaskan skall skakas, en droppe tas på fingret och masseras in i hårbotten/huden, räcker till en yta motsvarande handryggen. Bör sitta i över natten, urtvätt vid behov. Behandling 1 gång dagligen till natten i tills bra effekt, därefter nedtrappning till 2 gånger </w:t>
      </w:r>
      <w:r>
        <w:rPr>
          <w:rFonts w:cs="Arial"/>
          <w:sz w:val="24"/>
          <w:szCs w:val="24"/>
        </w:rPr>
        <w:br/>
      </w:r>
      <w:r w:rsidRPr="00800964">
        <w:rPr>
          <w:rFonts w:cs="Arial"/>
          <w:sz w:val="24"/>
          <w:szCs w:val="24"/>
        </w:rPr>
        <w:t>per vecka.</w:t>
      </w:r>
    </w:p>
    <w:p w14:paraId="10833489" w14:textId="77777777" w:rsidR="00702564" w:rsidRPr="00800964" w:rsidRDefault="00702564" w:rsidP="00702564">
      <w:pPr>
        <w:autoSpaceDE w:val="0"/>
        <w:autoSpaceDN w:val="0"/>
        <w:adjustRightInd w:val="0"/>
        <w:rPr>
          <w:sz w:val="24"/>
          <w:szCs w:val="24"/>
        </w:rPr>
      </w:pPr>
      <w:r w:rsidRPr="00800964">
        <w:rPr>
          <w:rFonts w:cs="Arial"/>
          <w:sz w:val="24"/>
          <w:szCs w:val="24"/>
        </w:rPr>
        <w:t xml:space="preserve">Som alternativ till Daivobet salva finns Enstilar kutant skum. Enstilar </w:t>
      </w:r>
      <w:r w:rsidRPr="00800964">
        <w:rPr>
          <w:sz w:val="24"/>
          <w:szCs w:val="24"/>
        </w:rPr>
        <w:t xml:space="preserve">har i kliniska studier visats ha en bättre effekt än Daivobet (kalcipotriol/betametason) salva som innehåller samma aktiva substanser i samma mängd och till stor del samma hjälpämnen. Läkemedlen doseras på samma sätt och har samma rekommenderade behandlingstid. TLV bedömer att behandling med Enstilar visats ha bättre effekt än Daivobet salva och ger lägre behandlingskostnad jämfört generiskt utbytbart kalcipotriol/betametason salva. Mot psoriasis i hårbotten rekommenderas </w:t>
      </w:r>
      <w:r w:rsidRPr="00EF1504">
        <w:rPr>
          <w:sz w:val="24"/>
          <w:szCs w:val="24"/>
        </w:rPr>
        <w:t xml:space="preserve">Daivobet gel eller </w:t>
      </w:r>
      <w:r>
        <w:rPr>
          <w:sz w:val="24"/>
          <w:szCs w:val="24"/>
        </w:rPr>
        <w:br/>
      </w:r>
      <w:r w:rsidRPr="00EF1504">
        <w:rPr>
          <w:sz w:val="24"/>
          <w:szCs w:val="24"/>
        </w:rPr>
        <w:t>Enstilar skum (</w:t>
      </w:r>
      <w:r w:rsidRPr="00EF1504">
        <w:rPr>
          <w:rFonts w:cs="Helvetica"/>
          <w:color w:val="222222"/>
          <w:sz w:val="24"/>
          <w:szCs w:val="24"/>
          <w:shd w:val="clear" w:color="auto" w:fill="FFFFFF"/>
        </w:rPr>
        <w:t>sprayas i handflatan innan den appliceras på det drabbade området i hårbotten med fingertopparna, hårtvättsinstruktion finns i bipacksedeln). Studier har visat att 4 veckors behandling med Enstilar skum har bättre effekt än 8 veckors behandling med Daivobet gel.</w:t>
      </w:r>
    </w:p>
    <w:p w14:paraId="14831C40" w14:textId="77777777" w:rsidR="00702564" w:rsidRPr="00800964" w:rsidRDefault="00702564" w:rsidP="00702564">
      <w:pPr>
        <w:autoSpaceDE w:val="0"/>
        <w:autoSpaceDN w:val="0"/>
        <w:adjustRightInd w:val="0"/>
        <w:rPr>
          <w:sz w:val="24"/>
          <w:szCs w:val="24"/>
        </w:rPr>
      </w:pPr>
    </w:p>
    <w:p w14:paraId="04DF8ABC" w14:textId="77777777" w:rsidR="00702564" w:rsidRPr="00800964" w:rsidRDefault="00702564" w:rsidP="00702564">
      <w:pPr>
        <w:rPr>
          <w:color w:val="000000"/>
          <w:sz w:val="24"/>
          <w:szCs w:val="24"/>
        </w:rPr>
      </w:pPr>
      <w:hyperlink r:id="rId97" w:history="1">
        <w:r w:rsidRPr="00800964">
          <w:rPr>
            <w:rStyle w:val="Hyperlnk"/>
            <w:sz w:val="24"/>
            <w:szCs w:val="24"/>
          </w:rPr>
          <w:t>Enstilar ingår i högkostnadsskyddet - Tandvårds- och läkemedelsförmånsverket TLV</w:t>
        </w:r>
      </w:hyperlink>
    </w:p>
    <w:p w14:paraId="0EDA0CB7" w14:textId="77777777" w:rsidR="00702564" w:rsidRPr="00800964" w:rsidRDefault="00702564" w:rsidP="00702564">
      <w:pPr>
        <w:rPr>
          <w:rFonts w:cs="Arial"/>
          <w:sz w:val="24"/>
          <w:szCs w:val="24"/>
        </w:rPr>
      </w:pPr>
    </w:p>
    <w:p w14:paraId="5E2687B8" w14:textId="77777777" w:rsidR="00702564" w:rsidRPr="00800964" w:rsidRDefault="00702564" w:rsidP="00702564">
      <w:pPr>
        <w:rPr>
          <w:rFonts w:cs="Arial"/>
          <w:sz w:val="24"/>
          <w:szCs w:val="24"/>
        </w:rPr>
      </w:pPr>
      <w:r w:rsidRPr="00166402">
        <w:rPr>
          <w:rFonts w:cs="Arial"/>
          <w:sz w:val="24"/>
          <w:szCs w:val="24"/>
        </w:rPr>
        <w:t>Ansiktspsoriasis behandlas med Emovat kräm. Till psoriasis i hudveck, öron och underliv ges Emovat/Pevisone 2 gånger dagligen, vid läkning successiv utglesning. Daivobet bör ej användas på dessa lokaler. Protopic finns däremot som välfungerande kortisonfritt alternativ för dessa lokaler.</w:t>
      </w:r>
    </w:p>
    <w:p w14:paraId="07318360" w14:textId="77777777" w:rsidR="00702564" w:rsidRPr="00800964" w:rsidRDefault="00702564" w:rsidP="00702564">
      <w:pPr>
        <w:rPr>
          <w:rFonts w:cs="Arial"/>
          <w:sz w:val="24"/>
          <w:szCs w:val="24"/>
        </w:rPr>
      </w:pPr>
    </w:p>
    <w:p w14:paraId="1189B213" w14:textId="77777777" w:rsidR="00702564" w:rsidRPr="00800964" w:rsidRDefault="00702564" w:rsidP="00702564">
      <w:pPr>
        <w:rPr>
          <w:rFonts w:cs="Arial"/>
          <w:sz w:val="24"/>
          <w:szCs w:val="24"/>
        </w:rPr>
      </w:pPr>
      <w:r w:rsidRPr="00DB3597">
        <w:rPr>
          <w:rFonts w:cs="Arial"/>
          <w:bCs/>
          <w:sz w:val="24"/>
          <w:szCs w:val="24"/>
        </w:rPr>
        <w:t>Vid akut uppblommande psoriasis startas behandlingen med</w:t>
      </w:r>
      <w:r w:rsidRPr="00800964">
        <w:rPr>
          <w:rFonts w:cs="Arial"/>
          <w:sz w:val="24"/>
          <w:szCs w:val="24"/>
        </w:rPr>
        <w:t xml:space="preserve"> Ovixan/Betnovat/Elocon/Mometason.</w:t>
      </w:r>
      <w:r w:rsidRPr="00800964">
        <w:rPr>
          <w:rFonts w:cs="Arial"/>
          <w:sz w:val="24"/>
          <w:szCs w:val="24"/>
        </w:rPr>
        <w:br/>
        <w:t>Vid läkning av utslagen glesas smörjningen ut till 2 gånger per vecka i 2-3 veckor innan avslut.</w:t>
      </w:r>
      <w:r>
        <w:rPr>
          <w:rFonts w:cs="Arial"/>
          <w:sz w:val="24"/>
          <w:szCs w:val="24"/>
        </w:rPr>
        <w:br/>
      </w:r>
    </w:p>
    <w:p w14:paraId="6A813F38" w14:textId="77777777" w:rsidR="00702564" w:rsidRPr="00DB3597" w:rsidRDefault="00702564" w:rsidP="00702564">
      <w:pPr>
        <w:rPr>
          <w:rFonts w:cs="Arial"/>
          <w:bCs/>
          <w:sz w:val="24"/>
          <w:szCs w:val="24"/>
        </w:rPr>
      </w:pPr>
      <w:r w:rsidRPr="00DB3597">
        <w:rPr>
          <w:rFonts w:cs="Arial"/>
          <w:bCs/>
          <w:sz w:val="24"/>
          <w:szCs w:val="24"/>
        </w:rPr>
        <w:t>Färdiga smörjscheman för psoriasisbehandling finns nu att trycka ut på intranätet.</w:t>
      </w:r>
    </w:p>
    <w:p w14:paraId="7B6329A5" w14:textId="77777777" w:rsidR="00702564" w:rsidRPr="0071138D" w:rsidRDefault="00702564" w:rsidP="00702564">
      <w:r w:rsidRPr="00800964">
        <w:rPr>
          <w:rFonts w:cs="Arial"/>
          <w:bCs/>
          <w:sz w:val="24"/>
          <w:szCs w:val="24"/>
        </w:rPr>
        <w:t>Vid psoriasis finns risk för samsjuklighet med hjärt-kärlsjukdom, hypertoni och diabetes till exempel. I förebyggande syfte är det bra att göra en riskbedömning för ohälsosamma levnadsvanor och erbjuda anpassade åtgärder.</w:t>
      </w:r>
      <w:r w:rsidRPr="0071138D">
        <w:t>Akne</w:t>
      </w:r>
    </w:p>
    <w:p w14:paraId="2641AB22" w14:textId="77777777" w:rsidR="00702564" w:rsidRDefault="00702564" w:rsidP="00702564">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531"/>
      </w:tblGrid>
      <w:tr w:rsidR="00702564" w14:paraId="3378E04D" w14:textId="77777777" w:rsidTr="00632FCC">
        <w:tc>
          <w:tcPr>
            <w:tcW w:w="9062" w:type="dxa"/>
            <w:gridSpan w:val="2"/>
            <w:shd w:val="clear" w:color="auto" w:fill="FFFFFF" w:themeFill="background2"/>
          </w:tcPr>
          <w:p w14:paraId="404F0B7F" w14:textId="77777777" w:rsidR="00702564" w:rsidRDefault="00702564" w:rsidP="00632FCC">
            <w:pPr>
              <w:pStyle w:val="Rubrik3"/>
            </w:pPr>
            <w:r w:rsidRPr="0071138D">
              <w:t>Akne</w:t>
            </w:r>
          </w:p>
        </w:tc>
      </w:tr>
      <w:tr w:rsidR="00702564" w:rsidRPr="00800964" w14:paraId="4FAC1EA8" w14:textId="77777777" w:rsidTr="00632FCC">
        <w:tc>
          <w:tcPr>
            <w:tcW w:w="4531" w:type="dxa"/>
          </w:tcPr>
          <w:p w14:paraId="3F41C9A8" w14:textId="77777777" w:rsidR="00702564" w:rsidRPr="00800964" w:rsidRDefault="00702564" w:rsidP="00632FCC">
            <w:pPr>
              <w:rPr>
                <w:rFonts w:ascii="Corbel" w:hAnsi="Corbel" w:cs="Arial"/>
                <w:b/>
                <w:sz w:val="24"/>
                <w:szCs w:val="28"/>
              </w:rPr>
            </w:pPr>
            <w:r w:rsidRPr="00800964">
              <w:rPr>
                <w:rFonts w:cs="Arial"/>
                <w:b/>
                <w:sz w:val="24"/>
                <w:szCs w:val="28"/>
              </w:rPr>
              <w:t>1 adapalen</w:t>
            </w:r>
          </w:p>
        </w:tc>
        <w:tc>
          <w:tcPr>
            <w:tcW w:w="4531" w:type="dxa"/>
          </w:tcPr>
          <w:p w14:paraId="59E20A25" w14:textId="77777777" w:rsidR="00702564" w:rsidRPr="00800964" w:rsidRDefault="00702564" w:rsidP="00632FCC">
            <w:pPr>
              <w:rPr>
                <w:rFonts w:ascii="Corbel" w:hAnsi="Corbel" w:cs="Arial"/>
                <w:b/>
                <w:sz w:val="24"/>
                <w:szCs w:val="28"/>
              </w:rPr>
            </w:pPr>
            <w:r w:rsidRPr="00800964">
              <w:rPr>
                <w:rFonts w:cs="Arial"/>
                <w:sz w:val="24"/>
                <w:szCs w:val="28"/>
              </w:rPr>
              <w:t>Differin</w:t>
            </w:r>
          </w:p>
        </w:tc>
      </w:tr>
      <w:tr w:rsidR="00702564" w:rsidRPr="00800964" w14:paraId="2F935F45" w14:textId="77777777" w:rsidTr="00632FCC">
        <w:tc>
          <w:tcPr>
            <w:tcW w:w="4531" w:type="dxa"/>
          </w:tcPr>
          <w:p w14:paraId="1920FE7B" w14:textId="77777777" w:rsidR="00702564" w:rsidRPr="00800964" w:rsidRDefault="00702564" w:rsidP="00632FCC">
            <w:pPr>
              <w:rPr>
                <w:rFonts w:ascii="Corbel" w:hAnsi="Corbel" w:cs="Arial"/>
                <w:b/>
                <w:sz w:val="24"/>
                <w:szCs w:val="28"/>
              </w:rPr>
            </w:pPr>
            <w:r w:rsidRPr="00800964">
              <w:rPr>
                <w:rFonts w:cs="Arial"/>
                <w:b/>
                <w:sz w:val="24"/>
                <w:szCs w:val="28"/>
              </w:rPr>
              <w:t>1</w:t>
            </w:r>
            <w:r w:rsidRPr="00800964">
              <w:rPr>
                <w:rFonts w:cs="Arial"/>
                <w:i/>
                <w:sz w:val="24"/>
                <w:szCs w:val="28"/>
              </w:rPr>
              <w:t xml:space="preserve"> </w:t>
            </w:r>
            <w:r w:rsidRPr="00800964">
              <w:rPr>
                <w:rFonts w:cs="Arial"/>
                <w:b/>
                <w:sz w:val="24"/>
                <w:szCs w:val="28"/>
              </w:rPr>
              <w:t>bensoylperoxid</w:t>
            </w:r>
          </w:p>
        </w:tc>
        <w:tc>
          <w:tcPr>
            <w:tcW w:w="4531" w:type="dxa"/>
          </w:tcPr>
          <w:p w14:paraId="21CF7A4B" w14:textId="77777777" w:rsidR="00702564" w:rsidRPr="00166402" w:rsidRDefault="00702564" w:rsidP="00632FCC">
            <w:pPr>
              <w:rPr>
                <w:rFonts w:ascii="Corbel" w:hAnsi="Corbel" w:cs="Arial"/>
                <w:b/>
                <w:sz w:val="24"/>
                <w:szCs w:val="28"/>
              </w:rPr>
            </w:pPr>
            <w:r w:rsidRPr="00166402">
              <w:rPr>
                <w:rFonts w:cs="Arial"/>
                <w:sz w:val="24"/>
                <w:szCs w:val="28"/>
              </w:rPr>
              <w:t>Basiron AC ***</w:t>
            </w:r>
          </w:p>
        </w:tc>
      </w:tr>
      <w:tr w:rsidR="00702564" w:rsidRPr="00800964" w14:paraId="2066BE66" w14:textId="77777777" w:rsidTr="00632FCC">
        <w:tc>
          <w:tcPr>
            <w:tcW w:w="4531" w:type="dxa"/>
          </w:tcPr>
          <w:p w14:paraId="43BAB39B" w14:textId="77777777" w:rsidR="00702564" w:rsidRPr="00800964" w:rsidRDefault="00702564" w:rsidP="00632FCC">
            <w:pPr>
              <w:rPr>
                <w:rFonts w:ascii="Corbel" w:hAnsi="Corbel" w:cs="Arial"/>
                <w:b/>
                <w:sz w:val="24"/>
                <w:szCs w:val="28"/>
              </w:rPr>
            </w:pPr>
            <w:r w:rsidRPr="00800964">
              <w:rPr>
                <w:rFonts w:cs="Arial"/>
                <w:b/>
                <w:sz w:val="24"/>
                <w:szCs w:val="28"/>
              </w:rPr>
              <w:t>2</w:t>
            </w:r>
            <w:r w:rsidRPr="00800964">
              <w:rPr>
                <w:rFonts w:cs="Arial"/>
                <w:i/>
                <w:sz w:val="24"/>
                <w:szCs w:val="28"/>
              </w:rPr>
              <w:t xml:space="preserve"> </w:t>
            </w:r>
            <w:r w:rsidRPr="00800964">
              <w:rPr>
                <w:rFonts w:cs="Arial"/>
                <w:b/>
                <w:sz w:val="24"/>
                <w:szCs w:val="28"/>
              </w:rPr>
              <w:t>adapalen+bensoylperoxid</w:t>
            </w:r>
          </w:p>
        </w:tc>
        <w:tc>
          <w:tcPr>
            <w:tcW w:w="4531" w:type="dxa"/>
          </w:tcPr>
          <w:p w14:paraId="6C891D78" w14:textId="77777777" w:rsidR="00702564" w:rsidRPr="00166402" w:rsidRDefault="00702564" w:rsidP="00632FCC">
            <w:pPr>
              <w:rPr>
                <w:rFonts w:cs="Arial"/>
                <w:sz w:val="24"/>
                <w:szCs w:val="28"/>
              </w:rPr>
            </w:pPr>
            <w:r w:rsidRPr="00166402">
              <w:rPr>
                <w:rFonts w:cs="Arial"/>
                <w:sz w:val="24"/>
                <w:szCs w:val="28"/>
              </w:rPr>
              <w:t>Epiduo gel 0,1%</w:t>
            </w:r>
          </w:p>
          <w:p w14:paraId="633C6E77" w14:textId="77777777" w:rsidR="00702564" w:rsidRPr="00166402" w:rsidRDefault="00702564" w:rsidP="00632FCC">
            <w:pPr>
              <w:rPr>
                <w:rFonts w:ascii="Corbel" w:hAnsi="Corbel" w:cs="Arial"/>
                <w:b/>
                <w:sz w:val="24"/>
                <w:szCs w:val="28"/>
              </w:rPr>
            </w:pPr>
            <w:r w:rsidRPr="00166402">
              <w:rPr>
                <w:rFonts w:cs="Arial"/>
                <w:sz w:val="24"/>
                <w:szCs w:val="28"/>
              </w:rPr>
              <w:t>Epiduo gel 0,3%</w:t>
            </w:r>
          </w:p>
        </w:tc>
      </w:tr>
      <w:tr w:rsidR="00702564" w:rsidRPr="00800964" w14:paraId="69BC697C" w14:textId="77777777" w:rsidTr="00632FCC">
        <w:tc>
          <w:tcPr>
            <w:tcW w:w="4531" w:type="dxa"/>
          </w:tcPr>
          <w:p w14:paraId="20A30980" w14:textId="77777777" w:rsidR="00702564" w:rsidRPr="00800964" w:rsidRDefault="00702564" w:rsidP="00632FCC">
            <w:pPr>
              <w:rPr>
                <w:rFonts w:ascii="Corbel" w:hAnsi="Corbel" w:cs="Arial"/>
                <w:b/>
                <w:sz w:val="24"/>
                <w:szCs w:val="28"/>
              </w:rPr>
            </w:pPr>
            <w:r w:rsidRPr="00800964">
              <w:rPr>
                <w:rFonts w:cs="Arial"/>
                <w:b/>
                <w:sz w:val="24"/>
                <w:szCs w:val="28"/>
              </w:rPr>
              <w:t>3</w:t>
            </w:r>
            <w:r w:rsidRPr="00800964">
              <w:rPr>
                <w:rFonts w:cs="Arial"/>
                <w:sz w:val="24"/>
                <w:szCs w:val="28"/>
              </w:rPr>
              <w:t xml:space="preserve"> </w:t>
            </w:r>
            <w:r w:rsidRPr="00800964">
              <w:rPr>
                <w:rFonts w:cs="Arial"/>
                <w:b/>
                <w:sz w:val="24"/>
                <w:szCs w:val="28"/>
              </w:rPr>
              <w:t>klindamycin/tretinoin</w:t>
            </w:r>
          </w:p>
        </w:tc>
        <w:tc>
          <w:tcPr>
            <w:tcW w:w="4531" w:type="dxa"/>
          </w:tcPr>
          <w:p w14:paraId="29B0410D" w14:textId="77777777" w:rsidR="00702564" w:rsidRPr="00800964" w:rsidRDefault="00702564" w:rsidP="00632FCC">
            <w:pPr>
              <w:rPr>
                <w:rFonts w:ascii="Corbel" w:hAnsi="Corbel" w:cs="Arial"/>
                <w:b/>
                <w:sz w:val="24"/>
                <w:szCs w:val="28"/>
              </w:rPr>
            </w:pPr>
            <w:r w:rsidRPr="00800964">
              <w:rPr>
                <w:rFonts w:cs="Arial"/>
                <w:sz w:val="24"/>
                <w:szCs w:val="28"/>
              </w:rPr>
              <w:t>Acnatac (högst 12 veckor)</w:t>
            </w:r>
          </w:p>
        </w:tc>
      </w:tr>
      <w:tr w:rsidR="00702564" w:rsidRPr="00800964" w14:paraId="57B77B35" w14:textId="77777777" w:rsidTr="00632FCC">
        <w:tc>
          <w:tcPr>
            <w:tcW w:w="4531" w:type="dxa"/>
          </w:tcPr>
          <w:p w14:paraId="7C27AB1C" w14:textId="77777777" w:rsidR="00702564" w:rsidRPr="00800964" w:rsidRDefault="00702564" w:rsidP="00632FCC">
            <w:pPr>
              <w:rPr>
                <w:rFonts w:ascii="Corbel" w:hAnsi="Corbel" w:cs="Arial"/>
                <w:b/>
                <w:sz w:val="24"/>
                <w:szCs w:val="28"/>
              </w:rPr>
            </w:pPr>
            <w:r w:rsidRPr="00800964">
              <w:rPr>
                <w:rFonts w:cs="Arial"/>
                <w:b/>
                <w:sz w:val="24"/>
                <w:szCs w:val="28"/>
              </w:rPr>
              <w:t>4</w:t>
            </w:r>
            <w:r w:rsidRPr="00800964">
              <w:rPr>
                <w:rFonts w:cs="Arial"/>
                <w:i/>
                <w:sz w:val="24"/>
                <w:szCs w:val="28"/>
              </w:rPr>
              <w:t xml:space="preserve"> </w:t>
            </w:r>
            <w:r w:rsidRPr="00800964">
              <w:rPr>
                <w:rFonts w:cs="Arial"/>
                <w:b/>
                <w:sz w:val="24"/>
                <w:szCs w:val="28"/>
              </w:rPr>
              <w:t>lymecyklin</w:t>
            </w:r>
          </w:p>
        </w:tc>
        <w:tc>
          <w:tcPr>
            <w:tcW w:w="4531" w:type="dxa"/>
          </w:tcPr>
          <w:p w14:paraId="18DC550C" w14:textId="77777777" w:rsidR="00702564" w:rsidRPr="00800964" w:rsidRDefault="00702564" w:rsidP="00632FCC">
            <w:pPr>
              <w:rPr>
                <w:rFonts w:ascii="Corbel" w:hAnsi="Corbel" w:cs="Arial"/>
                <w:b/>
                <w:sz w:val="24"/>
                <w:szCs w:val="28"/>
              </w:rPr>
            </w:pPr>
            <w:r w:rsidRPr="00800964">
              <w:rPr>
                <w:rFonts w:cs="Arial"/>
                <w:sz w:val="24"/>
                <w:szCs w:val="28"/>
              </w:rPr>
              <w:t>Tetralysal tabl.</w:t>
            </w:r>
            <w:r>
              <w:rPr>
                <w:rFonts w:cs="Arial"/>
                <w:sz w:val="24"/>
                <w:szCs w:val="28"/>
              </w:rPr>
              <w:t xml:space="preserve"> </w:t>
            </w:r>
            <w:r w:rsidRPr="00800964">
              <w:rPr>
                <w:rFonts w:cs="Arial"/>
                <w:sz w:val="24"/>
                <w:szCs w:val="28"/>
              </w:rPr>
              <w:t>(högst 12 veckor)</w:t>
            </w:r>
          </w:p>
        </w:tc>
      </w:tr>
    </w:tbl>
    <w:p w14:paraId="4EEFD595" w14:textId="77777777" w:rsidR="00E87E0C" w:rsidRDefault="00702564" w:rsidP="00702564">
      <w:pPr>
        <w:rPr>
          <w:rFonts w:cs="Arial"/>
          <w:szCs w:val="24"/>
        </w:rPr>
      </w:pPr>
      <w:r>
        <w:rPr>
          <w:rFonts w:cs="Arial"/>
          <w:szCs w:val="24"/>
        </w:rPr>
        <w:t>*** saknar förmån</w:t>
      </w:r>
    </w:p>
    <w:p w14:paraId="25C92C6A" w14:textId="58444AA1" w:rsidR="00702564" w:rsidRPr="00E87E0C" w:rsidRDefault="00702564" w:rsidP="00702564">
      <w:pPr>
        <w:rPr>
          <w:rFonts w:cs="Arial"/>
          <w:szCs w:val="24"/>
        </w:rPr>
      </w:pPr>
      <w:r>
        <w:rPr>
          <w:rFonts w:cs="Arial"/>
          <w:sz w:val="24"/>
          <w:szCs w:val="24"/>
        </w:rPr>
        <w:lastRenderedPageBreak/>
        <w:br/>
      </w:r>
      <w:r w:rsidRPr="00800964">
        <w:rPr>
          <w:rFonts w:cs="Arial"/>
          <w:sz w:val="24"/>
          <w:szCs w:val="24"/>
        </w:rPr>
        <w:t xml:space="preserve">Tilltagande frekvens, antibiotikaresistens hos Propionibacterium acnes har föranlett justering av behandlingsrekommendationer avseende </w:t>
      </w:r>
      <w:r w:rsidRPr="00166402">
        <w:rPr>
          <w:rFonts w:cs="Arial"/>
          <w:sz w:val="24"/>
          <w:szCs w:val="24"/>
        </w:rPr>
        <w:t>aknebehandling</w:t>
      </w:r>
      <w:r w:rsidRPr="00800964">
        <w:rPr>
          <w:rFonts w:cs="Arial"/>
          <w:sz w:val="24"/>
          <w:szCs w:val="24"/>
        </w:rPr>
        <w:t xml:space="preserve">. Ökad tonvikt skall läggas på lokalbehandling och kombination av lokalbehandlingar och behandlingstiderna för antibiotika bör </w:t>
      </w:r>
      <w:r w:rsidRPr="00DB3597">
        <w:rPr>
          <w:rFonts w:cs="Arial"/>
          <w:sz w:val="24"/>
          <w:szCs w:val="24"/>
        </w:rPr>
        <w:t>kortas ner. Lokalbehandlingen skall ses som underhållsbehandling och skall fortsättas efter</w:t>
      </w:r>
      <w:r w:rsidRPr="00800964">
        <w:rPr>
          <w:rFonts w:cs="Arial"/>
          <w:sz w:val="24"/>
          <w:szCs w:val="24"/>
        </w:rPr>
        <w:t xml:space="preserve"> avslutad antibiotikabehandling och vara en hjälp att förhindra utveckling av antibiotikaresistens.</w:t>
      </w:r>
    </w:p>
    <w:p w14:paraId="31B99728" w14:textId="77777777" w:rsidR="00702564" w:rsidRPr="00800964" w:rsidRDefault="00702564" w:rsidP="00702564">
      <w:pPr>
        <w:rPr>
          <w:rFonts w:cs="Arial"/>
          <w:sz w:val="24"/>
          <w:szCs w:val="24"/>
        </w:rPr>
      </w:pPr>
    </w:p>
    <w:p w14:paraId="37E8994C" w14:textId="77777777" w:rsidR="00702564" w:rsidRPr="00166402" w:rsidRDefault="00702564" w:rsidP="00702564">
      <w:pPr>
        <w:rPr>
          <w:rFonts w:cs="Arial"/>
          <w:sz w:val="24"/>
          <w:szCs w:val="24"/>
        </w:rPr>
      </w:pPr>
      <w:r w:rsidRPr="00DB3597">
        <w:rPr>
          <w:rFonts w:cs="Arial"/>
          <w:bCs/>
          <w:sz w:val="24"/>
          <w:szCs w:val="24"/>
        </w:rPr>
        <w:t>Differin</w:t>
      </w:r>
      <w:r w:rsidRPr="00166402">
        <w:rPr>
          <w:rFonts w:cs="Arial"/>
          <w:sz w:val="24"/>
          <w:szCs w:val="24"/>
        </w:rPr>
        <w:t xml:space="preserve"> rekommenderas i första hand då retinoider är enda produkten som angriper mikrokomedonen som är starten- ursprunget till all akne. Såväl Basiron som Differin kan ge upphov till lokal irritation, i synnerhet i början av behandlingen. Kombinationspreparat Epiduo ges till natten i andra hand. Vid otillräcklig effekt av Epiduo 0,1% kan man förskriva Epiduo 0,3% i stället, som har betydligt större effekt.</w:t>
      </w:r>
      <w:r w:rsidRPr="00166402">
        <w:rPr>
          <w:rFonts w:cs="Arial"/>
          <w:sz w:val="24"/>
          <w:szCs w:val="24"/>
        </w:rPr>
        <w:br/>
        <w:t xml:space="preserve">Obs! fuktighetskräm kan smörjas en stund efter applikationen av </w:t>
      </w:r>
      <w:r w:rsidRPr="00DB3597">
        <w:rPr>
          <w:rFonts w:cs="Arial"/>
          <w:bCs/>
          <w:sz w:val="24"/>
          <w:szCs w:val="24"/>
        </w:rPr>
        <w:t>Epiduo</w:t>
      </w:r>
      <w:r w:rsidRPr="00166402">
        <w:rPr>
          <w:rFonts w:cs="Arial"/>
          <w:sz w:val="24"/>
          <w:szCs w:val="24"/>
        </w:rPr>
        <w:t xml:space="preserve"> för att motverka torrhet.</w:t>
      </w:r>
    </w:p>
    <w:p w14:paraId="714DC230" w14:textId="77777777" w:rsidR="00702564" w:rsidRPr="00DB3597" w:rsidRDefault="00702564" w:rsidP="00702564">
      <w:pPr>
        <w:rPr>
          <w:rFonts w:cs="Arial"/>
          <w:bCs/>
          <w:sz w:val="24"/>
          <w:szCs w:val="24"/>
        </w:rPr>
      </w:pPr>
      <w:r w:rsidRPr="00DB3597">
        <w:rPr>
          <w:rFonts w:cs="Arial"/>
          <w:bCs/>
          <w:sz w:val="24"/>
          <w:szCs w:val="24"/>
        </w:rPr>
        <w:t>Ge alltid handfasta råd om skonsam hudtvätt; ej använda aknelösningar som torkar ut, ej låta</w:t>
      </w:r>
      <w:r w:rsidRPr="00166402">
        <w:rPr>
          <w:rFonts w:cs="Arial"/>
          <w:sz w:val="24"/>
          <w:szCs w:val="24"/>
        </w:rPr>
        <w:t xml:space="preserve"> schampo och vatten rinna ner i ansiktet vid hårtvätt. Tvättkräm med låg fetthalt eller bara vatten som ansiktstvätt, en fuktkräm, dagtid vid torr hud, exempelvis Propyless. </w:t>
      </w:r>
      <w:r>
        <w:rPr>
          <w:rFonts w:cs="Arial"/>
          <w:sz w:val="24"/>
          <w:szCs w:val="24"/>
        </w:rPr>
        <w:br/>
      </w:r>
      <w:r w:rsidRPr="00166402">
        <w:rPr>
          <w:rFonts w:cs="Arial"/>
          <w:sz w:val="24"/>
          <w:szCs w:val="24"/>
        </w:rPr>
        <w:t xml:space="preserve">Ge </w:t>
      </w:r>
      <w:r w:rsidRPr="00DB3597">
        <w:rPr>
          <w:rFonts w:cs="Arial"/>
          <w:bCs/>
          <w:sz w:val="24"/>
          <w:szCs w:val="24"/>
        </w:rPr>
        <w:t>”</w:t>
      </w:r>
      <w:hyperlink r:id="rId98" w:anchor="search=Tv%C3%A4tt%20och%20sm%C3%B6rjr%C3%A5d%20vid%20akne" w:history="1">
        <w:r w:rsidRPr="00166402">
          <w:rPr>
            <w:rStyle w:val="Hyperlnk"/>
            <w:rFonts w:cs="Arial"/>
            <w:b/>
            <w:color w:val="0070C0"/>
            <w:sz w:val="24"/>
            <w:szCs w:val="24"/>
          </w:rPr>
          <w:t>Tvätt och smörjråd vid acne</w:t>
        </w:r>
      </w:hyperlink>
      <w:r w:rsidRPr="00DB3597">
        <w:rPr>
          <w:rFonts w:cs="Arial"/>
          <w:bCs/>
          <w:sz w:val="24"/>
          <w:szCs w:val="24"/>
        </w:rPr>
        <w:t>”, hittas på intranätet.</w:t>
      </w:r>
    </w:p>
    <w:p w14:paraId="4F1F9383" w14:textId="77777777" w:rsidR="00702564" w:rsidRPr="00800964" w:rsidRDefault="00702564" w:rsidP="00702564">
      <w:pPr>
        <w:rPr>
          <w:rFonts w:cs="Arial"/>
          <w:sz w:val="24"/>
          <w:szCs w:val="24"/>
        </w:rPr>
      </w:pPr>
    </w:p>
    <w:p w14:paraId="096AEDF9" w14:textId="77777777" w:rsidR="00702564" w:rsidRPr="00800964" w:rsidRDefault="00702564" w:rsidP="00702564">
      <w:pPr>
        <w:rPr>
          <w:sz w:val="24"/>
          <w:szCs w:val="24"/>
        </w:rPr>
      </w:pPr>
      <w:r w:rsidRPr="00DB3597">
        <w:rPr>
          <w:bCs/>
          <w:sz w:val="24"/>
          <w:szCs w:val="24"/>
        </w:rPr>
        <w:t>Vid lätt till måttlig papulopustulär akne rekommenderas Acnatac under max 12 veckor därefter</w:t>
      </w:r>
      <w:r w:rsidRPr="00166402">
        <w:rPr>
          <w:sz w:val="24"/>
          <w:szCs w:val="24"/>
        </w:rPr>
        <w:t xml:space="preserve"> övergång till Epiduo/Basiron+Differin. </w:t>
      </w:r>
      <w:r w:rsidRPr="00166402">
        <w:rPr>
          <w:rFonts w:cs="Segoe UI"/>
          <w:color w:val="000000"/>
          <w:sz w:val="24"/>
          <w:szCs w:val="24"/>
        </w:rPr>
        <w:t xml:space="preserve">Duac försvinner från reklistan och den har inte förmån. Acnatac </w:t>
      </w:r>
      <w:r w:rsidRPr="00166402">
        <w:rPr>
          <w:sz w:val="24"/>
          <w:szCs w:val="24"/>
        </w:rPr>
        <w:t>(clindamycin+ tretinoin)</w:t>
      </w:r>
      <w:r w:rsidRPr="00166402">
        <w:rPr>
          <w:rFonts w:cs="Segoe UI"/>
          <w:color w:val="000000"/>
          <w:sz w:val="24"/>
          <w:szCs w:val="24"/>
        </w:rPr>
        <w:t xml:space="preserve"> blir kvar, den ingår i förmån med subventioneras endast för patienter med akne där kombinationsbehandling med bensoylperoxid och retinoid (t.ex. adapalen) haft otillräcklig effekt eller inte är lämpligt. Både Duac och Acnatac innehåller antibiotika i form av klindamycin men Acnatac innehåller retinoid vilket Duac inte gör. Retinoiderna är grunden för aknebehandling genom starka komedolytiska effekten. Duac innehåller bensoylperoxid i stället som har en modest komedolytisk effekt i jämförelse med tretinoin i Acnatac. Dessutom kan denna ibland orsaka allergisk kontaktdermatit och bli besvärande för patienterna då det bleker kläder, handdukar, sängkläder etc. </w:t>
      </w:r>
      <w:r w:rsidRPr="00166402">
        <w:rPr>
          <w:sz w:val="24"/>
          <w:szCs w:val="24"/>
        </w:rPr>
        <w:t>Vid överkänslighet för bensoylperoxid (som finns i Basiron, Epiduo, Duac) kan</w:t>
      </w:r>
      <w:r w:rsidRPr="00800964">
        <w:rPr>
          <w:sz w:val="24"/>
          <w:szCs w:val="24"/>
        </w:rPr>
        <w:t xml:space="preserve"> Acnatac väljas.</w:t>
      </w:r>
    </w:p>
    <w:p w14:paraId="663813B7" w14:textId="77777777" w:rsidR="00702564" w:rsidRPr="00800964" w:rsidRDefault="00702564" w:rsidP="00702564">
      <w:pPr>
        <w:rPr>
          <w:rFonts w:cs="Arial"/>
          <w:sz w:val="24"/>
          <w:szCs w:val="24"/>
        </w:rPr>
      </w:pPr>
    </w:p>
    <w:p w14:paraId="10593E68" w14:textId="77777777" w:rsidR="00702564" w:rsidRPr="00166402" w:rsidRDefault="00702564" w:rsidP="00702564">
      <w:pPr>
        <w:rPr>
          <w:rFonts w:cs="Arial"/>
          <w:sz w:val="24"/>
          <w:szCs w:val="24"/>
        </w:rPr>
      </w:pPr>
      <w:r w:rsidRPr="00DB3597">
        <w:rPr>
          <w:rFonts w:cs="Arial"/>
          <w:bCs/>
          <w:sz w:val="24"/>
          <w:szCs w:val="24"/>
        </w:rPr>
        <w:t>Vid måttlig till svår akne är peroral antibiotikabehandling indicerad. Tetralysal kapsel (lymecyklin)</w:t>
      </w:r>
      <w:r w:rsidRPr="00166402">
        <w:rPr>
          <w:rFonts w:cs="Arial"/>
          <w:sz w:val="24"/>
          <w:szCs w:val="24"/>
        </w:rPr>
        <w:t xml:space="preserve"> </w:t>
      </w:r>
      <w:r>
        <w:rPr>
          <w:rFonts w:cs="Arial"/>
          <w:sz w:val="24"/>
          <w:szCs w:val="24"/>
        </w:rPr>
        <w:br/>
      </w:r>
      <w:r w:rsidRPr="00166402">
        <w:rPr>
          <w:rFonts w:cs="Arial"/>
          <w:sz w:val="24"/>
          <w:szCs w:val="24"/>
        </w:rPr>
        <w:t>á 300mg 1x2 ges i 1-3 månader, dosreduktion till 1x1 vid förbättring. Denna dos går bra under sommaren och kan tas till mat. Perorala antibiotika ges hela tiden i kombination med topikal behandling utan antibiotika. Vid bra effekt, fortsätt med lokalbehandling som Epiduo/Differin+Basiron</w:t>
      </w:r>
      <w:r w:rsidRPr="00166402" w:rsidDel="008E11F3">
        <w:rPr>
          <w:rFonts w:cs="Arial"/>
          <w:sz w:val="24"/>
          <w:szCs w:val="24"/>
        </w:rPr>
        <w:t xml:space="preserve"> </w:t>
      </w:r>
      <w:r w:rsidRPr="00166402">
        <w:rPr>
          <w:rFonts w:cs="Arial"/>
          <w:sz w:val="24"/>
          <w:szCs w:val="24"/>
        </w:rPr>
        <w:t xml:space="preserve">för att förebygga recidiv. Vid avsaknad av effekt bör remiss till Hudmottagningen skrivas. Vid uppblommande akne efter avslutad tablettkur, trots adekvat lokalbehandling kan ny antibiotikakur ges, men </w:t>
      </w:r>
      <w:r w:rsidRPr="00DB3597">
        <w:rPr>
          <w:rFonts w:cs="Arial"/>
          <w:bCs/>
          <w:sz w:val="24"/>
          <w:szCs w:val="24"/>
        </w:rPr>
        <w:t>antibiotikakuren bör ej upprepas mer än en gång till med tanke på risk för antibiotikaresiste</w:t>
      </w:r>
      <w:r w:rsidRPr="00166402">
        <w:rPr>
          <w:rFonts w:cs="Arial"/>
          <w:sz w:val="24"/>
          <w:szCs w:val="24"/>
        </w:rPr>
        <w:t>nsutveckling. Remiss skickas till hud därefter.</w:t>
      </w:r>
    </w:p>
    <w:p w14:paraId="4ABBD6F9" w14:textId="77777777" w:rsidR="00702564" w:rsidRPr="00166402" w:rsidRDefault="00702564" w:rsidP="00702564">
      <w:pPr>
        <w:rPr>
          <w:rFonts w:cs="Arial"/>
          <w:sz w:val="24"/>
          <w:szCs w:val="24"/>
        </w:rPr>
      </w:pPr>
      <w:r w:rsidRPr="00166402">
        <w:rPr>
          <w:rFonts w:cs="Arial"/>
          <w:sz w:val="24"/>
          <w:szCs w:val="24"/>
        </w:rPr>
        <w:t>Så länge patientens acne är aktiv kan man räkna med att den recidiverar om lokal-behandlingen avslutas.</w:t>
      </w:r>
    </w:p>
    <w:p w14:paraId="2332FB54" w14:textId="77777777" w:rsidR="00702564" w:rsidRDefault="00702564" w:rsidP="00702564">
      <w:pPr>
        <w:rPr>
          <w:rFonts w:cs="Arial"/>
          <w:sz w:val="24"/>
          <w:szCs w:val="24"/>
        </w:rPr>
      </w:pPr>
      <w:r w:rsidRPr="00166402">
        <w:rPr>
          <w:rFonts w:cs="Arial"/>
          <w:sz w:val="24"/>
          <w:szCs w:val="24"/>
        </w:rPr>
        <w:t xml:space="preserve">Gravida bör inte använda retinoider (Differin, Epiduo, Acnatac). </w:t>
      </w:r>
      <w:r>
        <w:rPr>
          <w:rFonts w:cs="Arial"/>
          <w:sz w:val="24"/>
          <w:szCs w:val="24"/>
        </w:rPr>
        <w:br/>
      </w:r>
      <w:r w:rsidRPr="00166402">
        <w:rPr>
          <w:rFonts w:cs="Arial"/>
          <w:sz w:val="24"/>
          <w:szCs w:val="24"/>
        </w:rPr>
        <w:t>Basiron är dock ett säkert alternativ.</w:t>
      </w:r>
    </w:p>
    <w:p w14:paraId="75E09C6E" w14:textId="77777777" w:rsidR="00702564" w:rsidRDefault="00702564" w:rsidP="00702564">
      <w:pPr>
        <w:tabs>
          <w:tab w:val="clear" w:pos="284"/>
        </w:tabs>
        <w:spacing w:after="120" w:line="260" w:lineRule="atLeast"/>
        <w:rPr>
          <w:rFonts w:cs="Arial"/>
          <w:sz w:val="24"/>
          <w:szCs w:val="24"/>
        </w:rPr>
      </w:pPr>
      <w:r>
        <w:rPr>
          <w:rFonts w:cs="Arial"/>
          <w:sz w:val="24"/>
          <w:szCs w:val="24"/>
        </w:rPr>
        <w:br w:type="page"/>
      </w:r>
    </w:p>
    <w:p w14:paraId="44DE1CC6" w14:textId="77777777" w:rsidR="00702564" w:rsidRPr="0071138D" w:rsidRDefault="00702564" w:rsidP="00702564">
      <w:pPr>
        <w:pStyle w:val="Rubrik2"/>
      </w:pPr>
      <w:r w:rsidRPr="0071138D">
        <w:lastRenderedPageBreak/>
        <w:t>Rosacea</w:t>
      </w:r>
    </w:p>
    <w:p w14:paraId="1802B8AA" w14:textId="77777777" w:rsidR="00702564" w:rsidRPr="0071138D" w:rsidRDefault="00702564" w:rsidP="00702564">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531"/>
      </w:tblGrid>
      <w:tr w:rsidR="00702564" w14:paraId="49799F7E" w14:textId="77777777" w:rsidTr="00632FCC">
        <w:trPr>
          <w:trHeight w:val="402"/>
        </w:trPr>
        <w:tc>
          <w:tcPr>
            <w:tcW w:w="9062" w:type="dxa"/>
            <w:gridSpan w:val="2"/>
            <w:shd w:val="clear" w:color="auto" w:fill="FFFFFF" w:themeFill="background2"/>
          </w:tcPr>
          <w:p w14:paraId="3B731857" w14:textId="77777777" w:rsidR="00702564" w:rsidRPr="007C7CEC" w:rsidRDefault="00702564" w:rsidP="00632FCC">
            <w:pPr>
              <w:pStyle w:val="Rubrik2"/>
              <w:rPr>
                <w:rFonts w:cs="Arial"/>
                <w:sz w:val="24"/>
                <w:szCs w:val="24"/>
              </w:rPr>
            </w:pPr>
            <w:r w:rsidRPr="007C7CEC">
              <w:rPr>
                <w:sz w:val="24"/>
                <w:szCs w:val="24"/>
              </w:rPr>
              <w:t>Rosacea</w:t>
            </w:r>
          </w:p>
        </w:tc>
      </w:tr>
      <w:tr w:rsidR="00702564" w:rsidRPr="00800964" w14:paraId="700D3FC6" w14:textId="77777777" w:rsidTr="00632FCC">
        <w:tc>
          <w:tcPr>
            <w:tcW w:w="4531" w:type="dxa"/>
          </w:tcPr>
          <w:p w14:paraId="59E86F1A" w14:textId="77777777" w:rsidR="00702564" w:rsidRPr="00800964" w:rsidRDefault="00702564" w:rsidP="00632FCC">
            <w:pPr>
              <w:rPr>
                <w:rFonts w:cs="Arial"/>
                <w:sz w:val="24"/>
                <w:szCs w:val="28"/>
              </w:rPr>
            </w:pPr>
            <w:r w:rsidRPr="00800964">
              <w:rPr>
                <w:rFonts w:cs="Arial"/>
                <w:b/>
                <w:sz w:val="24"/>
                <w:szCs w:val="28"/>
              </w:rPr>
              <w:t>1</w:t>
            </w:r>
            <w:r w:rsidRPr="00800964">
              <w:rPr>
                <w:rFonts w:cs="Arial"/>
                <w:i/>
                <w:sz w:val="24"/>
                <w:szCs w:val="28"/>
              </w:rPr>
              <w:t xml:space="preserve"> </w:t>
            </w:r>
            <w:r w:rsidRPr="00800964">
              <w:rPr>
                <w:rFonts w:cs="Arial"/>
                <w:b/>
                <w:sz w:val="24"/>
                <w:szCs w:val="28"/>
              </w:rPr>
              <w:t>azelainsyra</w:t>
            </w:r>
          </w:p>
        </w:tc>
        <w:tc>
          <w:tcPr>
            <w:tcW w:w="4531" w:type="dxa"/>
          </w:tcPr>
          <w:p w14:paraId="44FB197A" w14:textId="77777777" w:rsidR="00702564" w:rsidRPr="00800964" w:rsidRDefault="00702564" w:rsidP="00632FCC">
            <w:pPr>
              <w:rPr>
                <w:rFonts w:cs="Arial"/>
                <w:sz w:val="24"/>
                <w:szCs w:val="28"/>
              </w:rPr>
            </w:pPr>
            <w:r w:rsidRPr="00800964">
              <w:rPr>
                <w:rFonts w:cs="Arial"/>
                <w:sz w:val="24"/>
                <w:szCs w:val="28"/>
              </w:rPr>
              <w:t>Finacea</w:t>
            </w:r>
          </w:p>
        </w:tc>
      </w:tr>
      <w:tr w:rsidR="00702564" w:rsidRPr="00800964" w14:paraId="379D3E97" w14:textId="77777777" w:rsidTr="00632FCC">
        <w:tc>
          <w:tcPr>
            <w:tcW w:w="4531" w:type="dxa"/>
          </w:tcPr>
          <w:p w14:paraId="475482B2" w14:textId="77777777" w:rsidR="00702564" w:rsidRPr="00800964" w:rsidRDefault="00702564" w:rsidP="00632FCC">
            <w:pPr>
              <w:rPr>
                <w:rFonts w:cs="Arial"/>
                <w:sz w:val="24"/>
                <w:szCs w:val="28"/>
              </w:rPr>
            </w:pPr>
            <w:r w:rsidRPr="00800964">
              <w:rPr>
                <w:rFonts w:cs="Arial"/>
                <w:b/>
                <w:sz w:val="24"/>
                <w:szCs w:val="28"/>
              </w:rPr>
              <w:t>1</w:t>
            </w:r>
            <w:r w:rsidRPr="00800964">
              <w:rPr>
                <w:rFonts w:cs="Arial"/>
                <w:sz w:val="24"/>
                <w:szCs w:val="28"/>
              </w:rPr>
              <w:t xml:space="preserve"> </w:t>
            </w:r>
            <w:r w:rsidRPr="00800964">
              <w:rPr>
                <w:rFonts w:cs="Arial"/>
                <w:b/>
                <w:sz w:val="24"/>
                <w:szCs w:val="28"/>
              </w:rPr>
              <w:t>metronidazol</w:t>
            </w:r>
          </w:p>
        </w:tc>
        <w:tc>
          <w:tcPr>
            <w:tcW w:w="4531" w:type="dxa"/>
          </w:tcPr>
          <w:p w14:paraId="1026B292" w14:textId="77777777" w:rsidR="00702564" w:rsidRPr="00800964" w:rsidRDefault="00702564" w:rsidP="00632FCC">
            <w:pPr>
              <w:rPr>
                <w:rFonts w:cs="Arial"/>
                <w:sz w:val="24"/>
                <w:szCs w:val="28"/>
              </w:rPr>
            </w:pPr>
            <w:r w:rsidRPr="00800964">
              <w:rPr>
                <w:rFonts w:cs="Arial"/>
                <w:sz w:val="24"/>
                <w:szCs w:val="28"/>
              </w:rPr>
              <w:t>Rosazol</w:t>
            </w:r>
            <w:r>
              <w:rPr>
                <w:rFonts w:cs="Arial"/>
                <w:sz w:val="24"/>
                <w:szCs w:val="28"/>
              </w:rPr>
              <w:t>/</w:t>
            </w:r>
            <w:r w:rsidRPr="00800964">
              <w:rPr>
                <w:rFonts w:cs="Arial"/>
                <w:sz w:val="24"/>
                <w:szCs w:val="28"/>
              </w:rPr>
              <w:t>Rozex</w:t>
            </w:r>
          </w:p>
        </w:tc>
      </w:tr>
      <w:tr w:rsidR="00702564" w:rsidRPr="00800964" w14:paraId="7F2EE461" w14:textId="77777777" w:rsidTr="00632FCC">
        <w:tc>
          <w:tcPr>
            <w:tcW w:w="4531" w:type="dxa"/>
          </w:tcPr>
          <w:p w14:paraId="2676FF7F" w14:textId="77777777" w:rsidR="00702564" w:rsidRPr="00800964" w:rsidRDefault="00702564" w:rsidP="00632FCC">
            <w:pPr>
              <w:rPr>
                <w:rFonts w:cs="Arial"/>
                <w:sz w:val="24"/>
                <w:szCs w:val="28"/>
              </w:rPr>
            </w:pPr>
            <w:r w:rsidRPr="00800964">
              <w:rPr>
                <w:rFonts w:cs="Arial"/>
                <w:b/>
                <w:sz w:val="24"/>
                <w:szCs w:val="28"/>
              </w:rPr>
              <w:t>2</w:t>
            </w:r>
            <w:r w:rsidRPr="00800964">
              <w:rPr>
                <w:rFonts w:cs="Arial"/>
                <w:sz w:val="24"/>
                <w:szCs w:val="28"/>
              </w:rPr>
              <w:t xml:space="preserve"> </w:t>
            </w:r>
            <w:r w:rsidRPr="00800964">
              <w:rPr>
                <w:rFonts w:cs="Arial"/>
                <w:b/>
                <w:sz w:val="24"/>
                <w:szCs w:val="28"/>
              </w:rPr>
              <w:t>ivermectin</w:t>
            </w:r>
          </w:p>
        </w:tc>
        <w:tc>
          <w:tcPr>
            <w:tcW w:w="4531" w:type="dxa"/>
          </w:tcPr>
          <w:p w14:paraId="3E348068" w14:textId="77777777" w:rsidR="00702564" w:rsidRPr="00800964" w:rsidRDefault="00702564" w:rsidP="00632FCC">
            <w:pPr>
              <w:rPr>
                <w:rFonts w:cs="Arial"/>
                <w:sz w:val="24"/>
                <w:szCs w:val="28"/>
              </w:rPr>
            </w:pPr>
            <w:r w:rsidRPr="00800964">
              <w:rPr>
                <w:rFonts w:cs="Arial"/>
                <w:sz w:val="24"/>
                <w:szCs w:val="28"/>
              </w:rPr>
              <w:t>Soolantra</w:t>
            </w:r>
          </w:p>
        </w:tc>
      </w:tr>
      <w:tr w:rsidR="00702564" w:rsidRPr="00800964" w14:paraId="02A2234B" w14:textId="77777777" w:rsidTr="00632FCC">
        <w:tc>
          <w:tcPr>
            <w:tcW w:w="4531" w:type="dxa"/>
          </w:tcPr>
          <w:p w14:paraId="44FC4BD5" w14:textId="77777777" w:rsidR="00702564" w:rsidRPr="00800964" w:rsidRDefault="00702564" w:rsidP="00632FCC">
            <w:pPr>
              <w:rPr>
                <w:rFonts w:cs="Arial"/>
                <w:sz w:val="24"/>
                <w:szCs w:val="28"/>
              </w:rPr>
            </w:pPr>
            <w:r w:rsidRPr="00800964">
              <w:rPr>
                <w:rFonts w:cs="Arial"/>
                <w:b/>
                <w:sz w:val="24"/>
                <w:szCs w:val="28"/>
              </w:rPr>
              <w:t>3</w:t>
            </w:r>
            <w:r w:rsidRPr="00800964">
              <w:rPr>
                <w:rFonts w:cs="Arial"/>
                <w:sz w:val="24"/>
                <w:szCs w:val="28"/>
              </w:rPr>
              <w:t xml:space="preserve"> </w:t>
            </w:r>
            <w:r w:rsidRPr="00800964">
              <w:rPr>
                <w:rFonts w:cs="Arial"/>
                <w:b/>
                <w:sz w:val="24"/>
                <w:szCs w:val="28"/>
              </w:rPr>
              <w:t>lymecyklin</w:t>
            </w:r>
          </w:p>
        </w:tc>
        <w:tc>
          <w:tcPr>
            <w:tcW w:w="4531" w:type="dxa"/>
          </w:tcPr>
          <w:p w14:paraId="1DF6081E" w14:textId="77777777" w:rsidR="00702564" w:rsidRPr="00800964" w:rsidRDefault="00702564" w:rsidP="00632FCC">
            <w:pPr>
              <w:rPr>
                <w:rFonts w:cs="Arial"/>
                <w:sz w:val="24"/>
                <w:szCs w:val="28"/>
              </w:rPr>
            </w:pPr>
            <w:r w:rsidRPr="00800964">
              <w:rPr>
                <w:rFonts w:cs="Arial"/>
                <w:sz w:val="24"/>
                <w:szCs w:val="28"/>
              </w:rPr>
              <w:t>Tetralysal tabl.</w:t>
            </w:r>
          </w:p>
        </w:tc>
      </w:tr>
      <w:tr w:rsidR="00702564" w:rsidRPr="00800964" w14:paraId="4D8C1E9B" w14:textId="77777777" w:rsidTr="00632FCC">
        <w:tc>
          <w:tcPr>
            <w:tcW w:w="4531" w:type="dxa"/>
          </w:tcPr>
          <w:p w14:paraId="2130B729" w14:textId="77777777" w:rsidR="00702564" w:rsidRPr="00800964" w:rsidRDefault="00702564" w:rsidP="00632FCC">
            <w:pPr>
              <w:rPr>
                <w:rFonts w:cs="Arial"/>
                <w:sz w:val="24"/>
                <w:szCs w:val="28"/>
              </w:rPr>
            </w:pPr>
            <w:r w:rsidRPr="00800964">
              <w:rPr>
                <w:rFonts w:cs="Arial"/>
                <w:b/>
                <w:sz w:val="24"/>
                <w:szCs w:val="28"/>
              </w:rPr>
              <w:t>3</w:t>
            </w:r>
            <w:r w:rsidRPr="00800964">
              <w:rPr>
                <w:rFonts w:cs="Arial"/>
                <w:sz w:val="24"/>
                <w:szCs w:val="28"/>
              </w:rPr>
              <w:t xml:space="preserve"> </w:t>
            </w:r>
            <w:r w:rsidRPr="00800964">
              <w:rPr>
                <w:rFonts w:cs="Arial"/>
                <w:b/>
                <w:sz w:val="24"/>
                <w:szCs w:val="28"/>
              </w:rPr>
              <w:t>doxycyklin</w:t>
            </w:r>
          </w:p>
        </w:tc>
        <w:tc>
          <w:tcPr>
            <w:tcW w:w="4531" w:type="dxa"/>
          </w:tcPr>
          <w:p w14:paraId="64EF5B3D" w14:textId="77777777" w:rsidR="00702564" w:rsidRPr="00800964" w:rsidRDefault="00702564" w:rsidP="00632FCC">
            <w:pPr>
              <w:rPr>
                <w:rFonts w:cs="Arial"/>
                <w:sz w:val="24"/>
                <w:szCs w:val="28"/>
              </w:rPr>
            </w:pPr>
            <w:r w:rsidRPr="00800964">
              <w:rPr>
                <w:rFonts w:cs="Arial"/>
                <w:sz w:val="24"/>
                <w:szCs w:val="28"/>
              </w:rPr>
              <w:t>Oracea ****</w:t>
            </w:r>
          </w:p>
        </w:tc>
      </w:tr>
    </w:tbl>
    <w:p w14:paraId="137F0C49" w14:textId="77777777" w:rsidR="00702564" w:rsidRPr="0071138D" w:rsidRDefault="00702564" w:rsidP="00702564">
      <w:pPr>
        <w:rPr>
          <w:rFonts w:cs="Arial"/>
          <w:szCs w:val="24"/>
        </w:rPr>
      </w:pPr>
      <w:r>
        <w:rPr>
          <w:rFonts w:cs="Arial"/>
          <w:szCs w:val="24"/>
        </w:rPr>
        <w:t>**** receptbelagt, men saknar förmån</w:t>
      </w:r>
      <w:r>
        <w:rPr>
          <w:rFonts w:cs="Arial"/>
          <w:szCs w:val="24"/>
        </w:rPr>
        <w:br/>
      </w:r>
    </w:p>
    <w:p w14:paraId="0C06F62F" w14:textId="77777777" w:rsidR="00702564" w:rsidRPr="00800964" w:rsidRDefault="00702564" w:rsidP="00702564">
      <w:pPr>
        <w:rPr>
          <w:rFonts w:cs="Arial"/>
          <w:sz w:val="24"/>
          <w:szCs w:val="24"/>
        </w:rPr>
      </w:pPr>
      <w:r w:rsidRPr="00800964">
        <w:rPr>
          <w:rFonts w:cs="Arial"/>
          <w:sz w:val="24"/>
          <w:szCs w:val="24"/>
        </w:rPr>
        <w:t xml:space="preserve">Utvärtes behandling med azeleinsyra eller metronidazol eller det nya ivermectin ges alltid lokalt (minst 2 månader) även om peroral Tetralysal behandling bedöms aktuellt. Peroral behandling är aktuellt vid svårare former och ges tills patienten blivit bra plus 2 veckor, max 3 månader. </w:t>
      </w:r>
      <w:r>
        <w:rPr>
          <w:rFonts w:cs="Arial"/>
          <w:sz w:val="24"/>
          <w:szCs w:val="24"/>
        </w:rPr>
        <w:br/>
      </w:r>
      <w:r w:rsidRPr="00800964">
        <w:rPr>
          <w:rFonts w:cs="Arial"/>
          <w:sz w:val="24"/>
          <w:szCs w:val="24"/>
        </w:rPr>
        <w:t xml:space="preserve">Detta med samtidig lokalbehandling som fortsätter som underhållsbehandling. Oracea är ett lågdosalternativ. </w:t>
      </w:r>
      <w:r w:rsidRPr="00DB3597">
        <w:rPr>
          <w:rFonts w:cs="Arial"/>
          <w:sz w:val="24"/>
          <w:szCs w:val="24"/>
        </w:rPr>
        <w:t xml:space="preserve">Glöm ej rekommendera hög solskyddsfaktor under sommarhalvåret. </w:t>
      </w:r>
      <w:r>
        <w:rPr>
          <w:rFonts w:cs="Arial"/>
          <w:sz w:val="24"/>
          <w:szCs w:val="24"/>
        </w:rPr>
        <w:br/>
      </w:r>
      <w:r w:rsidRPr="00DB3597">
        <w:rPr>
          <w:rFonts w:cs="Arial"/>
          <w:sz w:val="24"/>
          <w:szCs w:val="24"/>
        </w:rPr>
        <w:t>Vid kvarstående</w:t>
      </w:r>
      <w:r w:rsidRPr="00800964">
        <w:rPr>
          <w:rFonts w:cs="Arial"/>
          <w:sz w:val="24"/>
          <w:szCs w:val="24"/>
        </w:rPr>
        <w:t xml:space="preserve"> rodnadstendens som stör kosmetiskt kan Mirvaso provas. Detta är ett symtomlindrande preparat som verkar inom 30 min och har effekt upp till 8-12 timmar, gelen är receptbelagd men ej rabatterad, är ej läkande. Oracea ingår inte i förmånen.</w:t>
      </w:r>
    </w:p>
    <w:p w14:paraId="021F1C41" w14:textId="77777777" w:rsidR="00702564" w:rsidRPr="0071138D" w:rsidRDefault="00702564" w:rsidP="00702564">
      <w:pPr>
        <w:pStyle w:val="Rubrik2"/>
      </w:pPr>
      <w:r w:rsidRPr="0071138D">
        <w:t>Kutana svampinfektioner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531"/>
      </w:tblGrid>
      <w:tr w:rsidR="00702564" w:rsidRPr="00800964" w14:paraId="4D6F6905" w14:textId="77777777" w:rsidTr="00632FCC">
        <w:tc>
          <w:tcPr>
            <w:tcW w:w="9062" w:type="dxa"/>
            <w:gridSpan w:val="2"/>
            <w:shd w:val="clear" w:color="auto" w:fill="FFFFFF" w:themeFill="background2"/>
          </w:tcPr>
          <w:p w14:paraId="7E8B9F69" w14:textId="77777777" w:rsidR="00702564" w:rsidRPr="00800964" w:rsidRDefault="00702564" w:rsidP="00632FCC">
            <w:pPr>
              <w:rPr>
                <w:rFonts w:cs="Arial"/>
                <w:b/>
                <w:sz w:val="24"/>
                <w:szCs w:val="24"/>
              </w:rPr>
            </w:pPr>
            <w:r w:rsidRPr="00800964">
              <w:rPr>
                <w:rFonts w:cs="Arial"/>
                <w:b/>
                <w:sz w:val="24"/>
                <w:szCs w:val="24"/>
              </w:rPr>
              <w:t>Jästsvamp</w:t>
            </w:r>
          </w:p>
        </w:tc>
      </w:tr>
      <w:tr w:rsidR="00702564" w:rsidRPr="00800964" w14:paraId="7ECEE058" w14:textId="77777777" w:rsidTr="00632FCC">
        <w:tc>
          <w:tcPr>
            <w:tcW w:w="4531" w:type="dxa"/>
          </w:tcPr>
          <w:p w14:paraId="461CC88C" w14:textId="77777777" w:rsidR="00702564" w:rsidRPr="00800964" w:rsidRDefault="00702564" w:rsidP="00632FCC">
            <w:pPr>
              <w:rPr>
                <w:rFonts w:cs="Arial"/>
                <w:b/>
                <w:sz w:val="24"/>
                <w:szCs w:val="24"/>
              </w:rPr>
            </w:pPr>
            <w:r w:rsidRPr="00800964">
              <w:rPr>
                <w:rFonts w:cs="Arial"/>
                <w:b/>
                <w:sz w:val="24"/>
                <w:szCs w:val="24"/>
              </w:rPr>
              <w:t>klotrimazol</w:t>
            </w:r>
          </w:p>
        </w:tc>
        <w:tc>
          <w:tcPr>
            <w:tcW w:w="4531" w:type="dxa"/>
          </w:tcPr>
          <w:p w14:paraId="594673A1" w14:textId="77777777" w:rsidR="00702564" w:rsidRPr="00FE135C" w:rsidRDefault="00702564" w:rsidP="00632FCC">
            <w:pPr>
              <w:rPr>
                <w:rFonts w:cs="Arial"/>
                <w:b/>
                <w:sz w:val="24"/>
                <w:szCs w:val="24"/>
              </w:rPr>
            </w:pPr>
            <w:r w:rsidRPr="00166402">
              <w:rPr>
                <w:rFonts w:cs="Arial"/>
                <w:sz w:val="24"/>
                <w:szCs w:val="24"/>
              </w:rPr>
              <w:t>Pevaryl</w:t>
            </w:r>
            <w:r>
              <w:rPr>
                <w:rFonts w:cs="Arial"/>
                <w:sz w:val="24"/>
                <w:szCs w:val="24"/>
              </w:rPr>
              <w:t xml:space="preserve"> kräm</w:t>
            </w:r>
          </w:p>
        </w:tc>
      </w:tr>
    </w:tbl>
    <w:p w14:paraId="61818FA5" w14:textId="77777777" w:rsidR="00702564" w:rsidRPr="0071138D" w:rsidDel="00084D00" w:rsidRDefault="00702564" w:rsidP="00702564">
      <w:pPr>
        <w:rPr>
          <w:rFonts w:cs="Arial"/>
          <w:b/>
        </w:rPr>
      </w:pPr>
    </w:p>
    <w:p w14:paraId="42709A90" w14:textId="77777777" w:rsidR="00702564" w:rsidRPr="00800964" w:rsidRDefault="00702564" w:rsidP="00702564">
      <w:pPr>
        <w:rPr>
          <w:rFonts w:cs="Arial"/>
          <w:b/>
        </w:rPr>
      </w:pPr>
      <w:r w:rsidRPr="00800964">
        <w:rPr>
          <w:rFonts w:cs="Arial"/>
          <w:sz w:val="24"/>
          <w:szCs w:val="24"/>
        </w:rPr>
        <w:t>Vid candidainfektioner har imidazolpreparaten bättre effekt än terbinafin (Lamisil).</w:t>
      </w:r>
    </w:p>
    <w:p w14:paraId="74E6562F" w14:textId="77777777" w:rsidR="00702564" w:rsidRPr="0071138D" w:rsidRDefault="00702564" w:rsidP="00702564">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531"/>
      </w:tblGrid>
      <w:tr w:rsidR="00702564" w14:paraId="774DC943" w14:textId="77777777" w:rsidTr="00632FCC">
        <w:tc>
          <w:tcPr>
            <w:tcW w:w="9062" w:type="dxa"/>
            <w:gridSpan w:val="2"/>
            <w:shd w:val="clear" w:color="auto" w:fill="FFFFFF" w:themeFill="background2"/>
          </w:tcPr>
          <w:p w14:paraId="43853B0A" w14:textId="77777777" w:rsidR="00702564" w:rsidRDefault="00702564" w:rsidP="00632FCC">
            <w:pPr>
              <w:rPr>
                <w:rFonts w:cs="Arial"/>
                <w:b/>
                <w:szCs w:val="24"/>
              </w:rPr>
            </w:pPr>
            <w:r>
              <w:rPr>
                <w:rFonts w:cs="Arial"/>
                <w:b/>
                <w:szCs w:val="24"/>
              </w:rPr>
              <w:t>Dermatofyter</w:t>
            </w:r>
          </w:p>
          <w:p w14:paraId="6936D31C" w14:textId="77777777" w:rsidR="00702564" w:rsidRDefault="00702564" w:rsidP="00632FCC">
            <w:pPr>
              <w:rPr>
                <w:rFonts w:cs="Arial"/>
                <w:b/>
                <w:szCs w:val="24"/>
              </w:rPr>
            </w:pPr>
            <w:r w:rsidRPr="0071138D">
              <w:rPr>
                <w:rFonts w:cs="Arial"/>
                <w:b/>
                <w:szCs w:val="24"/>
              </w:rPr>
              <w:t>Hud</w:t>
            </w:r>
          </w:p>
        </w:tc>
      </w:tr>
      <w:tr w:rsidR="00702564" w:rsidRPr="00800964" w14:paraId="6190FED3" w14:textId="77777777" w:rsidTr="00632FCC">
        <w:tc>
          <w:tcPr>
            <w:tcW w:w="4531" w:type="dxa"/>
          </w:tcPr>
          <w:p w14:paraId="7E2F0559" w14:textId="77777777" w:rsidR="00702564" w:rsidRPr="00800964" w:rsidRDefault="00702564" w:rsidP="00632FCC">
            <w:pPr>
              <w:rPr>
                <w:rFonts w:cs="Arial"/>
                <w:b/>
                <w:sz w:val="24"/>
                <w:szCs w:val="28"/>
              </w:rPr>
            </w:pPr>
            <w:r w:rsidRPr="00800964">
              <w:rPr>
                <w:rFonts w:cs="Arial"/>
                <w:b/>
                <w:sz w:val="24"/>
                <w:szCs w:val="28"/>
              </w:rPr>
              <w:t>Terbinafin</w:t>
            </w:r>
          </w:p>
        </w:tc>
        <w:tc>
          <w:tcPr>
            <w:tcW w:w="4531" w:type="dxa"/>
          </w:tcPr>
          <w:p w14:paraId="6CED2AD4" w14:textId="77777777" w:rsidR="00702564" w:rsidRPr="00800964" w:rsidRDefault="00702564" w:rsidP="00632FCC">
            <w:pPr>
              <w:rPr>
                <w:rFonts w:cs="Arial"/>
                <w:b/>
                <w:sz w:val="24"/>
                <w:szCs w:val="28"/>
              </w:rPr>
            </w:pPr>
            <w:r w:rsidRPr="00800964">
              <w:rPr>
                <w:rFonts w:cs="Arial"/>
                <w:sz w:val="24"/>
                <w:szCs w:val="28"/>
              </w:rPr>
              <w:t>Terbinafin kräm</w:t>
            </w:r>
          </w:p>
        </w:tc>
      </w:tr>
    </w:tbl>
    <w:p w14:paraId="128CCF94" w14:textId="77777777" w:rsidR="00702564" w:rsidRPr="00C16A70" w:rsidDel="00084D00" w:rsidRDefault="00702564" w:rsidP="00702564">
      <w:pPr>
        <w:rPr>
          <w:rFonts w:cs="Arial"/>
          <w:b/>
          <w:sz w:val="20"/>
        </w:rPr>
      </w:pPr>
    </w:p>
    <w:p w14:paraId="3F041BF6" w14:textId="77777777" w:rsidR="00702564" w:rsidRPr="00800964" w:rsidRDefault="00702564" w:rsidP="00702564">
      <w:pPr>
        <w:rPr>
          <w:rFonts w:cs="Arial"/>
          <w:sz w:val="24"/>
          <w:szCs w:val="24"/>
        </w:rPr>
      </w:pPr>
      <w:r w:rsidRPr="00800964">
        <w:rPr>
          <w:rFonts w:cs="Arial"/>
          <w:sz w:val="24"/>
          <w:szCs w:val="24"/>
        </w:rPr>
        <w:t>Terbinafin är effektivare mot dermatofyter än imidazolpreparaten vilket möjliggör kortare behandlingstider (fotsvamp 1-2 veckor jämfört med 3-4 veckor). Pevaryl puder kan nyttjas som komplement vid maceration, och fuktiga ytor, samt till strumpor och skor.</w:t>
      </w:r>
      <w:r w:rsidRPr="00800964">
        <w:rPr>
          <w:rFonts w:cs="Arial"/>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0"/>
        <w:gridCol w:w="4530"/>
      </w:tblGrid>
      <w:tr w:rsidR="00702564" w:rsidRPr="00800964" w14:paraId="58446E52" w14:textId="77777777" w:rsidTr="00632FCC">
        <w:tc>
          <w:tcPr>
            <w:tcW w:w="9060" w:type="dxa"/>
            <w:gridSpan w:val="2"/>
            <w:shd w:val="clear" w:color="auto" w:fill="FFFFFF" w:themeFill="background2"/>
          </w:tcPr>
          <w:p w14:paraId="1BB172E1" w14:textId="77777777" w:rsidR="00702564" w:rsidRPr="00800964" w:rsidRDefault="00702564" w:rsidP="00632FCC">
            <w:pPr>
              <w:rPr>
                <w:rFonts w:cs="Arial"/>
                <w:b/>
                <w:sz w:val="24"/>
                <w:szCs w:val="28"/>
              </w:rPr>
            </w:pPr>
            <w:r w:rsidRPr="00800964">
              <w:rPr>
                <w:rFonts w:cs="Arial"/>
                <w:b/>
                <w:sz w:val="24"/>
                <w:szCs w:val="28"/>
              </w:rPr>
              <w:t>Dermatofyter</w:t>
            </w:r>
          </w:p>
          <w:p w14:paraId="0190D24C" w14:textId="77777777" w:rsidR="00702564" w:rsidRPr="00800964" w:rsidRDefault="00702564" w:rsidP="00632FCC">
            <w:pPr>
              <w:rPr>
                <w:rFonts w:cs="Arial"/>
                <w:b/>
                <w:sz w:val="24"/>
                <w:szCs w:val="28"/>
              </w:rPr>
            </w:pPr>
            <w:r w:rsidRPr="00800964">
              <w:rPr>
                <w:rFonts w:cs="Arial"/>
                <w:b/>
                <w:sz w:val="24"/>
                <w:szCs w:val="28"/>
              </w:rPr>
              <w:t>Nagel</w:t>
            </w:r>
          </w:p>
          <w:p w14:paraId="2BE055B3" w14:textId="77777777" w:rsidR="00702564" w:rsidRPr="00800964" w:rsidRDefault="00702564" w:rsidP="00632FCC">
            <w:pPr>
              <w:rPr>
                <w:rFonts w:cs="Arial"/>
                <w:sz w:val="24"/>
                <w:szCs w:val="28"/>
              </w:rPr>
            </w:pPr>
            <w:r w:rsidRPr="00800964">
              <w:rPr>
                <w:rFonts w:cs="Arial"/>
                <w:sz w:val="24"/>
                <w:szCs w:val="28"/>
              </w:rPr>
              <w:t xml:space="preserve">(endast </w:t>
            </w:r>
            <w:r w:rsidRPr="00166402">
              <w:rPr>
                <w:rFonts w:cs="Arial"/>
                <w:sz w:val="24"/>
                <w:szCs w:val="28"/>
              </w:rPr>
              <w:t>PCR verifierad)</w:t>
            </w:r>
          </w:p>
        </w:tc>
      </w:tr>
      <w:tr w:rsidR="00702564" w:rsidRPr="00800964" w14:paraId="270D79BA" w14:textId="77777777" w:rsidTr="00632FCC">
        <w:tc>
          <w:tcPr>
            <w:tcW w:w="4530" w:type="dxa"/>
          </w:tcPr>
          <w:p w14:paraId="54493144" w14:textId="77777777" w:rsidR="00702564" w:rsidRPr="00800964" w:rsidRDefault="00702564" w:rsidP="00632FCC">
            <w:pPr>
              <w:rPr>
                <w:rFonts w:cs="Arial"/>
                <w:sz w:val="24"/>
                <w:szCs w:val="28"/>
              </w:rPr>
            </w:pPr>
            <w:r w:rsidRPr="00800964">
              <w:rPr>
                <w:rFonts w:cs="Arial"/>
                <w:b/>
                <w:sz w:val="24"/>
                <w:szCs w:val="28"/>
              </w:rPr>
              <w:t>Terbinafin</w:t>
            </w:r>
          </w:p>
        </w:tc>
        <w:tc>
          <w:tcPr>
            <w:tcW w:w="4530" w:type="dxa"/>
          </w:tcPr>
          <w:p w14:paraId="16F3EE66" w14:textId="77777777" w:rsidR="00702564" w:rsidRPr="00800964" w:rsidRDefault="00702564" w:rsidP="00632FCC">
            <w:pPr>
              <w:rPr>
                <w:rFonts w:cs="Arial"/>
                <w:sz w:val="24"/>
                <w:szCs w:val="28"/>
              </w:rPr>
            </w:pPr>
            <w:r w:rsidRPr="00800964">
              <w:rPr>
                <w:rFonts w:cs="Arial"/>
                <w:sz w:val="24"/>
                <w:szCs w:val="28"/>
              </w:rPr>
              <w:t>Terbinafin tabl.</w:t>
            </w:r>
          </w:p>
        </w:tc>
      </w:tr>
    </w:tbl>
    <w:p w14:paraId="4B0390AA" w14:textId="77777777" w:rsidR="00702564" w:rsidRDefault="00702564" w:rsidP="00702564">
      <w:pPr>
        <w:rPr>
          <w:rFonts w:cs="Arial"/>
          <w:sz w:val="24"/>
          <w:szCs w:val="24"/>
        </w:rPr>
      </w:pPr>
    </w:p>
    <w:p w14:paraId="62D19728" w14:textId="77777777" w:rsidR="00702564" w:rsidRDefault="00702564" w:rsidP="00702564">
      <w:pPr>
        <w:tabs>
          <w:tab w:val="clear" w:pos="284"/>
        </w:tabs>
        <w:spacing w:after="120" w:line="260" w:lineRule="atLeast"/>
        <w:rPr>
          <w:rFonts w:cs="Arial"/>
          <w:sz w:val="24"/>
          <w:szCs w:val="24"/>
        </w:rPr>
      </w:pPr>
      <w:r>
        <w:rPr>
          <w:rFonts w:cs="Arial"/>
          <w:sz w:val="24"/>
          <w:szCs w:val="24"/>
        </w:rPr>
        <w:br w:type="page"/>
      </w:r>
    </w:p>
    <w:p w14:paraId="1DA0CBB9" w14:textId="77777777" w:rsidR="00702564" w:rsidRPr="00800964" w:rsidRDefault="00702564" w:rsidP="00702564">
      <w:pPr>
        <w:rPr>
          <w:rFonts w:cs="Arial"/>
          <w:sz w:val="24"/>
          <w:szCs w:val="24"/>
        </w:rPr>
      </w:pPr>
      <w:r w:rsidRPr="00800964">
        <w:rPr>
          <w:rFonts w:cs="Arial"/>
          <w:sz w:val="24"/>
          <w:szCs w:val="24"/>
        </w:rPr>
        <w:lastRenderedPageBreak/>
        <w:t>Nagelsvamp måste inte behandlas. Terbinafin har i en del studier visat högre utläkningsfrekvens än azolpreparat, i andra studier har ingen skillnad påvisats. Terbinafin har färre interaktioner med andra läkemedel än antimykotika av azoltyp</w:t>
      </w:r>
      <w:r w:rsidRPr="00166402">
        <w:rPr>
          <w:rFonts w:cs="Arial"/>
          <w:sz w:val="24"/>
          <w:szCs w:val="24"/>
        </w:rPr>
        <w:t>. PCR verifierad dermatofytinfektion bör föreligga om peroral behandling skall initieras. Undvik terbinafin</w:t>
      </w:r>
      <w:r w:rsidRPr="00800964">
        <w:rPr>
          <w:rFonts w:cs="Arial"/>
          <w:sz w:val="24"/>
          <w:szCs w:val="24"/>
        </w:rPr>
        <w:t xml:space="preserve"> peroralt vid psoriasis på grund av risk för ”flare up” reaktioner.</w:t>
      </w:r>
    </w:p>
    <w:p w14:paraId="3CB44B27" w14:textId="77777777" w:rsidR="00702564" w:rsidRDefault="00702564" w:rsidP="00702564">
      <w:pPr>
        <w:pStyle w:val="Rubrik2"/>
      </w:pPr>
      <w:r w:rsidRPr="0071138D">
        <w:t>Huvudlöss</w:t>
      </w:r>
    </w:p>
    <w:p w14:paraId="6BB3F3ED" w14:textId="77777777" w:rsidR="00702564" w:rsidRDefault="00702564" w:rsidP="007025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1"/>
        <w:gridCol w:w="4384"/>
      </w:tblGrid>
      <w:tr w:rsidR="00702564" w:rsidRPr="00166402" w14:paraId="4243987E" w14:textId="77777777" w:rsidTr="00632FCC">
        <w:tc>
          <w:tcPr>
            <w:tcW w:w="4401" w:type="dxa"/>
          </w:tcPr>
          <w:p w14:paraId="71A1C65A" w14:textId="77777777" w:rsidR="00702564" w:rsidRPr="00166402" w:rsidRDefault="00702564" w:rsidP="00632FCC">
            <w:pPr>
              <w:rPr>
                <w:rFonts w:cs="Arial"/>
                <w:b/>
                <w:bCs/>
                <w:sz w:val="24"/>
                <w:szCs w:val="28"/>
              </w:rPr>
            </w:pPr>
            <w:r w:rsidRPr="00166402">
              <w:rPr>
                <w:rFonts w:cs="Arial"/>
                <w:b/>
                <w:bCs/>
                <w:sz w:val="24"/>
                <w:szCs w:val="28"/>
              </w:rPr>
              <w:t>1</w:t>
            </w:r>
            <w:r w:rsidRPr="00166402">
              <w:rPr>
                <w:rFonts w:cs="Arial"/>
                <w:sz w:val="24"/>
                <w:szCs w:val="28"/>
              </w:rPr>
              <w:t xml:space="preserve"> </w:t>
            </w:r>
            <w:r w:rsidRPr="00166402">
              <w:rPr>
                <w:rFonts w:cs="Arial"/>
                <w:b/>
                <w:sz w:val="24"/>
                <w:szCs w:val="28"/>
              </w:rPr>
              <w:t>dimetikon</w:t>
            </w:r>
          </w:p>
        </w:tc>
        <w:tc>
          <w:tcPr>
            <w:tcW w:w="4384" w:type="dxa"/>
          </w:tcPr>
          <w:p w14:paraId="66436341" w14:textId="77777777" w:rsidR="00702564" w:rsidRPr="00166402" w:rsidRDefault="00702564" w:rsidP="00632FCC">
            <w:pPr>
              <w:rPr>
                <w:rFonts w:cs="Arial"/>
                <w:b/>
                <w:bCs/>
                <w:sz w:val="24"/>
                <w:szCs w:val="28"/>
              </w:rPr>
            </w:pPr>
            <w:r w:rsidRPr="00166402">
              <w:rPr>
                <w:rFonts w:cs="Arial"/>
                <w:sz w:val="24"/>
                <w:szCs w:val="28"/>
              </w:rPr>
              <w:t>Receptfritt lusmedel*</w:t>
            </w:r>
          </w:p>
        </w:tc>
      </w:tr>
      <w:tr w:rsidR="00702564" w:rsidRPr="00166402" w14:paraId="7C579F08" w14:textId="77777777" w:rsidTr="00632FCC">
        <w:tc>
          <w:tcPr>
            <w:tcW w:w="4401" w:type="dxa"/>
          </w:tcPr>
          <w:p w14:paraId="363DF87C" w14:textId="77777777" w:rsidR="00702564" w:rsidRPr="00166402" w:rsidRDefault="00702564" w:rsidP="00632FCC">
            <w:pPr>
              <w:rPr>
                <w:rFonts w:cs="Arial"/>
                <w:b/>
                <w:bCs/>
                <w:sz w:val="24"/>
                <w:szCs w:val="28"/>
              </w:rPr>
            </w:pPr>
            <w:r w:rsidRPr="00166402">
              <w:rPr>
                <w:rFonts w:cs="Arial"/>
                <w:b/>
                <w:bCs/>
                <w:sz w:val="24"/>
                <w:szCs w:val="28"/>
              </w:rPr>
              <w:t>2</w:t>
            </w:r>
            <w:r w:rsidRPr="00166402">
              <w:rPr>
                <w:rFonts w:cs="Arial"/>
                <w:sz w:val="24"/>
                <w:szCs w:val="28"/>
              </w:rPr>
              <w:t xml:space="preserve"> </w:t>
            </w:r>
            <w:r w:rsidRPr="00166402">
              <w:rPr>
                <w:rFonts w:cs="Arial"/>
                <w:b/>
                <w:sz w:val="24"/>
                <w:szCs w:val="28"/>
              </w:rPr>
              <w:t>disulfiram + bensylbensoat</w:t>
            </w:r>
          </w:p>
        </w:tc>
        <w:tc>
          <w:tcPr>
            <w:tcW w:w="4384" w:type="dxa"/>
          </w:tcPr>
          <w:p w14:paraId="0272774E" w14:textId="77777777" w:rsidR="00702564" w:rsidRPr="00166402" w:rsidRDefault="00702564" w:rsidP="00632FCC">
            <w:pPr>
              <w:rPr>
                <w:rFonts w:cs="Arial"/>
                <w:b/>
                <w:bCs/>
                <w:sz w:val="24"/>
                <w:szCs w:val="28"/>
              </w:rPr>
            </w:pPr>
            <w:r w:rsidRPr="00166402">
              <w:rPr>
                <w:rFonts w:cs="Arial"/>
                <w:sz w:val="24"/>
                <w:szCs w:val="28"/>
              </w:rPr>
              <w:t>Tenutex***</w:t>
            </w:r>
          </w:p>
        </w:tc>
      </w:tr>
    </w:tbl>
    <w:p w14:paraId="487D02D9" w14:textId="77777777" w:rsidR="00702564" w:rsidRPr="007D46B1" w:rsidRDefault="00702564" w:rsidP="00702564">
      <w:pPr>
        <w:rPr>
          <w:rFonts w:cs="Arial"/>
          <w:szCs w:val="24"/>
        </w:rPr>
      </w:pPr>
      <w:r w:rsidRPr="007D46B1">
        <w:rPr>
          <w:rFonts w:cs="Arial"/>
          <w:szCs w:val="24"/>
        </w:rPr>
        <w:t>* Handelsvara, kan ej skrivas på recept.</w:t>
      </w:r>
    </w:p>
    <w:p w14:paraId="7EE322DC" w14:textId="77777777" w:rsidR="00702564" w:rsidRPr="007D46B1" w:rsidRDefault="00702564" w:rsidP="00702564">
      <w:pPr>
        <w:rPr>
          <w:rFonts w:cs="Arial"/>
          <w:szCs w:val="24"/>
        </w:rPr>
      </w:pPr>
      <w:r w:rsidRPr="007D46B1">
        <w:rPr>
          <w:rFonts w:cs="Arial"/>
          <w:szCs w:val="24"/>
        </w:rPr>
        <w:t>*** saknar förmån</w:t>
      </w:r>
    </w:p>
    <w:p w14:paraId="6ABD3E91" w14:textId="77777777" w:rsidR="00702564" w:rsidRPr="0071138D" w:rsidRDefault="00702564" w:rsidP="00702564">
      <w:pPr>
        <w:rPr>
          <w:rFonts w:cs="Arial"/>
          <w:szCs w:val="24"/>
        </w:rPr>
      </w:pPr>
    </w:p>
    <w:p w14:paraId="79162933" w14:textId="77777777" w:rsidR="00702564" w:rsidRPr="00DB3597" w:rsidRDefault="00702564" w:rsidP="00702564">
      <w:pPr>
        <w:rPr>
          <w:rFonts w:cs="Arial"/>
          <w:bCs/>
          <w:sz w:val="24"/>
          <w:szCs w:val="24"/>
        </w:rPr>
      </w:pPr>
      <w:r w:rsidRPr="00DB3597">
        <w:rPr>
          <w:rFonts w:cs="Arial"/>
          <w:bCs/>
          <w:sz w:val="24"/>
          <w:szCs w:val="24"/>
        </w:rPr>
        <w:t>Hörnstenarna vid behandling av huvudlöss är noggrann och utförlig information och diagnostik samt väl genomförd behandling och kontaktspårning.</w:t>
      </w:r>
    </w:p>
    <w:p w14:paraId="62377246" w14:textId="77777777" w:rsidR="00702564" w:rsidRPr="00800964" w:rsidRDefault="00702564" w:rsidP="00702564">
      <w:pPr>
        <w:rPr>
          <w:rFonts w:cs="Arial"/>
          <w:szCs w:val="24"/>
        </w:rPr>
      </w:pPr>
      <w:r w:rsidRPr="00800964">
        <w:rPr>
          <w:rFonts w:cs="Arial"/>
          <w:sz w:val="24"/>
          <w:szCs w:val="24"/>
        </w:rPr>
        <w:t xml:space="preserve">Endast personer med levande löss ska behandlas. Samtliga med löss i en familj eller i en grupp bör behandlas samtidigt för att minska risken för ny smitta. Huvudlöss skall i första hand behandlas med Hedrin som är ett medicintekniskt medel baserat på dimetikon. Medicintekniska medel verkar genom att antingen kväva lössen eller påverka deras tarmar så att de dör. Dessa medel klassas inte som läkemedel. Medlen kan bland annat köpas på apotek. </w:t>
      </w:r>
      <w:r w:rsidRPr="00800964">
        <w:rPr>
          <w:color w:val="434343"/>
          <w:sz w:val="24"/>
          <w:szCs w:val="24"/>
        </w:rPr>
        <w:t>För de flesta lusmedel rekommenderas att man upprepar behandlingen efter cirka en vecka. Anledningen är att äggen kan ha överlevt den första behandlingen.</w:t>
      </w:r>
      <w:r>
        <w:rPr>
          <w:color w:val="434343"/>
          <w:sz w:val="24"/>
          <w:szCs w:val="24"/>
        </w:rPr>
        <w:t xml:space="preserve"> </w:t>
      </w:r>
      <w:r w:rsidRPr="00800964">
        <w:rPr>
          <w:rFonts w:cs="Arial"/>
          <w:sz w:val="24"/>
          <w:szCs w:val="24"/>
        </w:rPr>
        <w:t>Om Hedrin inte hjälper kan man behandla lössen med Tenutex, som innehåller bensylbensoat och disulfiram. Medlet ska sitta kvar i håret under 24 timmar.</w:t>
      </w:r>
    </w:p>
    <w:p w14:paraId="0427E53D" w14:textId="77777777" w:rsidR="00702564" w:rsidRDefault="00702564" w:rsidP="00702564">
      <w:pPr>
        <w:pStyle w:val="Rubrik2"/>
      </w:pPr>
      <w:r w:rsidRPr="0071138D">
        <w:t>Skabbinfektion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1"/>
        <w:gridCol w:w="4384"/>
      </w:tblGrid>
      <w:tr w:rsidR="00702564" w:rsidRPr="00166402" w14:paraId="30E74B47" w14:textId="77777777" w:rsidTr="00632FCC">
        <w:tc>
          <w:tcPr>
            <w:tcW w:w="4401" w:type="dxa"/>
          </w:tcPr>
          <w:p w14:paraId="099207AA" w14:textId="77777777" w:rsidR="00702564" w:rsidRPr="00166402" w:rsidRDefault="00702564" w:rsidP="00632FCC">
            <w:pPr>
              <w:rPr>
                <w:rFonts w:cs="Arial"/>
                <w:b/>
                <w:bCs/>
                <w:sz w:val="24"/>
                <w:szCs w:val="28"/>
              </w:rPr>
            </w:pPr>
            <w:r w:rsidRPr="00166402">
              <w:rPr>
                <w:rFonts w:cs="Arial"/>
                <w:b/>
                <w:sz w:val="24"/>
                <w:szCs w:val="28"/>
              </w:rPr>
              <w:t>disulfiram + bensylbensoat</w:t>
            </w:r>
          </w:p>
        </w:tc>
        <w:tc>
          <w:tcPr>
            <w:tcW w:w="4384" w:type="dxa"/>
          </w:tcPr>
          <w:p w14:paraId="423CC891" w14:textId="77777777" w:rsidR="00702564" w:rsidRPr="00166402" w:rsidRDefault="00702564" w:rsidP="00632FCC">
            <w:pPr>
              <w:rPr>
                <w:rFonts w:cs="Arial"/>
                <w:b/>
                <w:bCs/>
                <w:sz w:val="24"/>
                <w:szCs w:val="28"/>
              </w:rPr>
            </w:pPr>
            <w:r w:rsidRPr="00166402">
              <w:rPr>
                <w:rFonts w:cs="Arial"/>
                <w:sz w:val="24"/>
                <w:szCs w:val="28"/>
              </w:rPr>
              <w:t>Tenutex***</w:t>
            </w:r>
          </w:p>
        </w:tc>
      </w:tr>
      <w:tr w:rsidR="00702564" w:rsidRPr="00166402" w14:paraId="09BC00FB" w14:textId="77777777" w:rsidTr="00632FCC">
        <w:tc>
          <w:tcPr>
            <w:tcW w:w="8785" w:type="dxa"/>
            <w:gridSpan w:val="2"/>
          </w:tcPr>
          <w:p w14:paraId="343FAC26" w14:textId="77777777" w:rsidR="00702564" w:rsidRPr="00166402" w:rsidRDefault="00702564" w:rsidP="00632FCC">
            <w:pPr>
              <w:rPr>
                <w:rFonts w:cs="Arial"/>
                <w:sz w:val="24"/>
                <w:szCs w:val="28"/>
              </w:rPr>
            </w:pPr>
            <w:r w:rsidRPr="00166402">
              <w:rPr>
                <w:rFonts w:cs="Arial"/>
                <w:sz w:val="24"/>
                <w:szCs w:val="28"/>
              </w:rPr>
              <w:t>(Obs! 2 behandlingar med 5-7 dagars mellanrum)</w:t>
            </w:r>
          </w:p>
        </w:tc>
      </w:tr>
    </w:tbl>
    <w:p w14:paraId="0C7E4220" w14:textId="77777777" w:rsidR="00702564" w:rsidRPr="00166402" w:rsidRDefault="00702564" w:rsidP="00702564">
      <w:pPr>
        <w:rPr>
          <w:rFonts w:cs="Arial"/>
          <w:szCs w:val="24"/>
        </w:rPr>
      </w:pPr>
      <w:r w:rsidRPr="00166402">
        <w:rPr>
          <w:rFonts w:cs="Arial"/>
          <w:szCs w:val="24"/>
        </w:rPr>
        <w:t>*** saknar förmån</w:t>
      </w:r>
    </w:p>
    <w:p w14:paraId="62BB8E27" w14:textId="77777777" w:rsidR="00702564" w:rsidRPr="00166402" w:rsidRDefault="00702564" w:rsidP="00702564"/>
    <w:p w14:paraId="504967C7" w14:textId="77777777" w:rsidR="00702564" w:rsidRPr="00166402" w:rsidRDefault="00702564" w:rsidP="00702564">
      <w:pPr>
        <w:rPr>
          <w:rFonts w:cs="Arial"/>
          <w:sz w:val="24"/>
          <w:szCs w:val="24"/>
        </w:rPr>
      </w:pPr>
      <w:r w:rsidRPr="00DB3597">
        <w:rPr>
          <w:rFonts w:cs="Arial"/>
          <w:bCs/>
          <w:sz w:val="24"/>
          <w:szCs w:val="24"/>
        </w:rPr>
        <w:t>Tenutex kräm (2 behandlingar med 5–7 dagars mellanrum) Tenutex kräm, receptfritt, 100 gr,</w:t>
      </w:r>
      <w:r w:rsidRPr="00166402">
        <w:rPr>
          <w:rFonts w:cs="Arial"/>
          <w:sz w:val="24"/>
          <w:szCs w:val="24"/>
        </w:rPr>
        <w:t xml:space="preserve"> räcker till 2 behandlingar för vuxen. Finns receptfritt och ingår ej i förmånen. </w:t>
      </w:r>
      <w:r>
        <w:rPr>
          <w:rFonts w:cs="Arial"/>
          <w:sz w:val="24"/>
          <w:szCs w:val="24"/>
        </w:rPr>
        <w:br/>
      </w:r>
    </w:p>
    <w:p w14:paraId="2B1F0F91" w14:textId="77777777" w:rsidR="00702564" w:rsidRPr="00DB3597" w:rsidRDefault="00702564" w:rsidP="00702564">
      <w:pPr>
        <w:rPr>
          <w:rFonts w:cs="Arial"/>
          <w:bCs/>
          <w:sz w:val="24"/>
          <w:szCs w:val="24"/>
        </w:rPr>
      </w:pPr>
      <w:r w:rsidRPr="00DB3597">
        <w:rPr>
          <w:rFonts w:cs="Arial"/>
          <w:bCs/>
          <w:sz w:val="24"/>
          <w:szCs w:val="24"/>
        </w:rPr>
        <w:t>Glöm ej! Två Tenutexbehandlingar med 5–7 dagars mellanrum skall ordineras vid misstänkt</w:t>
      </w:r>
    </w:p>
    <w:p w14:paraId="61A4F215" w14:textId="77777777" w:rsidR="00702564" w:rsidRPr="00166402" w:rsidRDefault="00702564" w:rsidP="00702564">
      <w:pPr>
        <w:rPr>
          <w:rFonts w:cs="Arial"/>
          <w:sz w:val="24"/>
          <w:szCs w:val="24"/>
        </w:rPr>
      </w:pPr>
      <w:r w:rsidRPr="00166402">
        <w:rPr>
          <w:rFonts w:cs="Arial"/>
          <w:sz w:val="24"/>
          <w:szCs w:val="24"/>
        </w:rPr>
        <w:t>skabbinfektion, eftersom skabbäggen ej påverkas av första smörjningen.</w:t>
      </w:r>
    </w:p>
    <w:p w14:paraId="0FE8099E" w14:textId="77777777" w:rsidR="00702564" w:rsidRDefault="00702564" w:rsidP="00702564">
      <w:pPr>
        <w:rPr>
          <w:rFonts w:cs="Arial"/>
          <w:sz w:val="24"/>
          <w:szCs w:val="24"/>
        </w:rPr>
      </w:pPr>
      <w:r w:rsidRPr="00166402">
        <w:rPr>
          <w:rFonts w:cs="Arial"/>
          <w:sz w:val="24"/>
          <w:szCs w:val="24"/>
        </w:rPr>
        <w:t xml:space="preserve">Lämna skriftlig </w:t>
      </w:r>
      <w:hyperlink r:id="rId99" w:history="1">
        <w:hyperlink r:id="rId100" w:history="1">
          <w:hyperlink r:id="rId101" w:history="1">
            <w:r w:rsidRPr="00166402">
              <w:rPr>
                <w:rStyle w:val="Hyperlnk"/>
                <w:rFonts w:cs="Arial"/>
                <w:color w:val="0070C0"/>
                <w:sz w:val="24"/>
                <w:szCs w:val="24"/>
              </w:rPr>
              <w:t>utförlig patientinformation</w:t>
            </w:r>
          </w:hyperlink>
        </w:hyperlink>
      </w:hyperlink>
      <w:r w:rsidRPr="00166402">
        <w:rPr>
          <w:rFonts w:cs="Arial"/>
          <w:sz w:val="24"/>
          <w:szCs w:val="24"/>
        </w:rPr>
        <w:t xml:space="preserve"> (under PM/ och vårdprogram/hud/ hudinfektioner).</w:t>
      </w:r>
      <w:r>
        <w:rPr>
          <w:rFonts w:cs="Arial"/>
          <w:sz w:val="24"/>
          <w:szCs w:val="24"/>
        </w:rPr>
        <w:t xml:space="preserve"> </w:t>
      </w:r>
      <w:r w:rsidRPr="00800964">
        <w:rPr>
          <w:rFonts w:cs="Arial"/>
          <w:sz w:val="24"/>
          <w:szCs w:val="24"/>
        </w:rPr>
        <w:t>(bipacksedeln till Tenutex ger ej denna instruktion).</w:t>
      </w:r>
    </w:p>
    <w:p w14:paraId="53C59AC9" w14:textId="77777777" w:rsidR="00702564" w:rsidRPr="00800964" w:rsidRDefault="00702564" w:rsidP="00702564">
      <w:pPr>
        <w:rPr>
          <w:rFonts w:cs="Arial"/>
          <w:sz w:val="24"/>
          <w:szCs w:val="24"/>
        </w:rPr>
      </w:pPr>
    </w:p>
    <w:p w14:paraId="5ECFE72F" w14:textId="77777777" w:rsidR="00702564" w:rsidRPr="00DB3597" w:rsidRDefault="00702564" w:rsidP="00702564">
      <w:r w:rsidRPr="00DB3597">
        <w:t>Övriga medlemmar i hushållet skall alltid behandlas även om de ej har symtom!</w:t>
      </w:r>
    </w:p>
    <w:p w14:paraId="68E4F1EE" w14:textId="77777777" w:rsidR="00702564" w:rsidRPr="00A2788A" w:rsidRDefault="00702564" w:rsidP="00702564">
      <w:pPr>
        <w:rPr>
          <w:rFonts w:cs="Arial"/>
          <w:sz w:val="24"/>
          <w:szCs w:val="24"/>
        </w:rPr>
      </w:pPr>
    </w:p>
    <w:p w14:paraId="32221AF8" w14:textId="77777777" w:rsidR="00702564" w:rsidRDefault="00702564" w:rsidP="00702564">
      <w:pPr>
        <w:rPr>
          <w:rFonts w:cs="Arial"/>
          <w:sz w:val="24"/>
          <w:szCs w:val="24"/>
        </w:rPr>
      </w:pPr>
      <w:r w:rsidRPr="00800964">
        <w:rPr>
          <w:rFonts w:cs="Arial"/>
          <w:sz w:val="24"/>
          <w:szCs w:val="24"/>
        </w:rPr>
        <w:t xml:space="preserve">Vid gummiallergi (thiuramöverkänslighet) tolereras ej Tenutex. </w:t>
      </w:r>
      <w:r w:rsidRPr="00DB3597">
        <w:rPr>
          <w:rFonts w:cs="Arial"/>
          <w:bCs/>
          <w:sz w:val="24"/>
          <w:szCs w:val="24"/>
        </w:rPr>
        <w:t>Nix kräm</w:t>
      </w:r>
      <w:r w:rsidRPr="00800964">
        <w:rPr>
          <w:rFonts w:cs="Arial"/>
          <w:sz w:val="24"/>
          <w:szCs w:val="24"/>
        </w:rPr>
        <w:t xml:space="preserve"> kan då användas. </w:t>
      </w:r>
      <w:r w:rsidRPr="00800964">
        <w:rPr>
          <w:rFonts w:cs="Arial"/>
          <w:sz w:val="24"/>
          <w:szCs w:val="24"/>
        </w:rPr>
        <w:br/>
        <w:t>Detta är receptbelagt och licens måste sökas hos läkemedelsverket.</w:t>
      </w:r>
    </w:p>
    <w:p w14:paraId="617157F6" w14:textId="77777777" w:rsidR="00702564" w:rsidRDefault="00702564" w:rsidP="00702564">
      <w:pPr>
        <w:tabs>
          <w:tab w:val="clear" w:pos="284"/>
        </w:tabs>
        <w:spacing w:after="120" w:line="260" w:lineRule="atLeast"/>
        <w:rPr>
          <w:rFonts w:asciiTheme="majorHAnsi" w:eastAsiaTheme="majorEastAsia" w:hAnsiTheme="majorHAnsi"/>
          <w:b/>
          <w:bCs/>
          <w:sz w:val="28"/>
          <w:szCs w:val="26"/>
        </w:rPr>
      </w:pPr>
      <w:r>
        <w:br w:type="page"/>
      </w:r>
    </w:p>
    <w:p w14:paraId="5448573A" w14:textId="77777777" w:rsidR="00702564" w:rsidRPr="00656EAB" w:rsidRDefault="00702564" w:rsidP="00702564">
      <w:pPr>
        <w:pStyle w:val="Rubrik2"/>
      </w:pPr>
      <w:r w:rsidRPr="00656EAB">
        <w:lastRenderedPageBreak/>
        <w:t>Aktinisk</w:t>
      </w:r>
      <w:r>
        <w:t xml:space="preserve"> </w:t>
      </w:r>
      <w:r w:rsidRPr="00656EAB">
        <w:t xml:space="preserve">keratos </w:t>
      </w:r>
    </w:p>
    <w:p w14:paraId="76472442" w14:textId="77777777" w:rsidR="00702564" w:rsidRDefault="00702564" w:rsidP="00702564">
      <w:pP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702564" w:rsidRPr="00800964" w14:paraId="1DAB1CB1" w14:textId="77777777" w:rsidTr="00632FCC">
        <w:tc>
          <w:tcPr>
            <w:tcW w:w="4536" w:type="dxa"/>
          </w:tcPr>
          <w:p w14:paraId="2246F02A" w14:textId="77777777" w:rsidR="00702564" w:rsidRPr="00800964" w:rsidRDefault="00702564" w:rsidP="00632FCC">
            <w:pPr>
              <w:rPr>
                <w:rFonts w:cs="Arial"/>
                <w:b/>
                <w:sz w:val="24"/>
                <w:szCs w:val="28"/>
              </w:rPr>
            </w:pPr>
            <w:r w:rsidRPr="00800964">
              <w:rPr>
                <w:rFonts w:cs="Arial"/>
                <w:b/>
                <w:sz w:val="24"/>
                <w:szCs w:val="28"/>
              </w:rPr>
              <w:t>1 fluoruracil+salicylsyra</w:t>
            </w:r>
          </w:p>
        </w:tc>
        <w:tc>
          <w:tcPr>
            <w:tcW w:w="4536" w:type="dxa"/>
          </w:tcPr>
          <w:p w14:paraId="16783C39" w14:textId="77777777" w:rsidR="00702564" w:rsidRPr="00800964" w:rsidRDefault="00702564" w:rsidP="00632FCC">
            <w:pPr>
              <w:rPr>
                <w:rFonts w:cs="Arial"/>
                <w:b/>
                <w:sz w:val="24"/>
                <w:szCs w:val="28"/>
              </w:rPr>
            </w:pPr>
            <w:r w:rsidRPr="00800964">
              <w:rPr>
                <w:rFonts w:cs="Arial"/>
                <w:sz w:val="24"/>
                <w:szCs w:val="28"/>
              </w:rPr>
              <w:t>Actikerall</w:t>
            </w:r>
          </w:p>
        </w:tc>
      </w:tr>
      <w:tr w:rsidR="00702564" w:rsidRPr="00800964" w14:paraId="51D7889A" w14:textId="77777777" w:rsidTr="00632FCC">
        <w:tc>
          <w:tcPr>
            <w:tcW w:w="4536" w:type="dxa"/>
          </w:tcPr>
          <w:p w14:paraId="48787ECD" w14:textId="77777777" w:rsidR="00702564" w:rsidRPr="00800964" w:rsidRDefault="00702564" w:rsidP="00632FCC">
            <w:pPr>
              <w:rPr>
                <w:rFonts w:cs="Arial"/>
                <w:b/>
                <w:sz w:val="24"/>
                <w:szCs w:val="28"/>
              </w:rPr>
            </w:pPr>
            <w:r w:rsidRPr="00800964">
              <w:rPr>
                <w:rFonts w:cs="Arial"/>
                <w:b/>
                <w:sz w:val="24"/>
                <w:szCs w:val="28"/>
              </w:rPr>
              <w:t>2 imiquimod</w:t>
            </w:r>
          </w:p>
        </w:tc>
        <w:tc>
          <w:tcPr>
            <w:tcW w:w="4536" w:type="dxa"/>
          </w:tcPr>
          <w:p w14:paraId="51A569C5" w14:textId="77777777" w:rsidR="00702564" w:rsidRPr="00800964" w:rsidRDefault="00702564" w:rsidP="00632FCC">
            <w:pPr>
              <w:rPr>
                <w:rFonts w:cs="Arial"/>
                <w:b/>
                <w:sz w:val="24"/>
                <w:szCs w:val="28"/>
              </w:rPr>
            </w:pPr>
            <w:r w:rsidRPr="00800964">
              <w:rPr>
                <w:rFonts w:cs="Arial"/>
                <w:sz w:val="24"/>
                <w:szCs w:val="28"/>
              </w:rPr>
              <w:t>Zyclara</w:t>
            </w:r>
          </w:p>
        </w:tc>
      </w:tr>
    </w:tbl>
    <w:p w14:paraId="54A05436" w14:textId="77777777" w:rsidR="00702564" w:rsidRDefault="00702564" w:rsidP="00702564">
      <w:pPr>
        <w:rPr>
          <w:rStyle w:val="Hyperlnk"/>
          <w:rFonts w:cs="Arial"/>
          <w:sz w:val="24"/>
          <w:szCs w:val="24"/>
        </w:rPr>
      </w:pPr>
      <w:r w:rsidRPr="00800964">
        <w:rPr>
          <w:rFonts w:cs="Arial"/>
          <w:sz w:val="24"/>
          <w:szCs w:val="24"/>
        </w:rPr>
        <w:t xml:space="preserve">Se instruktioner på intranätet under </w:t>
      </w:r>
      <w:hyperlink r:id="rId102" w:history="1">
        <w:hyperlink r:id="rId103" w:history="1">
          <w:hyperlink r:id="rId104" w:history="1">
            <w:r w:rsidRPr="00166402">
              <w:rPr>
                <w:rStyle w:val="Hyperlnk"/>
                <w:rFonts w:cs="Arial"/>
                <w:color w:val="0070C0"/>
                <w:sz w:val="24"/>
                <w:szCs w:val="24"/>
              </w:rPr>
              <w:t>PM och vårdprogram/Hud</w:t>
            </w:r>
          </w:hyperlink>
        </w:hyperlink>
      </w:hyperlink>
    </w:p>
    <w:p w14:paraId="25CB7469" w14:textId="77777777" w:rsidR="00702564" w:rsidRPr="00800964" w:rsidRDefault="00702564" w:rsidP="00702564">
      <w:pPr>
        <w:rPr>
          <w:rFonts w:cs="Arial"/>
          <w:sz w:val="24"/>
          <w:szCs w:val="24"/>
        </w:rPr>
      </w:pPr>
    </w:p>
    <w:p w14:paraId="093D9CFD" w14:textId="77777777" w:rsidR="00702564" w:rsidRPr="00800964" w:rsidRDefault="00702564" w:rsidP="00702564">
      <w:pPr>
        <w:rPr>
          <w:rFonts w:cs="Arial"/>
          <w:sz w:val="24"/>
          <w:szCs w:val="24"/>
        </w:rPr>
      </w:pPr>
      <w:r w:rsidRPr="00800964">
        <w:rPr>
          <w:rFonts w:cs="Arial"/>
          <w:sz w:val="24"/>
          <w:szCs w:val="24"/>
        </w:rPr>
        <w:t>Actikerall är avsedd för behandling av enstaka lätt till måttligt hyperkeratotiska aktiniska keratoser, som visar bättre utläkning samt lägre recidivrisk i jämförelse med Zyclara.</w:t>
      </w:r>
    </w:p>
    <w:p w14:paraId="1BBC5C45" w14:textId="77777777" w:rsidR="00702564" w:rsidRDefault="00702564" w:rsidP="00702564">
      <w:pPr>
        <w:rPr>
          <w:rFonts w:cs="Arial"/>
          <w:sz w:val="24"/>
          <w:szCs w:val="24"/>
        </w:rPr>
      </w:pPr>
      <w:r w:rsidRPr="00800964">
        <w:rPr>
          <w:rFonts w:cs="Arial"/>
          <w:sz w:val="24"/>
          <w:szCs w:val="24"/>
        </w:rPr>
        <w:t>Zyclara innehåller samma substans som Aldara men lägre koncentration och enklare smörjschema, större yta kan smörjas. Tolereras bättre än Aldara</w:t>
      </w:r>
      <w:r>
        <w:rPr>
          <w:rFonts w:cs="Arial"/>
          <w:sz w:val="24"/>
          <w:szCs w:val="24"/>
        </w:rPr>
        <w:t>.</w:t>
      </w:r>
      <w:r w:rsidRPr="00800964">
        <w:rPr>
          <w:rFonts w:cs="Arial"/>
          <w:sz w:val="24"/>
          <w:szCs w:val="24"/>
        </w:rPr>
        <w:t xml:space="preserve"> Zyclara kan ge allmänpåverkan i form av influensaliknande symtom.</w:t>
      </w:r>
    </w:p>
    <w:p w14:paraId="242C8C0C" w14:textId="77777777" w:rsidR="00702564" w:rsidRPr="00905F01" w:rsidRDefault="00702564" w:rsidP="00702564">
      <w:pPr>
        <w:pStyle w:val="Rubrik2"/>
        <w:rPr>
          <w:lang w:val="en-GB"/>
        </w:rPr>
      </w:pPr>
      <w:r w:rsidRPr="00905F01">
        <w:rPr>
          <w:lang w:val="en-GB"/>
        </w:rPr>
        <w:t>Referenser</w:t>
      </w:r>
    </w:p>
    <w:p w14:paraId="5C057F0D" w14:textId="77777777" w:rsidR="00702564" w:rsidRPr="00800964" w:rsidRDefault="00702564" w:rsidP="00702564">
      <w:pPr>
        <w:pStyle w:val="Rubrik3"/>
        <w:rPr>
          <w:sz w:val="20"/>
          <w:szCs w:val="20"/>
          <w:lang w:val="en-US"/>
        </w:rPr>
      </w:pPr>
      <w:r w:rsidRPr="00800964">
        <w:rPr>
          <w:lang w:val="en-US"/>
        </w:rPr>
        <w:t>Mjukgörande</w:t>
      </w:r>
    </w:p>
    <w:p w14:paraId="59E7F5A1" w14:textId="77777777" w:rsidR="00702564" w:rsidRPr="00800964" w:rsidRDefault="00702564" w:rsidP="00702564">
      <w:pPr>
        <w:rPr>
          <w:b/>
          <w:bCs/>
          <w:sz w:val="24"/>
          <w:szCs w:val="24"/>
        </w:rPr>
      </w:pPr>
      <w:r w:rsidRPr="00800964">
        <w:rPr>
          <w:sz w:val="24"/>
          <w:szCs w:val="24"/>
          <w:lang w:val="en-GB"/>
        </w:rPr>
        <w:t xml:space="preserve">Berg M, Svensson A, Faergemann J. A novel formulation of mometasone furoate in psoriasis patients: a multicenter, randomized, double-blind clinical study. </w:t>
      </w:r>
      <w:r w:rsidRPr="00800964">
        <w:rPr>
          <w:sz w:val="24"/>
          <w:szCs w:val="24"/>
        </w:rPr>
        <w:t xml:space="preserve">Adv Ther. 2013 May;30(5):503-16. </w:t>
      </w:r>
    </w:p>
    <w:p w14:paraId="32C70E83" w14:textId="77777777" w:rsidR="00702564" w:rsidRPr="00166402" w:rsidRDefault="00702564" w:rsidP="00702564">
      <w:pPr>
        <w:pStyle w:val="Rubrik3"/>
      </w:pPr>
      <w:r w:rsidRPr="00166402">
        <w:t>Eksem</w:t>
      </w:r>
    </w:p>
    <w:p w14:paraId="19847615" w14:textId="77777777" w:rsidR="00702564" w:rsidRPr="00166402" w:rsidRDefault="00702564" w:rsidP="00702564">
      <w:pPr>
        <w:rPr>
          <w:sz w:val="24"/>
          <w:szCs w:val="24"/>
        </w:rPr>
      </w:pPr>
      <w:r w:rsidRPr="00166402">
        <w:rPr>
          <w:sz w:val="24"/>
          <w:szCs w:val="24"/>
        </w:rPr>
        <w:t>http.//www.lakemedelsverket.se</w:t>
      </w:r>
    </w:p>
    <w:p w14:paraId="09B2C9D7" w14:textId="77777777" w:rsidR="00702564" w:rsidRDefault="00702564" w:rsidP="00702564">
      <w:pPr>
        <w:rPr>
          <w:b/>
          <w:bCs/>
          <w:sz w:val="24"/>
          <w:szCs w:val="24"/>
        </w:rPr>
      </w:pPr>
      <w:r w:rsidRPr="00166402">
        <w:rPr>
          <w:sz w:val="24"/>
          <w:szCs w:val="24"/>
        </w:rPr>
        <w:t>Atopisk dermatit-behandlingsrekommendation juni2023</w:t>
      </w:r>
    </w:p>
    <w:p w14:paraId="2AF5F827" w14:textId="77777777" w:rsidR="00702564" w:rsidRPr="00800964" w:rsidRDefault="00702564" w:rsidP="00702564">
      <w:pPr>
        <w:pStyle w:val="Rubrik3"/>
      </w:pPr>
      <w:r w:rsidRPr="00800964">
        <w:t>Psoriasis</w:t>
      </w:r>
    </w:p>
    <w:p w14:paraId="393DA8BD" w14:textId="77777777" w:rsidR="00702564" w:rsidRPr="00800964" w:rsidRDefault="00702564" w:rsidP="00702564">
      <w:pPr>
        <w:rPr>
          <w:sz w:val="24"/>
          <w:szCs w:val="24"/>
        </w:rPr>
      </w:pPr>
      <w:r w:rsidRPr="00800964">
        <w:rPr>
          <w:sz w:val="24"/>
          <w:szCs w:val="24"/>
        </w:rPr>
        <w:t>Nationella riktlinjer för vård vid psoriasis. Socialstyrelsen</w:t>
      </w:r>
      <w:r>
        <w:rPr>
          <w:sz w:val="24"/>
          <w:szCs w:val="24"/>
        </w:rPr>
        <w:t xml:space="preserve"> 2019</w:t>
      </w:r>
      <w:r w:rsidRPr="00800964">
        <w:rPr>
          <w:sz w:val="24"/>
          <w:szCs w:val="24"/>
        </w:rPr>
        <w:t xml:space="preserve">. </w:t>
      </w:r>
      <w:hyperlink r:id="rId105" w:history="1">
        <w:r w:rsidRPr="00800964">
          <w:rPr>
            <w:rStyle w:val="Hyperlnk"/>
            <w:sz w:val="24"/>
            <w:szCs w:val="24"/>
          </w:rPr>
          <w:t>http://www.socialstyrelsen.se/riktlinjer/nationellariktlinjer/psoriasis</w:t>
        </w:r>
      </w:hyperlink>
      <w:r w:rsidRPr="00800964">
        <w:rPr>
          <w:sz w:val="24"/>
          <w:szCs w:val="24"/>
        </w:rPr>
        <w:t xml:space="preserve"> </w:t>
      </w:r>
    </w:p>
    <w:p w14:paraId="0D7F39D3" w14:textId="77777777" w:rsidR="00702564" w:rsidRPr="00800964" w:rsidRDefault="00702564" w:rsidP="00702564">
      <w:pPr>
        <w:rPr>
          <w:sz w:val="24"/>
          <w:szCs w:val="24"/>
        </w:rPr>
      </w:pPr>
    </w:p>
    <w:p w14:paraId="64D9FAFD" w14:textId="77777777" w:rsidR="00702564" w:rsidRDefault="00702564" w:rsidP="00702564">
      <w:pPr>
        <w:rPr>
          <w:sz w:val="24"/>
          <w:szCs w:val="24"/>
        </w:rPr>
      </w:pPr>
      <w:r w:rsidRPr="00800964">
        <w:rPr>
          <w:sz w:val="24"/>
          <w:szCs w:val="24"/>
          <w:lang w:val="en-US"/>
        </w:rPr>
        <w:t xml:space="preserve">Lebwohl M, Tyring S, Bukhalo M, Alonso-Llamazares J, Olesen M, Lowson D, Yamauchi P. Fixed Combination Aerosol Foam Calcipotriene 0.005% (Cal) Plus Betamethasone Dipropionate 0.064% (BD) is More Efficacious than Cal or BD Aerosol Foam Alone for Psoriasis Vulgaris: A Randomized, Double-blind, Multicenter, Three-arm, Phase 2 Study. </w:t>
      </w:r>
      <w:r w:rsidRPr="00E70873">
        <w:rPr>
          <w:sz w:val="24"/>
          <w:szCs w:val="24"/>
        </w:rPr>
        <w:t xml:space="preserve">J Clin Aesthet Dermatol. 2016 Feb; 9(2): 34–41. </w:t>
      </w:r>
    </w:p>
    <w:p w14:paraId="197EA39D" w14:textId="77777777" w:rsidR="00702564" w:rsidRDefault="00702564" w:rsidP="00702564">
      <w:pPr>
        <w:rPr>
          <w:sz w:val="24"/>
          <w:szCs w:val="24"/>
        </w:rPr>
      </w:pPr>
    </w:p>
    <w:p w14:paraId="2A578080" w14:textId="77777777" w:rsidR="00702564" w:rsidRPr="00166402" w:rsidRDefault="00702564" w:rsidP="00702564">
      <w:pPr>
        <w:rPr>
          <w:sz w:val="24"/>
          <w:szCs w:val="24"/>
        </w:rPr>
      </w:pPr>
      <w:r w:rsidRPr="00166402">
        <w:rPr>
          <w:sz w:val="24"/>
          <w:szCs w:val="24"/>
        </w:rPr>
        <w:t>Paul et al. J Eur Acad Dermatol Venereol. 2017 Jan; 31(1): 119-126</w:t>
      </w:r>
    </w:p>
    <w:p w14:paraId="79E96665" w14:textId="77777777" w:rsidR="00702564" w:rsidRPr="00CF2B7D" w:rsidRDefault="00702564" w:rsidP="00702564">
      <w:pPr>
        <w:rPr>
          <w:sz w:val="24"/>
          <w:szCs w:val="24"/>
        </w:rPr>
      </w:pPr>
      <w:r w:rsidRPr="00166402">
        <w:rPr>
          <w:sz w:val="24"/>
          <w:szCs w:val="24"/>
        </w:rPr>
        <w:t xml:space="preserve">SPC och Duvetorp et al.Acta Derm Venereol. </w:t>
      </w:r>
      <w:r w:rsidRPr="00CF2B7D">
        <w:rPr>
          <w:sz w:val="24"/>
          <w:szCs w:val="24"/>
        </w:rPr>
        <w:t>2019 Apr 1;99(4):393-399</w:t>
      </w:r>
    </w:p>
    <w:p w14:paraId="0A0A1DDE" w14:textId="77777777" w:rsidR="00702564" w:rsidRPr="00CF2B7D" w:rsidRDefault="00702564" w:rsidP="00702564">
      <w:pPr>
        <w:rPr>
          <w:sz w:val="24"/>
          <w:szCs w:val="24"/>
        </w:rPr>
      </w:pPr>
    </w:p>
    <w:p w14:paraId="412873CA" w14:textId="77777777" w:rsidR="00702564" w:rsidRPr="00CF2B7D" w:rsidRDefault="00702564" w:rsidP="00702564">
      <w:pPr>
        <w:rPr>
          <w:sz w:val="24"/>
          <w:szCs w:val="24"/>
        </w:rPr>
      </w:pPr>
    </w:p>
    <w:p w14:paraId="47EED151" w14:textId="77777777" w:rsidR="00702564" w:rsidRPr="00CF2B7D" w:rsidRDefault="00702564" w:rsidP="00702564">
      <w:pPr>
        <w:rPr>
          <w:b/>
          <w:bCs/>
          <w:sz w:val="24"/>
          <w:szCs w:val="24"/>
        </w:rPr>
      </w:pPr>
      <w:r w:rsidRPr="00CF2B7D">
        <w:rPr>
          <w:b/>
          <w:bCs/>
          <w:sz w:val="24"/>
          <w:szCs w:val="24"/>
        </w:rPr>
        <w:t>Aktiniska keratoser</w:t>
      </w:r>
    </w:p>
    <w:p w14:paraId="2FE0EE76" w14:textId="77777777" w:rsidR="00702564" w:rsidRPr="00CF2B7D" w:rsidRDefault="00702564" w:rsidP="00702564">
      <w:pPr>
        <w:rPr>
          <w:sz w:val="24"/>
          <w:szCs w:val="24"/>
        </w:rPr>
      </w:pPr>
      <w:r w:rsidRPr="00CF2B7D">
        <w:rPr>
          <w:sz w:val="24"/>
          <w:szCs w:val="24"/>
        </w:rPr>
        <w:t xml:space="preserve">Stockfleth et al. </w:t>
      </w:r>
      <w:r w:rsidRPr="00800964">
        <w:rPr>
          <w:sz w:val="24"/>
          <w:szCs w:val="24"/>
          <w:lang w:val="en-US"/>
        </w:rPr>
        <w:t xml:space="preserve">New topical treatment options for actinic keratosis: a systematic review. </w:t>
      </w:r>
      <w:r w:rsidRPr="00CF2B7D">
        <w:rPr>
          <w:sz w:val="24"/>
          <w:szCs w:val="24"/>
        </w:rPr>
        <w:t>Acta Derm Venereol 2016; 96: 17-22</w:t>
      </w:r>
    </w:p>
    <w:p w14:paraId="6328FD22" w14:textId="77777777" w:rsidR="00702564" w:rsidRPr="00CF2B7D" w:rsidRDefault="00702564" w:rsidP="00702564">
      <w:pPr>
        <w:rPr>
          <w:sz w:val="24"/>
          <w:szCs w:val="24"/>
        </w:rPr>
      </w:pPr>
    </w:p>
    <w:p w14:paraId="3683DA24" w14:textId="77777777" w:rsidR="00702564" w:rsidRPr="00CF2B7D" w:rsidRDefault="00702564" w:rsidP="00702564"/>
    <w:p w14:paraId="7B547A48" w14:textId="77777777" w:rsidR="00702564" w:rsidRPr="00CF2B7D" w:rsidRDefault="00702564" w:rsidP="00702564"/>
    <w:p w14:paraId="72E408E0" w14:textId="77777777" w:rsidR="00702564" w:rsidRDefault="00702564" w:rsidP="00702564">
      <w:pPr>
        <w:pStyle w:val="Rubrik1"/>
      </w:pPr>
      <w:r>
        <w:lastRenderedPageBreak/>
        <w:t>Mun - Mage – Tarm</w:t>
      </w:r>
    </w:p>
    <w:p w14:paraId="313568CB" w14:textId="77777777" w:rsidR="00702564" w:rsidRPr="003C5955" w:rsidRDefault="00702564" w:rsidP="00702564">
      <w:pPr>
        <w:pStyle w:val="Brdtext"/>
        <w:ind w:left="0"/>
        <w:rPr>
          <w:lang w:val="sv-SE"/>
        </w:rPr>
      </w:pPr>
      <w:r w:rsidRPr="003C5955">
        <w:rPr>
          <w:lang w:val="sv-SE"/>
        </w:rPr>
        <w:br/>
      </w:r>
      <w:r w:rsidRPr="003C5955">
        <w:rPr>
          <w:b/>
          <w:bCs/>
          <w:lang w:val="sv-SE"/>
        </w:rPr>
        <w:t xml:space="preserve">Senast uppdaterad </w:t>
      </w:r>
      <w:r>
        <w:rPr>
          <w:b/>
          <w:bCs/>
          <w:lang w:val="sv-SE"/>
        </w:rPr>
        <w:t>2026-03-24</w:t>
      </w:r>
    </w:p>
    <w:p w14:paraId="6902117B" w14:textId="77777777" w:rsidR="00702564" w:rsidRPr="004177C6" w:rsidRDefault="00702564" w:rsidP="00702564">
      <w:pPr>
        <w:pStyle w:val="Rubrik2"/>
        <w:rPr>
          <w:i/>
          <w:spacing w:val="-1"/>
          <w:sz w:val="24"/>
          <w:szCs w:val="24"/>
        </w:rPr>
      </w:pPr>
      <w:r w:rsidRPr="00FB33D1">
        <w:t>Munhålan</w:t>
      </w:r>
    </w:p>
    <w:p w14:paraId="0F657E71" w14:textId="77777777" w:rsidR="00702564" w:rsidRPr="004177C6" w:rsidRDefault="00702564" w:rsidP="00702564">
      <w:pPr>
        <w:pStyle w:val="Rubrik2"/>
      </w:pPr>
      <w:r w:rsidRPr="004177C6">
        <w:t>Terapigruppsmedlemmar</w:t>
      </w:r>
    </w:p>
    <w:p w14:paraId="43B077F6" w14:textId="77777777" w:rsidR="00702564" w:rsidRPr="004177C6" w:rsidRDefault="00702564" w:rsidP="00702564">
      <w:pPr>
        <w:rPr>
          <w:spacing w:val="-1"/>
          <w:sz w:val="24"/>
          <w:szCs w:val="24"/>
        </w:rPr>
      </w:pPr>
      <w:r>
        <w:rPr>
          <w:spacing w:val="-1"/>
          <w:sz w:val="24"/>
          <w:szCs w:val="24"/>
        </w:rPr>
        <w:t>Jonas Lindhe, verksamhetschef, Specialisttandvården</w:t>
      </w:r>
      <w:r w:rsidRPr="004177C6">
        <w:rPr>
          <w:spacing w:val="-1"/>
          <w:sz w:val="24"/>
          <w:szCs w:val="24"/>
        </w:rPr>
        <w:t xml:space="preserve"> </w:t>
      </w:r>
    </w:p>
    <w:p w14:paraId="63F6FA12" w14:textId="77777777" w:rsidR="00702564" w:rsidRDefault="00702564" w:rsidP="00702564">
      <w:pPr>
        <w:rPr>
          <w:spacing w:val="-1"/>
          <w:sz w:val="24"/>
          <w:szCs w:val="24"/>
        </w:rPr>
      </w:pPr>
      <w:r>
        <w:rPr>
          <w:spacing w:val="-1"/>
          <w:sz w:val="24"/>
          <w:szCs w:val="24"/>
        </w:rPr>
        <w:t>Alexander Juth-Karlsson, specialistläkare, Kirurgkliniken</w:t>
      </w:r>
    </w:p>
    <w:p w14:paraId="14E47F59" w14:textId="77777777" w:rsidR="00702564" w:rsidRPr="004177C6" w:rsidRDefault="00702564" w:rsidP="00702564">
      <w:pPr>
        <w:rPr>
          <w:spacing w:val="-1"/>
          <w:sz w:val="24"/>
          <w:szCs w:val="24"/>
        </w:rPr>
      </w:pPr>
      <w:r>
        <w:rPr>
          <w:spacing w:val="-1"/>
          <w:sz w:val="24"/>
          <w:szCs w:val="24"/>
        </w:rPr>
        <w:t>Zahraa Al-Bejawi, överläkare, Medicinmottagningen</w:t>
      </w:r>
      <w:r>
        <w:rPr>
          <w:spacing w:val="-1"/>
          <w:sz w:val="24"/>
          <w:szCs w:val="24"/>
        </w:rPr>
        <w:br/>
        <w:t>Johanna Söderström, familjeläkare, Familjeläkarmottagningen Jämjö</w:t>
      </w:r>
    </w:p>
    <w:p w14:paraId="1CF64802" w14:textId="77777777" w:rsidR="00702564" w:rsidRPr="0071138D" w:rsidRDefault="00702564" w:rsidP="00702564">
      <w:r w:rsidRPr="004177C6">
        <w:rPr>
          <w:spacing w:val="-1"/>
          <w:sz w:val="24"/>
          <w:szCs w:val="24"/>
        </w:rPr>
        <w:t>J</w:t>
      </w:r>
      <w:r>
        <w:rPr>
          <w:spacing w:val="-1"/>
          <w:sz w:val="24"/>
          <w:szCs w:val="24"/>
        </w:rPr>
        <w:t>esper Brandstedt, farmaceut, Läkemedelsenheten</w:t>
      </w:r>
    </w:p>
    <w:p w14:paraId="2F3543ED" w14:textId="77777777" w:rsidR="00702564" w:rsidRPr="004177C6" w:rsidRDefault="00702564" w:rsidP="00702564">
      <w:pPr>
        <w:pStyle w:val="Rubrik2"/>
      </w:pPr>
      <w:r w:rsidRPr="004177C6">
        <w:t>Läkemedelsbehandling</w:t>
      </w:r>
    </w:p>
    <w:p w14:paraId="297BB4B7" w14:textId="77777777" w:rsidR="00702564" w:rsidRPr="00800964" w:rsidRDefault="00702564" w:rsidP="00702564">
      <w:pPr>
        <w:rPr>
          <w:szCs w:val="24"/>
        </w:rPr>
      </w:pPr>
      <w:r w:rsidRPr="00800964">
        <w:rPr>
          <w:spacing w:val="-1"/>
          <w:sz w:val="24"/>
          <w:szCs w:val="24"/>
        </w:rPr>
        <w:t xml:space="preserve">I följande stycken ges kommentarer till läkemedel som upptas i Rekommenderade läkemedel (Reklistan). För fördjupad information rörande läkemedelsval vid mun- och tandsjukdomar, </w:t>
      </w:r>
      <w:r w:rsidRPr="00800964">
        <w:rPr>
          <w:spacing w:val="-1"/>
          <w:sz w:val="24"/>
          <w:szCs w:val="24"/>
        </w:rPr>
        <w:br/>
        <w:t xml:space="preserve">se </w:t>
      </w:r>
      <w:hyperlink r:id="rId106" w:history="1">
        <w:r w:rsidRPr="00800964">
          <w:rPr>
            <w:rStyle w:val="Hyperlnk"/>
            <w:color w:val="0066FF"/>
            <w:spacing w:val="-1"/>
            <w:sz w:val="24"/>
            <w:szCs w:val="24"/>
          </w:rPr>
          <w:t>Tandvårdens läkemedel 2022-2023</w:t>
        </w:r>
        <w:r w:rsidRPr="00800964">
          <w:rPr>
            <w:rStyle w:val="Hyperlnk"/>
            <w:spacing w:val="-1"/>
            <w:sz w:val="24"/>
            <w:szCs w:val="24"/>
          </w:rPr>
          <w:t>.</w:t>
        </w:r>
      </w:hyperlink>
    </w:p>
    <w:p w14:paraId="09D08D40" w14:textId="77777777" w:rsidR="00702564" w:rsidRPr="00C22784" w:rsidRDefault="00702564" w:rsidP="00702564">
      <w:pPr>
        <w:pStyle w:val="Rubrik3"/>
      </w:pPr>
      <w:r w:rsidRPr="00C22784">
        <w:t>Svampinfektioner</w:t>
      </w:r>
    </w:p>
    <w:tbl>
      <w:tblPr>
        <w:tblStyle w:val="Tabellrutnt"/>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410"/>
        <w:gridCol w:w="4820"/>
      </w:tblGrid>
      <w:tr w:rsidR="00702564" w:rsidRPr="00800964" w14:paraId="2FAFEE79" w14:textId="77777777" w:rsidTr="00632FCC">
        <w:tc>
          <w:tcPr>
            <w:tcW w:w="2263" w:type="dxa"/>
          </w:tcPr>
          <w:p w14:paraId="20C78FA4" w14:textId="77777777" w:rsidR="00702564" w:rsidRPr="00800964" w:rsidRDefault="00702564" w:rsidP="00632FCC">
            <w:pPr>
              <w:tabs>
                <w:tab w:val="clear" w:pos="284"/>
              </w:tabs>
              <w:spacing w:line="240" w:lineRule="auto"/>
              <w:rPr>
                <w:rFonts w:eastAsia="Garamond" w:cs="Garamond"/>
                <w:b/>
                <w:bCs/>
                <w:iCs/>
                <w:spacing w:val="-1"/>
                <w:sz w:val="24"/>
                <w:szCs w:val="28"/>
              </w:rPr>
            </w:pPr>
            <w:r w:rsidRPr="00800964">
              <w:rPr>
                <w:rFonts w:eastAsia="Garamond" w:cs="Garamond"/>
                <w:b/>
                <w:bCs/>
                <w:iCs/>
                <w:spacing w:val="-1"/>
                <w:sz w:val="24"/>
                <w:szCs w:val="28"/>
              </w:rPr>
              <w:t>nys</w:t>
            </w:r>
            <w:r w:rsidRPr="00800964">
              <w:rPr>
                <w:rFonts w:eastAsia="Garamond" w:cs="Garamond"/>
                <w:b/>
                <w:bCs/>
                <w:iCs/>
                <w:sz w:val="24"/>
                <w:szCs w:val="28"/>
              </w:rPr>
              <w:t>tatin</w:t>
            </w:r>
          </w:p>
        </w:tc>
        <w:tc>
          <w:tcPr>
            <w:tcW w:w="2410" w:type="dxa"/>
          </w:tcPr>
          <w:p w14:paraId="22DE53AE" w14:textId="77777777" w:rsidR="00702564" w:rsidRPr="00800964" w:rsidRDefault="00702564" w:rsidP="00632FCC">
            <w:pPr>
              <w:tabs>
                <w:tab w:val="clear" w:pos="284"/>
              </w:tabs>
              <w:spacing w:line="240" w:lineRule="auto"/>
              <w:rPr>
                <w:rFonts w:eastAsia="Garamond" w:cs="Garamond"/>
                <w:b/>
                <w:bCs/>
                <w:iCs/>
                <w:spacing w:val="-1"/>
                <w:sz w:val="24"/>
                <w:szCs w:val="28"/>
              </w:rPr>
            </w:pPr>
            <w:r w:rsidRPr="00800964">
              <w:rPr>
                <w:rFonts w:eastAsia="Garamond" w:cs="Garamond"/>
                <w:sz w:val="24"/>
                <w:szCs w:val="28"/>
              </w:rPr>
              <w:t xml:space="preserve">Nystimex </w:t>
            </w:r>
            <w:r w:rsidRPr="00800964">
              <w:rPr>
                <w:rFonts w:eastAsia="Garamond" w:cs="Garamond"/>
                <w:bCs/>
                <w:spacing w:val="-1"/>
                <w:sz w:val="24"/>
                <w:szCs w:val="28"/>
              </w:rPr>
              <w:t>mi</w:t>
            </w:r>
            <w:r w:rsidRPr="00800964">
              <w:rPr>
                <w:rFonts w:eastAsia="Garamond" w:cs="Garamond"/>
                <w:bCs/>
                <w:sz w:val="24"/>
                <w:szCs w:val="28"/>
              </w:rPr>
              <w:t>x</w:t>
            </w:r>
            <w:r w:rsidRPr="00800964">
              <w:rPr>
                <w:rFonts w:eastAsia="Garamond" w:cs="Garamond"/>
                <w:bCs/>
                <w:spacing w:val="-1"/>
                <w:sz w:val="24"/>
                <w:szCs w:val="28"/>
              </w:rPr>
              <w:t>tur</w:t>
            </w:r>
          </w:p>
        </w:tc>
        <w:tc>
          <w:tcPr>
            <w:tcW w:w="4820" w:type="dxa"/>
          </w:tcPr>
          <w:p w14:paraId="463D1087" w14:textId="77777777" w:rsidR="00702564" w:rsidRPr="00800964" w:rsidRDefault="00702564" w:rsidP="00632FCC">
            <w:pPr>
              <w:rPr>
                <w:rFonts w:eastAsia="Garamond" w:cs="Garamond"/>
                <w:b/>
                <w:bCs/>
                <w:iCs/>
                <w:spacing w:val="-1"/>
                <w:sz w:val="24"/>
                <w:szCs w:val="28"/>
              </w:rPr>
            </w:pPr>
            <w:r w:rsidRPr="00800964">
              <w:rPr>
                <w:spacing w:val="-1"/>
                <w:sz w:val="24"/>
                <w:szCs w:val="28"/>
              </w:rPr>
              <w:t xml:space="preserve">Nystimex ersätter Mycostatin som avregistrerades december 2016. Nystimex </w:t>
            </w:r>
            <w:r w:rsidRPr="00800964">
              <w:rPr>
                <w:spacing w:val="-3"/>
                <w:sz w:val="24"/>
                <w:szCs w:val="28"/>
              </w:rPr>
              <w:t>h</w:t>
            </w:r>
            <w:r w:rsidRPr="00800964">
              <w:rPr>
                <w:sz w:val="24"/>
                <w:szCs w:val="28"/>
              </w:rPr>
              <w:t>ar</w:t>
            </w:r>
            <w:r w:rsidRPr="00800964">
              <w:rPr>
                <w:spacing w:val="-15"/>
                <w:sz w:val="24"/>
                <w:szCs w:val="28"/>
              </w:rPr>
              <w:t xml:space="preserve"> </w:t>
            </w:r>
            <w:r w:rsidRPr="00800964">
              <w:rPr>
                <w:sz w:val="24"/>
                <w:szCs w:val="28"/>
              </w:rPr>
              <w:t>l</w:t>
            </w:r>
            <w:r w:rsidRPr="00800964">
              <w:rPr>
                <w:spacing w:val="-1"/>
                <w:sz w:val="24"/>
                <w:szCs w:val="28"/>
              </w:rPr>
              <w:t>o</w:t>
            </w:r>
            <w:r w:rsidRPr="00800964">
              <w:rPr>
                <w:spacing w:val="-6"/>
                <w:sz w:val="24"/>
                <w:szCs w:val="28"/>
              </w:rPr>
              <w:t>k</w:t>
            </w:r>
            <w:r w:rsidRPr="00800964">
              <w:rPr>
                <w:sz w:val="24"/>
                <w:szCs w:val="28"/>
              </w:rPr>
              <w:t>al</w:t>
            </w:r>
            <w:r w:rsidRPr="00800964">
              <w:rPr>
                <w:spacing w:val="-12"/>
                <w:sz w:val="24"/>
                <w:szCs w:val="28"/>
              </w:rPr>
              <w:t xml:space="preserve"> </w:t>
            </w:r>
            <w:r w:rsidRPr="00800964">
              <w:rPr>
                <w:sz w:val="24"/>
                <w:szCs w:val="28"/>
              </w:rPr>
              <w:t>e</w:t>
            </w:r>
            <w:r w:rsidRPr="00800964">
              <w:rPr>
                <w:spacing w:val="-1"/>
                <w:sz w:val="24"/>
                <w:szCs w:val="28"/>
              </w:rPr>
              <w:t>f</w:t>
            </w:r>
            <w:r w:rsidRPr="00800964">
              <w:rPr>
                <w:spacing w:val="-7"/>
                <w:sz w:val="24"/>
                <w:szCs w:val="28"/>
              </w:rPr>
              <w:t>f</w:t>
            </w:r>
            <w:r w:rsidRPr="00800964">
              <w:rPr>
                <w:spacing w:val="-2"/>
                <w:sz w:val="24"/>
                <w:szCs w:val="28"/>
              </w:rPr>
              <w:t>e</w:t>
            </w:r>
            <w:r w:rsidRPr="00800964">
              <w:rPr>
                <w:spacing w:val="-8"/>
                <w:sz w:val="24"/>
                <w:szCs w:val="28"/>
              </w:rPr>
              <w:t>k</w:t>
            </w:r>
            <w:r w:rsidRPr="00800964">
              <w:rPr>
                <w:sz w:val="24"/>
                <w:szCs w:val="28"/>
              </w:rPr>
              <w:t>t</w:t>
            </w:r>
            <w:r w:rsidRPr="00800964">
              <w:rPr>
                <w:spacing w:val="-15"/>
                <w:sz w:val="24"/>
                <w:szCs w:val="28"/>
              </w:rPr>
              <w:t xml:space="preserve"> </w:t>
            </w:r>
            <w:r w:rsidRPr="00800964">
              <w:rPr>
                <w:sz w:val="24"/>
                <w:szCs w:val="28"/>
              </w:rPr>
              <w:t>i</w:t>
            </w:r>
            <w:r w:rsidRPr="00800964">
              <w:rPr>
                <w:spacing w:val="-9"/>
                <w:sz w:val="24"/>
                <w:szCs w:val="28"/>
              </w:rPr>
              <w:t xml:space="preserve"> </w:t>
            </w:r>
            <w:r w:rsidRPr="00800964">
              <w:rPr>
                <w:spacing w:val="-1"/>
                <w:sz w:val="24"/>
                <w:szCs w:val="28"/>
              </w:rPr>
              <w:t>m</w:t>
            </w:r>
            <w:r w:rsidRPr="00800964">
              <w:rPr>
                <w:sz w:val="24"/>
                <w:szCs w:val="28"/>
              </w:rPr>
              <w:t>unhå</w:t>
            </w:r>
            <w:r w:rsidRPr="00800964">
              <w:rPr>
                <w:spacing w:val="-3"/>
                <w:sz w:val="24"/>
                <w:szCs w:val="28"/>
              </w:rPr>
              <w:t>l</w:t>
            </w:r>
            <w:r w:rsidRPr="00800964">
              <w:rPr>
                <w:sz w:val="24"/>
                <w:szCs w:val="28"/>
              </w:rPr>
              <w:t>an</w:t>
            </w:r>
            <w:r w:rsidRPr="00800964">
              <w:rPr>
                <w:spacing w:val="-12"/>
                <w:sz w:val="24"/>
                <w:szCs w:val="28"/>
              </w:rPr>
              <w:t xml:space="preserve"> </w:t>
            </w:r>
            <w:r w:rsidRPr="00800964">
              <w:rPr>
                <w:spacing w:val="-1"/>
                <w:sz w:val="24"/>
                <w:szCs w:val="28"/>
              </w:rPr>
              <w:t>m</w:t>
            </w:r>
            <w:r w:rsidRPr="00800964">
              <w:rPr>
                <w:sz w:val="24"/>
                <w:szCs w:val="28"/>
              </w:rPr>
              <w:t>en</w:t>
            </w:r>
            <w:r w:rsidRPr="00800964">
              <w:rPr>
                <w:spacing w:val="-14"/>
                <w:sz w:val="24"/>
                <w:szCs w:val="28"/>
              </w:rPr>
              <w:t xml:space="preserve"> </w:t>
            </w:r>
            <w:r w:rsidRPr="00800964">
              <w:rPr>
                <w:spacing w:val="-6"/>
                <w:sz w:val="24"/>
                <w:szCs w:val="28"/>
              </w:rPr>
              <w:t>k</w:t>
            </w:r>
            <w:r w:rsidRPr="00800964">
              <w:rPr>
                <w:sz w:val="24"/>
                <w:szCs w:val="28"/>
              </w:rPr>
              <w:t>an</w:t>
            </w:r>
            <w:r w:rsidRPr="00800964">
              <w:rPr>
                <w:spacing w:val="-15"/>
                <w:sz w:val="24"/>
                <w:szCs w:val="28"/>
              </w:rPr>
              <w:t xml:space="preserve"> </w:t>
            </w:r>
            <w:r w:rsidRPr="00800964">
              <w:rPr>
                <w:spacing w:val="-7"/>
                <w:sz w:val="24"/>
                <w:szCs w:val="28"/>
              </w:rPr>
              <w:t>s</w:t>
            </w:r>
            <w:r w:rsidRPr="00800964">
              <w:rPr>
                <w:sz w:val="24"/>
                <w:szCs w:val="28"/>
              </w:rPr>
              <w:t>vä</w:t>
            </w:r>
            <w:r w:rsidRPr="00800964">
              <w:rPr>
                <w:spacing w:val="-5"/>
                <w:sz w:val="24"/>
                <w:szCs w:val="28"/>
              </w:rPr>
              <w:t>l</w:t>
            </w:r>
            <w:r w:rsidRPr="00800964">
              <w:rPr>
                <w:spacing w:val="-3"/>
                <w:sz w:val="24"/>
                <w:szCs w:val="28"/>
              </w:rPr>
              <w:t>j</w:t>
            </w:r>
            <w:r w:rsidRPr="00800964">
              <w:rPr>
                <w:spacing w:val="-2"/>
                <w:sz w:val="24"/>
                <w:szCs w:val="28"/>
              </w:rPr>
              <w:t>a</w:t>
            </w:r>
            <w:r w:rsidRPr="00800964">
              <w:rPr>
                <w:sz w:val="24"/>
                <w:szCs w:val="28"/>
              </w:rPr>
              <w:t>s</w:t>
            </w:r>
            <w:r w:rsidRPr="00800964">
              <w:rPr>
                <w:spacing w:val="-11"/>
                <w:sz w:val="24"/>
                <w:szCs w:val="28"/>
              </w:rPr>
              <w:t xml:space="preserve"> </w:t>
            </w:r>
            <w:r w:rsidRPr="00800964">
              <w:rPr>
                <w:spacing w:val="-3"/>
                <w:sz w:val="24"/>
                <w:szCs w:val="28"/>
              </w:rPr>
              <w:t>o</w:t>
            </w:r>
            <w:r w:rsidRPr="00800964">
              <w:rPr>
                <w:sz w:val="24"/>
                <w:szCs w:val="28"/>
              </w:rPr>
              <w:t>ch</w:t>
            </w:r>
            <w:r w:rsidRPr="00800964">
              <w:rPr>
                <w:spacing w:val="-12"/>
                <w:sz w:val="24"/>
                <w:szCs w:val="28"/>
              </w:rPr>
              <w:t xml:space="preserve"> </w:t>
            </w:r>
            <w:r w:rsidRPr="00800964">
              <w:rPr>
                <w:sz w:val="24"/>
                <w:szCs w:val="28"/>
              </w:rPr>
              <w:t>har</w:t>
            </w:r>
            <w:r w:rsidRPr="00800964">
              <w:rPr>
                <w:spacing w:val="-11"/>
                <w:sz w:val="24"/>
                <w:szCs w:val="28"/>
              </w:rPr>
              <w:t xml:space="preserve"> </w:t>
            </w:r>
            <w:r w:rsidRPr="00800964">
              <w:rPr>
                <w:sz w:val="24"/>
                <w:szCs w:val="28"/>
              </w:rPr>
              <w:t>då</w:t>
            </w:r>
            <w:r w:rsidRPr="00800964">
              <w:rPr>
                <w:spacing w:val="-9"/>
                <w:sz w:val="24"/>
                <w:szCs w:val="28"/>
              </w:rPr>
              <w:t xml:space="preserve"> </w:t>
            </w:r>
            <w:r w:rsidRPr="00800964">
              <w:rPr>
                <w:sz w:val="24"/>
                <w:szCs w:val="28"/>
              </w:rPr>
              <w:t>även</w:t>
            </w:r>
            <w:r w:rsidRPr="00800964">
              <w:rPr>
                <w:spacing w:val="-16"/>
                <w:sz w:val="24"/>
                <w:szCs w:val="28"/>
              </w:rPr>
              <w:t xml:space="preserve"> </w:t>
            </w:r>
            <w:r w:rsidRPr="00800964">
              <w:rPr>
                <w:sz w:val="24"/>
                <w:szCs w:val="28"/>
              </w:rPr>
              <w:t>e</w:t>
            </w:r>
            <w:r w:rsidRPr="00800964">
              <w:rPr>
                <w:spacing w:val="-5"/>
                <w:sz w:val="24"/>
                <w:szCs w:val="28"/>
              </w:rPr>
              <w:t>f</w:t>
            </w:r>
            <w:r w:rsidRPr="00800964">
              <w:rPr>
                <w:spacing w:val="-1"/>
                <w:sz w:val="24"/>
                <w:szCs w:val="28"/>
              </w:rPr>
              <w:t>f</w:t>
            </w:r>
            <w:r w:rsidRPr="00800964">
              <w:rPr>
                <w:spacing w:val="-2"/>
                <w:sz w:val="24"/>
                <w:szCs w:val="28"/>
              </w:rPr>
              <w:t>e</w:t>
            </w:r>
            <w:r w:rsidRPr="00800964">
              <w:rPr>
                <w:sz w:val="24"/>
                <w:szCs w:val="28"/>
              </w:rPr>
              <w:t>kt</w:t>
            </w:r>
            <w:r w:rsidRPr="00800964">
              <w:rPr>
                <w:spacing w:val="-17"/>
                <w:sz w:val="24"/>
                <w:szCs w:val="28"/>
              </w:rPr>
              <w:t xml:space="preserve"> </w:t>
            </w:r>
            <w:r w:rsidRPr="00800964">
              <w:rPr>
                <w:spacing w:val="-3"/>
                <w:sz w:val="24"/>
                <w:szCs w:val="28"/>
              </w:rPr>
              <w:t>in</w:t>
            </w:r>
            <w:r w:rsidRPr="00800964">
              <w:rPr>
                <w:spacing w:val="-1"/>
                <w:sz w:val="24"/>
                <w:szCs w:val="28"/>
              </w:rPr>
              <w:t>t</w:t>
            </w:r>
            <w:r w:rsidRPr="00800964">
              <w:rPr>
                <w:sz w:val="24"/>
                <w:szCs w:val="28"/>
              </w:rPr>
              <w:t>e</w:t>
            </w:r>
            <w:r w:rsidRPr="00800964">
              <w:rPr>
                <w:spacing w:val="-7"/>
                <w:sz w:val="24"/>
                <w:szCs w:val="28"/>
              </w:rPr>
              <w:t>s</w:t>
            </w:r>
            <w:r w:rsidRPr="00800964">
              <w:rPr>
                <w:spacing w:val="-3"/>
                <w:sz w:val="24"/>
                <w:szCs w:val="28"/>
              </w:rPr>
              <w:t>t</w:t>
            </w:r>
            <w:r w:rsidRPr="00800964">
              <w:rPr>
                <w:sz w:val="24"/>
                <w:szCs w:val="28"/>
              </w:rPr>
              <w:t>i</w:t>
            </w:r>
            <w:r w:rsidRPr="00800964">
              <w:rPr>
                <w:spacing w:val="-3"/>
                <w:sz w:val="24"/>
                <w:szCs w:val="28"/>
              </w:rPr>
              <w:t>n</w:t>
            </w:r>
            <w:r w:rsidRPr="00800964">
              <w:rPr>
                <w:sz w:val="24"/>
                <w:szCs w:val="28"/>
              </w:rPr>
              <w:t>a</w:t>
            </w:r>
            <w:r w:rsidRPr="00800964">
              <w:rPr>
                <w:spacing w:val="-5"/>
                <w:sz w:val="24"/>
                <w:szCs w:val="28"/>
              </w:rPr>
              <w:t>l</w:t>
            </w:r>
            <w:r w:rsidRPr="00800964">
              <w:rPr>
                <w:spacing w:val="-1"/>
                <w:sz w:val="24"/>
                <w:szCs w:val="28"/>
              </w:rPr>
              <w:t>t.</w:t>
            </w:r>
          </w:p>
        </w:tc>
      </w:tr>
      <w:tr w:rsidR="00702564" w:rsidRPr="00800964" w14:paraId="61B0C86F" w14:textId="77777777" w:rsidTr="00632FCC">
        <w:tc>
          <w:tcPr>
            <w:tcW w:w="2263" w:type="dxa"/>
          </w:tcPr>
          <w:p w14:paraId="0B5C7339" w14:textId="77777777" w:rsidR="00702564" w:rsidRPr="00800964" w:rsidRDefault="00702564" w:rsidP="00632FCC">
            <w:pPr>
              <w:tabs>
                <w:tab w:val="clear" w:pos="284"/>
              </w:tabs>
              <w:spacing w:line="240" w:lineRule="auto"/>
              <w:rPr>
                <w:rFonts w:eastAsia="Garamond" w:cs="Garamond"/>
                <w:b/>
                <w:bCs/>
                <w:iCs/>
                <w:spacing w:val="-1"/>
                <w:sz w:val="24"/>
                <w:szCs w:val="28"/>
              </w:rPr>
            </w:pPr>
            <w:r w:rsidRPr="00800964">
              <w:rPr>
                <w:rFonts w:eastAsia="Garamond" w:cs="Garamond"/>
                <w:b/>
                <w:iCs/>
                <w:sz w:val="24"/>
                <w:szCs w:val="28"/>
              </w:rPr>
              <w:t>flukonazol</w:t>
            </w:r>
          </w:p>
        </w:tc>
        <w:tc>
          <w:tcPr>
            <w:tcW w:w="2410" w:type="dxa"/>
          </w:tcPr>
          <w:p w14:paraId="74BD0E52" w14:textId="77777777" w:rsidR="00702564" w:rsidRPr="00800964" w:rsidRDefault="00702564" w:rsidP="00632FCC">
            <w:pPr>
              <w:tabs>
                <w:tab w:val="clear" w:pos="284"/>
              </w:tabs>
              <w:spacing w:line="240" w:lineRule="auto"/>
              <w:rPr>
                <w:rFonts w:eastAsia="Garamond" w:cs="Garamond"/>
                <w:sz w:val="24"/>
                <w:szCs w:val="28"/>
              </w:rPr>
            </w:pPr>
            <w:r w:rsidRPr="00800964">
              <w:rPr>
                <w:rFonts w:eastAsia="Garamond" w:cs="Garamond"/>
                <w:sz w:val="24"/>
                <w:szCs w:val="28"/>
              </w:rPr>
              <w:t>Fluconazol</w:t>
            </w:r>
          </w:p>
        </w:tc>
        <w:tc>
          <w:tcPr>
            <w:tcW w:w="4820" w:type="dxa"/>
          </w:tcPr>
          <w:p w14:paraId="13DB5DF9" w14:textId="77777777" w:rsidR="00702564" w:rsidRPr="00800964" w:rsidRDefault="00702564" w:rsidP="00632FCC">
            <w:pPr>
              <w:rPr>
                <w:spacing w:val="-1"/>
                <w:sz w:val="24"/>
                <w:szCs w:val="28"/>
              </w:rPr>
            </w:pPr>
            <w:r w:rsidRPr="00800964">
              <w:rPr>
                <w:sz w:val="24"/>
                <w:szCs w:val="28"/>
              </w:rPr>
              <w:t xml:space="preserve">Används när lokal behandling med nystatin är otillräcklig eller olämplig. </w:t>
            </w:r>
          </w:p>
        </w:tc>
      </w:tr>
    </w:tbl>
    <w:p w14:paraId="56064641" w14:textId="77777777" w:rsidR="00702564" w:rsidRDefault="00702564" w:rsidP="00702564">
      <w:pPr>
        <w:tabs>
          <w:tab w:val="clear" w:pos="284"/>
        </w:tabs>
        <w:spacing w:line="240" w:lineRule="auto"/>
        <w:rPr>
          <w:rFonts w:eastAsia="Garamond" w:cs="Garamond"/>
          <w:b/>
          <w:bCs/>
          <w:iCs/>
          <w:spacing w:val="-1"/>
          <w:szCs w:val="24"/>
        </w:rPr>
      </w:pPr>
    </w:p>
    <w:p w14:paraId="49C21616" w14:textId="77777777" w:rsidR="00702564" w:rsidRPr="00800964" w:rsidRDefault="00702564" w:rsidP="00702564">
      <w:pPr>
        <w:rPr>
          <w:spacing w:val="-1"/>
          <w:sz w:val="24"/>
          <w:szCs w:val="24"/>
        </w:rPr>
      </w:pPr>
      <w:r w:rsidRPr="00800964">
        <w:rPr>
          <w:spacing w:val="-1"/>
          <w:sz w:val="24"/>
          <w:szCs w:val="24"/>
        </w:rPr>
        <w:t xml:space="preserve">Lång behandlingstid med nystatin, som kan stäcka sig upp till 6 veckor 4 gånger dagligen, kan leda till problem med compliance. Terapigruppen rekommenderar en dosering om 1-4 ml 4 gånger dagligen. Särskilt muntorra patienter behöver den högre dosen. </w:t>
      </w:r>
    </w:p>
    <w:p w14:paraId="35D6281A" w14:textId="77777777" w:rsidR="00702564" w:rsidRPr="00800964" w:rsidRDefault="00702564" w:rsidP="00702564">
      <w:pPr>
        <w:rPr>
          <w:spacing w:val="-1"/>
          <w:sz w:val="24"/>
          <w:szCs w:val="24"/>
        </w:rPr>
      </w:pPr>
    </w:p>
    <w:p w14:paraId="73CD4CAD" w14:textId="77777777" w:rsidR="00702564" w:rsidRPr="00800964" w:rsidRDefault="00702564" w:rsidP="00702564">
      <w:pPr>
        <w:rPr>
          <w:szCs w:val="24"/>
        </w:rPr>
      </w:pPr>
      <w:r w:rsidRPr="00800964">
        <w:rPr>
          <w:spacing w:val="-1"/>
          <w:sz w:val="24"/>
          <w:szCs w:val="24"/>
        </w:rPr>
        <w:t>Fluconazol är ett alternativ med kortare behandlingstid (50 mg x1 i 7-14 dagar), men risken för interaktioner måste beaktas.</w:t>
      </w:r>
    </w:p>
    <w:p w14:paraId="260383E2" w14:textId="77777777" w:rsidR="00702564" w:rsidRPr="00C22784" w:rsidRDefault="00702564" w:rsidP="00702564">
      <w:pPr>
        <w:pStyle w:val="Rubrik2"/>
      </w:pPr>
      <w:r w:rsidRPr="00C22784">
        <w:t>Kariesprevention</w:t>
      </w:r>
    </w:p>
    <w:p w14:paraId="6FE73277" w14:textId="77777777" w:rsidR="00702564" w:rsidRDefault="00702564" w:rsidP="00702564">
      <w:pPr>
        <w:rPr>
          <w:spacing w:val="-1"/>
          <w:sz w:val="24"/>
          <w:szCs w:val="24"/>
        </w:rPr>
      </w:pPr>
      <w:r w:rsidRPr="00800964">
        <w:rPr>
          <w:spacing w:val="-1"/>
          <w:sz w:val="24"/>
          <w:szCs w:val="24"/>
        </w:rPr>
        <w:t xml:space="preserve">Basprevention utgörs av tandborstning med vanlig fluortandkräm (1000-1500 ppm) 2 gånger dagligen. Till patienter med förhöjd kariesrisk eller kariesaktivitet rekommenderas tillägg av </w:t>
      </w:r>
      <w:r>
        <w:rPr>
          <w:spacing w:val="-1"/>
          <w:sz w:val="24"/>
          <w:szCs w:val="24"/>
        </w:rPr>
        <w:br/>
      </w:r>
      <w:r w:rsidRPr="00800964">
        <w:rPr>
          <w:spacing w:val="-1"/>
          <w:sz w:val="24"/>
          <w:szCs w:val="24"/>
        </w:rPr>
        <w:t xml:space="preserve">fluor i första hand med fluorlösning. Utöver detta finns högdos-fluortandkräm och fluorgel som används i individuella plastskenor. Tilläggseffekten av fluortabletter eller fluortuggummi är </w:t>
      </w:r>
      <w:r>
        <w:rPr>
          <w:spacing w:val="-1"/>
          <w:sz w:val="24"/>
          <w:szCs w:val="24"/>
        </w:rPr>
        <w:br/>
      </w:r>
      <w:r w:rsidRPr="00800964">
        <w:rPr>
          <w:spacing w:val="-1"/>
          <w:sz w:val="24"/>
          <w:szCs w:val="24"/>
        </w:rPr>
        <w:t xml:space="preserve">sannolikt låg till skillnad från fluorlösningen och rekommenderas därför endast när tandborstning </w:t>
      </w:r>
      <w:r>
        <w:rPr>
          <w:spacing w:val="-1"/>
          <w:sz w:val="24"/>
          <w:szCs w:val="24"/>
        </w:rPr>
        <w:br/>
      </w:r>
      <w:r w:rsidRPr="00800964">
        <w:rPr>
          <w:spacing w:val="-1"/>
          <w:sz w:val="24"/>
          <w:szCs w:val="24"/>
        </w:rPr>
        <w:t>och fluorsköljning inte är möjlig. Patienter med en bedömd risk för karies och ett samtidigt högt sockerintag och/eller risk för småätande bör erbjudas stöd att ändra ogynnsamma matvanor.</w:t>
      </w:r>
      <w:r>
        <w:rPr>
          <w:spacing w:val="-1"/>
          <w:sz w:val="24"/>
          <w:szCs w:val="24"/>
        </w:rPr>
        <w:t xml:space="preserve"> </w:t>
      </w:r>
    </w:p>
    <w:p w14:paraId="1387F65F" w14:textId="77777777" w:rsidR="00702564" w:rsidRDefault="00702564" w:rsidP="00702564">
      <w:pPr>
        <w:tabs>
          <w:tab w:val="clear" w:pos="284"/>
        </w:tabs>
        <w:spacing w:after="120" w:line="260" w:lineRule="atLeast"/>
        <w:rPr>
          <w:spacing w:val="-1"/>
          <w:sz w:val="24"/>
          <w:szCs w:val="24"/>
        </w:rPr>
      </w:pPr>
    </w:p>
    <w:tbl>
      <w:tblPr>
        <w:tblStyle w:val="Tabellrutnt"/>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702564" w:rsidRPr="00800964" w14:paraId="733701D3" w14:textId="77777777" w:rsidTr="00632FCC">
        <w:tc>
          <w:tcPr>
            <w:tcW w:w="3964" w:type="dxa"/>
          </w:tcPr>
          <w:p w14:paraId="620346CB" w14:textId="77777777" w:rsidR="00702564" w:rsidRPr="00800964" w:rsidRDefault="00702564" w:rsidP="00632FCC">
            <w:pPr>
              <w:rPr>
                <w:spacing w:val="-1"/>
                <w:sz w:val="24"/>
                <w:szCs w:val="24"/>
              </w:rPr>
            </w:pPr>
            <w:r w:rsidRPr="00800964">
              <w:rPr>
                <w:b/>
                <w:bCs/>
                <w:sz w:val="24"/>
                <w:szCs w:val="24"/>
              </w:rPr>
              <w:lastRenderedPageBreak/>
              <w:t>nat</w:t>
            </w:r>
            <w:r w:rsidRPr="00800964">
              <w:rPr>
                <w:b/>
                <w:bCs/>
                <w:spacing w:val="-1"/>
                <w:sz w:val="24"/>
                <w:szCs w:val="24"/>
              </w:rPr>
              <w:t>r</w:t>
            </w:r>
            <w:r w:rsidRPr="00800964">
              <w:rPr>
                <w:b/>
                <w:bCs/>
                <w:sz w:val="24"/>
                <w:szCs w:val="24"/>
              </w:rPr>
              <w:t>i</w:t>
            </w:r>
            <w:r w:rsidRPr="00800964">
              <w:rPr>
                <w:b/>
                <w:bCs/>
                <w:spacing w:val="-2"/>
                <w:sz w:val="24"/>
                <w:szCs w:val="24"/>
              </w:rPr>
              <w:t>um</w:t>
            </w:r>
            <w:r w:rsidRPr="00800964">
              <w:rPr>
                <w:b/>
                <w:bCs/>
                <w:spacing w:val="-3"/>
                <w:sz w:val="24"/>
                <w:szCs w:val="24"/>
              </w:rPr>
              <w:t>fl</w:t>
            </w:r>
            <w:r w:rsidRPr="00800964">
              <w:rPr>
                <w:b/>
                <w:bCs/>
                <w:sz w:val="24"/>
                <w:szCs w:val="24"/>
              </w:rPr>
              <w:t>u</w:t>
            </w:r>
            <w:r w:rsidRPr="00800964">
              <w:rPr>
                <w:b/>
                <w:bCs/>
                <w:spacing w:val="-6"/>
                <w:sz w:val="24"/>
                <w:szCs w:val="24"/>
              </w:rPr>
              <w:t>o</w:t>
            </w:r>
            <w:r w:rsidRPr="00800964">
              <w:rPr>
                <w:b/>
                <w:bCs/>
                <w:spacing w:val="-1"/>
                <w:sz w:val="24"/>
                <w:szCs w:val="24"/>
              </w:rPr>
              <w:t>r</w:t>
            </w:r>
            <w:r w:rsidRPr="00800964">
              <w:rPr>
                <w:b/>
                <w:bCs/>
                <w:spacing w:val="-3"/>
                <w:sz w:val="24"/>
                <w:szCs w:val="24"/>
              </w:rPr>
              <w:t>id</w:t>
            </w:r>
          </w:p>
        </w:tc>
        <w:tc>
          <w:tcPr>
            <w:tcW w:w="5245" w:type="dxa"/>
          </w:tcPr>
          <w:p w14:paraId="32BFC100" w14:textId="77777777" w:rsidR="00702564" w:rsidRPr="00800964" w:rsidRDefault="00702564" w:rsidP="00632FCC">
            <w:pPr>
              <w:rPr>
                <w:sz w:val="24"/>
                <w:szCs w:val="24"/>
              </w:rPr>
            </w:pPr>
            <w:r w:rsidRPr="00800964">
              <w:rPr>
                <w:spacing w:val="-1"/>
                <w:sz w:val="24"/>
                <w:szCs w:val="24"/>
              </w:rPr>
              <w:t>D</w:t>
            </w:r>
            <w:r w:rsidRPr="00800964">
              <w:rPr>
                <w:sz w:val="24"/>
                <w:szCs w:val="24"/>
              </w:rPr>
              <w:t>e</w:t>
            </w:r>
            <w:r w:rsidRPr="00800964">
              <w:rPr>
                <w:spacing w:val="-1"/>
                <w:sz w:val="24"/>
                <w:szCs w:val="24"/>
              </w:rPr>
              <w:t>nt</w:t>
            </w:r>
            <w:r w:rsidRPr="00800964">
              <w:rPr>
                <w:sz w:val="24"/>
                <w:szCs w:val="24"/>
              </w:rPr>
              <w:t>an</w:t>
            </w:r>
            <w:r w:rsidRPr="00800964">
              <w:rPr>
                <w:spacing w:val="-38"/>
                <w:sz w:val="24"/>
                <w:szCs w:val="24"/>
              </w:rPr>
              <w:t xml:space="preserve"> </w:t>
            </w:r>
            <w:r w:rsidRPr="00800964">
              <w:rPr>
                <w:spacing w:val="-1"/>
                <w:sz w:val="24"/>
                <w:szCs w:val="24"/>
              </w:rPr>
              <w:t>l</w:t>
            </w:r>
            <w:r w:rsidRPr="00800964">
              <w:rPr>
                <w:spacing w:val="-7"/>
                <w:sz w:val="24"/>
                <w:szCs w:val="24"/>
              </w:rPr>
              <w:t>ö</w:t>
            </w:r>
            <w:r w:rsidRPr="00800964">
              <w:rPr>
                <w:sz w:val="24"/>
                <w:szCs w:val="24"/>
              </w:rPr>
              <w:t>s</w:t>
            </w:r>
            <w:r w:rsidRPr="00800964">
              <w:rPr>
                <w:spacing w:val="-1"/>
                <w:sz w:val="24"/>
                <w:szCs w:val="24"/>
              </w:rPr>
              <w:t>n</w:t>
            </w:r>
            <w:r w:rsidRPr="00800964">
              <w:rPr>
                <w:spacing w:val="-3"/>
                <w:sz w:val="24"/>
                <w:szCs w:val="24"/>
              </w:rPr>
              <w:t>i</w:t>
            </w:r>
            <w:r w:rsidRPr="00800964">
              <w:rPr>
                <w:spacing w:val="-1"/>
                <w:sz w:val="24"/>
                <w:szCs w:val="24"/>
              </w:rPr>
              <w:t>ng</w:t>
            </w:r>
            <w:r w:rsidRPr="00800964">
              <w:rPr>
                <w:b/>
                <w:bCs/>
                <w:spacing w:val="-1"/>
                <w:sz w:val="24"/>
                <w:szCs w:val="24"/>
              </w:rPr>
              <w:t xml:space="preserve"> </w:t>
            </w:r>
            <w:r w:rsidRPr="00800964">
              <w:rPr>
                <w:spacing w:val="-1"/>
                <w:sz w:val="24"/>
                <w:szCs w:val="24"/>
              </w:rPr>
              <w:t>0,2 %</w:t>
            </w:r>
            <w:r w:rsidRPr="00800964">
              <w:rPr>
                <w:sz w:val="24"/>
                <w:szCs w:val="24"/>
              </w:rPr>
              <w:t xml:space="preserve"> </w:t>
            </w:r>
          </w:p>
          <w:p w14:paraId="015BDC05" w14:textId="77777777" w:rsidR="00702564" w:rsidRPr="00800964" w:rsidRDefault="00702564" w:rsidP="00632FCC">
            <w:pPr>
              <w:rPr>
                <w:sz w:val="24"/>
                <w:szCs w:val="24"/>
              </w:rPr>
            </w:pPr>
            <w:r w:rsidRPr="00800964">
              <w:rPr>
                <w:sz w:val="24"/>
                <w:szCs w:val="24"/>
              </w:rPr>
              <w:t>Duraphat tandkräm</w:t>
            </w:r>
            <w:r w:rsidRPr="00800964">
              <w:rPr>
                <w:b/>
                <w:bCs/>
                <w:sz w:val="24"/>
                <w:szCs w:val="24"/>
              </w:rPr>
              <w:t xml:space="preserve"> </w:t>
            </w:r>
            <w:r w:rsidRPr="00800964">
              <w:rPr>
                <w:sz w:val="24"/>
                <w:szCs w:val="24"/>
              </w:rPr>
              <w:t>5000ppm</w:t>
            </w:r>
          </w:p>
          <w:p w14:paraId="3C145614" w14:textId="77777777" w:rsidR="00702564" w:rsidRPr="00800964" w:rsidRDefault="00702564" w:rsidP="00632FCC">
            <w:pPr>
              <w:rPr>
                <w:spacing w:val="-1"/>
                <w:sz w:val="24"/>
                <w:szCs w:val="24"/>
              </w:rPr>
            </w:pPr>
            <w:r w:rsidRPr="00800964">
              <w:rPr>
                <w:spacing w:val="-3"/>
                <w:sz w:val="24"/>
                <w:szCs w:val="24"/>
              </w:rPr>
              <w:t>Top Dent Fluor dentalgel</w:t>
            </w:r>
            <w:r w:rsidRPr="00800964">
              <w:rPr>
                <w:b/>
                <w:bCs/>
                <w:spacing w:val="-3"/>
                <w:sz w:val="24"/>
                <w:szCs w:val="24"/>
              </w:rPr>
              <w:t xml:space="preserve"> </w:t>
            </w:r>
            <w:r w:rsidRPr="00800964">
              <w:rPr>
                <w:spacing w:val="-3"/>
                <w:sz w:val="24"/>
                <w:szCs w:val="24"/>
              </w:rPr>
              <w:t>(0,42 % F)</w:t>
            </w:r>
          </w:p>
        </w:tc>
      </w:tr>
    </w:tbl>
    <w:p w14:paraId="204DE8AD" w14:textId="77777777" w:rsidR="00702564" w:rsidRPr="00C22784" w:rsidRDefault="00702564" w:rsidP="00702564">
      <w:pPr>
        <w:pStyle w:val="Rubrik3"/>
      </w:pPr>
      <w:r w:rsidRPr="00C22784">
        <w:t>Muntorrhet</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702564" w:rsidRPr="00800964" w14:paraId="5FED74DC" w14:textId="77777777" w:rsidTr="00632FCC">
        <w:tc>
          <w:tcPr>
            <w:tcW w:w="3964" w:type="dxa"/>
          </w:tcPr>
          <w:p w14:paraId="67E3F369" w14:textId="77777777" w:rsidR="00702564" w:rsidRPr="00800964" w:rsidRDefault="00702564" w:rsidP="00632FCC">
            <w:pPr>
              <w:rPr>
                <w:spacing w:val="-1"/>
                <w:sz w:val="24"/>
                <w:szCs w:val="24"/>
              </w:rPr>
            </w:pPr>
            <w:r w:rsidRPr="00800964">
              <w:rPr>
                <w:spacing w:val="-1"/>
                <w:sz w:val="24"/>
                <w:szCs w:val="24"/>
              </w:rPr>
              <w:t>(salivstimulerande tabletter, handelsvara)</w:t>
            </w:r>
          </w:p>
        </w:tc>
        <w:tc>
          <w:tcPr>
            <w:tcW w:w="5245" w:type="dxa"/>
          </w:tcPr>
          <w:p w14:paraId="2EFDF6AF" w14:textId="77777777" w:rsidR="00702564" w:rsidRPr="00800964" w:rsidRDefault="00702564" w:rsidP="00632FCC">
            <w:pPr>
              <w:rPr>
                <w:spacing w:val="-1"/>
                <w:sz w:val="24"/>
                <w:szCs w:val="24"/>
              </w:rPr>
            </w:pPr>
            <w:r w:rsidRPr="00800964">
              <w:rPr>
                <w:rFonts w:eastAsia="Garamond" w:cs="Garamond"/>
                <w:bCs/>
                <w:spacing w:val="-1"/>
                <w:sz w:val="24"/>
                <w:szCs w:val="24"/>
              </w:rPr>
              <w:t>flera receptfria alternativ finns</w:t>
            </w:r>
            <w:r>
              <w:rPr>
                <w:rFonts w:eastAsia="Garamond" w:cs="Garamond"/>
                <w:bCs/>
                <w:spacing w:val="-1"/>
                <w:sz w:val="24"/>
                <w:szCs w:val="24"/>
              </w:rPr>
              <w:br/>
            </w:r>
          </w:p>
        </w:tc>
      </w:tr>
      <w:tr w:rsidR="00702564" w:rsidRPr="00800964" w14:paraId="7CF63F5B" w14:textId="77777777" w:rsidTr="00632FCC">
        <w:tc>
          <w:tcPr>
            <w:tcW w:w="3964" w:type="dxa"/>
          </w:tcPr>
          <w:p w14:paraId="33A8FB3B" w14:textId="77777777" w:rsidR="00702564" w:rsidRPr="00800964" w:rsidRDefault="00702564" w:rsidP="00632FCC">
            <w:pPr>
              <w:rPr>
                <w:spacing w:val="-1"/>
                <w:sz w:val="24"/>
                <w:szCs w:val="24"/>
              </w:rPr>
            </w:pPr>
            <w:r w:rsidRPr="00800964">
              <w:rPr>
                <w:spacing w:val="-1"/>
                <w:sz w:val="24"/>
                <w:szCs w:val="24"/>
              </w:rPr>
              <w:t>(fuktgel, handelsvara)</w:t>
            </w:r>
          </w:p>
        </w:tc>
        <w:tc>
          <w:tcPr>
            <w:tcW w:w="5245" w:type="dxa"/>
          </w:tcPr>
          <w:p w14:paraId="74BAE211" w14:textId="77777777" w:rsidR="00702564" w:rsidRPr="00800964" w:rsidRDefault="00702564" w:rsidP="00632FCC">
            <w:pPr>
              <w:rPr>
                <w:rFonts w:eastAsia="Garamond" w:cs="Garamond"/>
                <w:bCs/>
                <w:sz w:val="24"/>
                <w:szCs w:val="24"/>
              </w:rPr>
            </w:pPr>
            <w:r w:rsidRPr="00800964">
              <w:rPr>
                <w:rFonts w:eastAsia="Garamond" w:cs="Garamond"/>
                <w:bCs/>
                <w:sz w:val="24"/>
                <w:szCs w:val="24"/>
              </w:rPr>
              <w:t>GUM Hydral gel</w:t>
            </w:r>
          </w:p>
          <w:p w14:paraId="407FABFF" w14:textId="77777777" w:rsidR="00702564" w:rsidRPr="00800964" w:rsidRDefault="00702564" w:rsidP="00632FCC">
            <w:pPr>
              <w:rPr>
                <w:rFonts w:eastAsia="Garamond" w:cs="Garamond"/>
                <w:bCs/>
                <w:spacing w:val="-1"/>
                <w:sz w:val="24"/>
                <w:szCs w:val="24"/>
              </w:rPr>
            </w:pPr>
            <w:r w:rsidRPr="00800964">
              <w:rPr>
                <w:rFonts w:eastAsia="Garamond" w:cs="Garamond"/>
                <w:bCs/>
                <w:sz w:val="24"/>
                <w:szCs w:val="24"/>
              </w:rPr>
              <w:t>Proxident munfuktgel</w:t>
            </w:r>
            <w:r>
              <w:rPr>
                <w:rFonts w:eastAsia="Garamond" w:cs="Garamond"/>
                <w:bCs/>
                <w:sz w:val="24"/>
                <w:szCs w:val="24"/>
              </w:rPr>
              <w:br/>
            </w:r>
          </w:p>
        </w:tc>
      </w:tr>
      <w:tr w:rsidR="00702564" w:rsidRPr="00800964" w14:paraId="30D9A3B6" w14:textId="77777777" w:rsidTr="00632FCC">
        <w:tc>
          <w:tcPr>
            <w:tcW w:w="3964" w:type="dxa"/>
          </w:tcPr>
          <w:p w14:paraId="0DE99194" w14:textId="77777777" w:rsidR="00702564" w:rsidRPr="00800964" w:rsidRDefault="00702564" w:rsidP="00632FCC">
            <w:pPr>
              <w:rPr>
                <w:spacing w:val="-1"/>
                <w:sz w:val="24"/>
                <w:szCs w:val="24"/>
              </w:rPr>
            </w:pPr>
            <w:r w:rsidRPr="00800964">
              <w:rPr>
                <w:b/>
                <w:bCs/>
                <w:sz w:val="24"/>
                <w:szCs w:val="24"/>
              </w:rPr>
              <w:t>natriumfluorid</w:t>
            </w:r>
          </w:p>
        </w:tc>
        <w:tc>
          <w:tcPr>
            <w:tcW w:w="5245" w:type="dxa"/>
          </w:tcPr>
          <w:p w14:paraId="548296A2" w14:textId="77777777" w:rsidR="00702564" w:rsidRPr="00800964" w:rsidRDefault="00702564" w:rsidP="00632FCC">
            <w:pPr>
              <w:rPr>
                <w:rFonts w:eastAsia="Garamond" w:cs="Garamond"/>
                <w:bCs/>
                <w:sz w:val="24"/>
                <w:szCs w:val="24"/>
              </w:rPr>
            </w:pPr>
            <w:r w:rsidRPr="00800964">
              <w:rPr>
                <w:rFonts w:eastAsia="Garamond" w:cs="Garamond"/>
                <w:bCs/>
                <w:sz w:val="24"/>
                <w:szCs w:val="24"/>
              </w:rPr>
              <w:t>Saliversättningsmedel med natriumfluorid APL 0,02%</w:t>
            </w:r>
            <w:r>
              <w:rPr>
                <w:rFonts w:eastAsia="Garamond" w:cs="Garamond"/>
                <w:bCs/>
                <w:sz w:val="24"/>
                <w:szCs w:val="24"/>
              </w:rPr>
              <w:br/>
            </w:r>
          </w:p>
        </w:tc>
      </w:tr>
    </w:tbl>
    <w:p w14:paraId="286A554F" w14:textId="77777777" w:rsidR="00702564" w:rsidRPr="00C22784" w:rsidRDefault="00702564" w:rsidP="00702564">
      <w:pPr>
        <w:pStyle w:val="Rubrik3"/>
      </w:pPr>
      <w:r w:rsidRPr="00C22784">
        <w:t>Lokalanestetika</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1936"/>
        <w:gridCol w:w="5272"/>
      </w:tblGrid>
      <w:tr w:rsidR="00702564" w:rsidRPr="00800964" w14:paraId="276F5D9A" w14:textId="77777777" w:rsidTr="00632FCC">
        <w:tc>
          <w:tcPr>
            <w:tcW w:w="2023" w:type="dxa"/>
          </w:tcPr>
          <w:p w14:paraId="12578986" w14:textId="77777777" w:rsidR="00702564" w:rsidRPr="00800964" w:rsidRDefault="00702564" w:rsidP="00632FCC">
            <w:pPr>
              <w:rPr>
                <w:rFonts w:cs="Arial"/>
                <w:b/>
                <w:bCs/>
                <w:sz w:val="24"/>
                <w:szCs w:val="28"/>
              </w:rPr>
            </w:pPr>
            <w:r w:rsidRPr="00800964">
              <w:rPr>
                <w:rFonts w:eastAsia="Garamond" w:cs="Garamond"/>
                <w:b/>
                <w:bCs/>
                <w:iCs/>
                <w:sz w:val="24"/>
                <w:szCs w:val="28"/>
              </w:rPr>
              <w:t>b</w:t>
            </w:r>
            <w:r w:rsidRPr="00800964">
              <w:rPr>
                <w:rFonts w:eastAsia="Garamond" w:cs="Garamond"/>
                <w:b/>
                <w:bCs/>
                <w:iCs/>
                <w:spacing w:val="-1"/>
                <w:sz w:val="24"/>
                <w:szCs w:val="28"/>
              </w:rPr>
              <w:t>e</w:t>
            </w:r>
            <w:r w:rsidRPr="00800964">
              <w:rPr>
                <w:rFonts w:eastAsia="Garamond" w:cs="Garamond"/>
                <w:b/>
                <w:bCs/>
                <w:iCs/>
                <w:sz w:val="24"/>
                <w:szCs w:val="28"/>
              </w:rPr>
              <w:t>nz</w:t>
            </w:r>
            <w:r w:rsidRPr="00800964">
              <w:rPr>
                <w:rFonts w:eastAsia="Garamond" w:cs="Garamond"/>
                <w:b/>
                <w:bCs/>
                <w:iCs/>
                <w:spacing w:val="-9"/>
                <w:sz w:val="24"/>
                <w:szCs w:val="28"/>
              </w:rPr>
              <w:t>y</w:t>
            </w:r>
            <w:r w:rsidRPr="00800964">
              <w:rPr>
                <w:rFonts w:eastAsia="Garamond" w:cs="Garamond"/>
                <w:b/>
                <w:bCs/>
                <w:iCs/>
                <w:sz w:val="24"/>
                <w:szCs w:val="28"/>
              </w:rPr>
              <w:t>d</w:t>
            </w:r>
            <w:r w:rsidRPr="00800964">
              <w:rPr>
                <w:rFonts w:eastAsia="Garamond" w:cs="Garamond"/>
                <w:b/>
                <w:bCs/>
                <w:iCs/>
                <w:spacing w:val="-2"/>
                <w:sz w:val="24"/>
                <w:szCs w:val="28"/>
              </w:rPr>
              <w:t>a</w:t>
            </w:r>
            <w:r w:rsidRPr="00800964">
              <w:rPr>
                <w:rFonts w:eastAsia="Garamond" w:cs="Garamond"/>
                <w:b/>
                <w:bCs/>
                <w:iCs/>
                <w:spacing w:val="1"/>
                <w:sz w:val="24"/>
                <w:szCs w:val="28"/>
              </w:rPr>
              <w:t>m</w:t>
            </w:r>
            <w:r w:rsidRPr="00800964">
              <w:rPr>
                <w:rFonts w:eastAsia="Garamond" w:cs="Garamond"/>
                <w:b/>
                <w:bCs/>
                <w:iCs/>
                <w:spacing w:val="-3"/>
                <w:sz w:val="24"/>
                <w:szCs w:val="28"/>
              </w:rPr>
              <w:t>in</w:t>
            </w:r>
          </w:p>
        </w:tc>
        <w:tc>
          <w:tcPr>
            <w:tcW w:w="1941" w:type="dxa"/>
          </w:tcPr>
          <w:p w14:paraId="43439AA5" w14:textId="77777777" w:rsidR="00702564" w:rsidRPr="00800964" w:rsidRDefault="00702564" w:rsidP="00632FCC">
            <w:pPr>
              <w:rPr>
                <w:rFonts w:cs="Arial"/>
                <w:b/>
                <w:bCs/>
                <w:sz w:val="24"/>
                <w:szCs w:val="28"/>
              </w:rPr>
            </w:pPr>
            <w:r w:rsidRPr="00800964">
              <w:rPr>
                <w:rFonts w:eastAsia="Garamond" w:cs="Garamond"/>
                <w:sz w:val="24"/>
                <w:szCs w:val="28"/>
              </w:rPr>
              <w:t>A</w:t>
            </w:r>
            <w:r w:rsidRPr="00800964">
              <w:rPr>
                <w:rFonts w:eastAsia="Garamond" w:cs="Garamond"/>
                <w:spacing w:val="-1"/>
                <w:sz w:val="24"/>
                <w:szCs w:val="28"/>
              </w:rPr>
              <w:t>ndo</w:t>
            </w:r>
            <w:r w:rsidRPr="00800964">
              <w:rPr>
                <w:rFonts w:eastAsia="Garamond" w:cs="Garamond"/>
                <w:spacing w:val="-3"/>
                <w:sz w:val="24"/>
                <w:szCs w:val="28"/>
              </w:rPr>
              <w:t>l</w:t>
            </w:r>
            <w:r w:rsidRPr="00800964">
              <w:rPr>
                <w:rFonts w:eastAsia="Garamond" w:cs="Garamond"/>
                <w:sz w:val="24"/>
                <w:szCs w:val="28"/>
              </w:rPr>
              <w:t>ex</w:t>
            </w:r>
          </w:p>
        </w:tc>
        <w:tc>
          <w:tcPr>
            <w:tcW w:w="5288" w:type="dxa"/>
          </w:tcPr>
          <w:p w14:paraId="139071ED" w14:textId="77777777" w:rsidR="00702564" w:rsidRPr="00800964" w:rsidRDefault="00702564" w:rsidP="00632FCC">
            <w:pPr>
              <w:rPr>
                <w:rFonts w:cs="Arial"/>
                <w:b/>
                <w:bCs/>
                <w:sz w:val="24"/>
                <w:szCs w:val="28"/>
              </w:rPr>
            </w:pPr>
            <w:r w:rsidRPr="00800964">
              <w:rPr>
                <w:spacing w:val="-1"/>
                <w:sz w:val="24"/>
                <w:szCs w:val="28"/>
              </w:rPr>
              <w:t>H</w:t>
            </w:r>
            <w:r w:rsidRPr="00800964">
              <w:rPr>
                <w:sz w:val="24"/>
                <w:szCs w:val="28"/>
              </w:rPr>
              <w:t>ar</w:t>
            </w:r>
            <w:r w:rsidRPr="00800964">
              <w:rPr>
                <w:spacing w:val="-22"/>
                <w:sz w:val="24"/>
                <w:szCs w:val="28"/>
              </w:rPr>
              <w:t xml:space="preserve"> </w:t>
            </w:r>
            <w:r w:rsidRPr="00800964">
              <w:rPr>
                <w:sz w:val="24"/>
                <w:szCs w:val="28"/>
              </w:rPr>
              <w:t>bå</w:t>
            </w:r>
            <w:r w:rsidRPr="00800964">
              <w:rPr>
                <w:spacing w:val="-3"/>
                <w:sz w:val="24"/>
                <w:szCs w:val="28"/>
              </w:rPr>
              <w:t>d</w:t>
            </w:r>
            <w:r w:rsidRPr="00800964">
              <w:rPr>
                <w:sz w:val="24"/>
                <w:szCs w:val="28"/>
              </w:rPr>
              <w:t>e</w:t>
            </w:r>
            <w:r w:rsidRPr="00800964">
              <w:rPr>
                <w:spacing w:val="-16"/>
                <w:sz w:val="24"/>
                <w:szCs w:val="28"/>
              </w:rPr>
              <w:t xml:space="preserve"> </w:t>
            </w:r>
            <w:r w:rsidRPr="00800964">
              <w:rPr>
                <w:spacing w:val="-7"/>
                <w:sz w:val="24"/>
                <w:szCs w:val="28"/>
              </w:rPr>
              <w:t>l</w:t>
            </w:r>
            <w:r w:rsidRPr="00800964">
              <w:rPr>
                <w:spacing w:val="-1"/>
                <w:sz w:val="24"/>
                <w:szCs w:val="28"/>
              </w:rPr>
              <w:t>o</w:t>
            </w:r>
            <w:r w:rsidRPr="00800964">
              <w:rPr>
                <w:sz w:val="24"/>
                <w:szCs w:val="28"/>
              </w:rPr>
              <w:t>ka</w:t>
            </w:r>
            <w:r w:rsidRPr="00800964">
              <w:rPr>
                <w:spacing w:val="-7"/>
                <w:sz w:val="24"/>
                <w:szCs w:val="28"/>
              </w:rPr>
              <w:t>l</w:t>
            </w:r>
            <w:r w:rsidRPr="00800964">
              <w:rPr>
                <w:spacing w:val="-2"/>
                <w:sz w:val="24"/>
                <w:szCs w:val="28"/>
              </w:rPr>
              <w:t>a</w:t>
            </w:r>
            <w:r w:rsidRPr="00800964">
              <w:rPr>
                <w:spacing w:val="-3"/>
                <w:sz w:val="24"/>
                <w:szCs w:val="28"/>
              </w:rPr>
              <w:t>n</w:t>
            </w:r>
            <w:r w:rsidRPr="00800964">
              <w:rPr>
                <w:spacing w:val="-2"/>
                <w:sz w:val="24"/>
                <w:szCs w:val="28"/>
              </w:rPr>
              <w:t>e</w:t>
            </w:r>
            <w:r w:rsidRPr="00800964">
              <w:rPr>
                <w:spacing w:val="-7"/>
                <w:sz w:val="24"/>
                <w:szCs w:val="28"/>
              </w:rPr>
              <w:t>s</w:t>
            </w:r>
            <w:r w:rsidRPr="00800964">
              <w:rPr>
                <w:sz w:val="24"/>
                <w:szCs w:val="28"/>
              </w:rPr>
              <w:t>t</w:t>
            </w:r>
            <w:r w:rsidRPr="00800964">
              <w:rPr>
                <w:spacing w:val="-2"/>
                <w:sz w:val="24"/>
                <w:szCs w:val="28"/>
              </w:rPr>
              <w:t>e</w:t>
            </w:r>
            <w:r w:rsidRPr="00800964">
              <w:rPr>
                <w:spacing w:val="-1"/>
                <w:sz w:val="24"/>
                <w:szCs w:val="28"/>
              </w:rPr>
              <w:t>t</w:t>
            </w:r>
            <w:r w:rsidRPr="00800964">
              <w:rPr>
                <w:sz w:val="24"/>
                <w:szCs w:val="28"/>
              </w:rPr>
              <w:t>i</w:t>
            </w:r>
            <w:r w:rsidRPr="00800964">
              <w:rPr>
                <w:spacing w:val="-7"/>
                <w:sz w:val="24"/>
                <w:szCs w:val="28"/>
              </w:rPr>
              <w:t>s</w:t>
            </w:r>
            <w:r w:rsidRPr="00800964">
              <w:rPr>
                <w:sz w:val="24"/>
                <w:szCs w:val="28"/>
              </w:rPr>
              <w:t>k</w:t>
            </w:r>
            <w:r w:rsidRPr="00800964">
              <w:rPr>
                <w:spacing w:val="-16"/>
                <w:sz w:val="24"/>
                <w:szCs w:val="28"/>
              </w:rPr>
              <w:t xml:space="preserve"> </w:t>
            </w:r>
            <w:r w:rsidRPr="00800964">
              <w:rPr>
                <w:spacing w:val="-8"/>
                <w:sz w:val="24"/>
                <w:szCs w:val="28"/>
              </w:rPr>
              <w:t>o</w:t>
            </w:r>
            <w:r w:rsidRPr="00800964">
              <w:rPr>
                <w:sz w:val="24"/>
                <w:szCs w:val="28"/>
              </w:rPr>
              <w:t>ch</w:t>
            </w:r>
            <w:r w:rsidRPr="00800964">
              <w:rPr>
                <w:spacing w:val="-19"/>
                <w:sz w:val="24"/>
                <w:szCs w:val="28"/>
              </w:rPr>
              <w:t xml:space="preserve"> </w:t>
            </w:r>
            <w:r w:rsidRPr="00800964">
              <w:rPr>
                <w:sz w:val="24"/>
                <w:szCs w:val="28"/>
              </w:rPr>
              <w:t>a</w:t>
            </w:r>
            <w:r w:rsidRPr="00800964">
              <w:rPr>
                <w:spacing w:val="-1"/>
                <w:sz w:val="24"/>
                <w:szCs w:val="28"/>
              </w:rPr>
              <w:t>n</w:t>
            </w:r>
            <w:r w:rsidRPr="00800964">
              <w:rPr>
                <w:spacing w:val="-3"/>
                <w:sz w:val="24"/>
                <w:szCs w:val="28"/>
              </w:rPr>
              <w:t>t</w:t>
            </w:r>
            <w:r w:rsidRPr="00800964">
              <w:rPr>
                <w:sz w:val="24"/>
                <w:szCs w:val="28"/>
              </w:rPr>
              <w:t>i</w:t>
            </w:r>
            <w:r w:rsidRPr="00800964">
              <w:rPr>
                <w:spacing w:val="-3"/>
                <w:sz w:val="24"/>
                <w:szCs w:val="28"/>
              </w:rPr>
              <w:t>i</w:t>
            </w:r>
            <w:r w:rsidRPr="00800964">
              <w:rPr>
                <w:sz w:val="24"/>
                <w:szCs w:val="28"/>
              </w:rPr>
              <w:t>n</w:t>
            </w:r>
            <w:r w:rsidRPr="00800964">
              <w:rPr>
                <w:spacing w:val="-1"/>
                <w:sz w:val="24"/>
                <w:szCs w:val="28"/>
              </w:rPr>
              <w:t>f</w:t>
            </w:r>
            <w:r w:rsidRPr="00800964">
              <w:rPr>
                <w:spacing w:val="-5"/>
                <w:sz w:val="24"/>
                <w:szCs w:val="28"/>
              </w:rPr>
              <w:t>l</w:t>
            </w:r>
            <w:r w:rsidRPr="00800964">
              <w:rPr>
                <w:spacing w:val="-2"/>
                <w:sz w:val="24"/>
                <w:szCs w:val="28"/>
              </w:rPr>
              <w:t>a</w:t>
            </w:r>
            <w:r w:rsidRPr="00800964">
              <w:rPr>
                <w:spacing w:val="-1"/>
                <w:sz w:val="24"/>
                <w:szCs w:val="28"/>
              </w:rPr>
              <w:t>m</w:t>
            </w:r>
            <w:r w:rsidRPr="00800964">
              <w:rPr>
                <w:spacing w:val="-3"/>
                <w:sz w:val="24"/>
                <w:szCs w:val="28"/>
              </w:rPr>
              <w:t>m</w:t>
            </w:r>
            <w:r w:rsidRPr="00800964">
              <w:rPr>
                <w:spacing w:val="-2"/>
                <w:sz w:val="24"/>
                <w:szCs w:val="28"/>
              </w:rPr>
              <w:t>a</w:t>
            </w:r>
            <w:r w:rsidRPr="00800964">
              <w:rPr>
                <w:spacing w:val="-1"/>
                <w:sz w:val="24"/>
                <w:szCs w:val="28"/>
              </w:rPr>
              <w:t>t</w:t>
            </w:r>
            <w:r w:rsidRPr="00800964">
              <w:rPr>
                <w:sz w:val="24"/>
                <w:szCs w:val="28"/>
              </w:rPr>
              <w:t>o</w:t>
            </w:r>
            <w:r w:rsidRPr="00800964">
              <w:rPr>
                <w:spacing w:val="-1"/>
                <w:sz w:val="24"/>
                <w:szCs w:val="28"/>
              </w:rPr>
              <w:t>r</w:t>
            </w:r>
            <w:r w:rsidRPr="00800964">
              <w:rPr>
                <w:spacing w:val="-3"/>
                <w:sz w:val="24"/>
                <w:szCs w:val="28"/>
              </w:rPr>
              <w:t>i</w:t>
            </w:r>
            <w:r w:rsidRPr="00800964">
              <w:rPr>
                <w:spacing w:val="-7"/>
                <w:sz w:val="24"/>
                <w:szCs w:val="28"/>
              </w:rPr>
              <w:t>s</w:t>
            </w:r>
            <w:r w:rsidRPr="00800964">
              <w:rPr>
                <w:sz w:val="24"/>
                <w:szCs w:val="28"/>
              </w:rPr>
              <w:t>k</w:t>
            </w:r>
            <w:r w:rsidRPr="00800964">
              <w:rPr>
                <w:spacing w:val="-18"/>
                <w:sz w:val="24"/>
                <w:szCs w:val="28"/>
              </w:rPr>
              <w:t xml:space="preserve"> </w:t>
            </w:r>
            <w:r w:rsidRPr="00800964">
              <w:rPr>
                <w:sz w:val="24"/>
                <w:szCs w:val="28"/>
              </w:rPr>
              <w:t>e</w:t>
            </w:r>
            <w:r w:rsidRPr="00800964">
              <w:rPr>
                <w:spacing w:val="-9"/>
                <w:sz w:val="24"/>
                <w:szCs w:val="28"/>
              </w:rPr>
              <w:t>f</w:t>
            </w:r>
            <w:r w:rsidRPr="00800964">
              <w:rPr>
                <w:spacing w:val="-1"/>
                <w:sz w:val="24"/>
                <w:szCs w:val="28"/>
              </w:rPr>
              <w:t>f</w:t>
            </w:r>
            <w:r w:rsidRPr="00800964">
              <w:rPr>
                <w:spacing w:val="-8"/>
                <w:sz w:val="24"/>
                <w:szCs w:val="28"/>
              </w:rPr>
              <w:t>e</w:t>
            </w:r>
            <w:r w:rsidRPr="00800964">
              <w:rPr>
                <w:sz w:val="24"/>
                <w:szCs w:val="28"/>
              </w:rPr>
              <w:t>k</w:t>
            </w:r>
            <w:r w:rsidRPr="00800964">
              <w:rPr>
                <w:spacing w:val="-1"/>
                <w:sz w:val="24"/>
                <w:szCs w:val="28"/>
              </w:rPr>
              <w:t>t</w:t>
            </w:r>
            <w:r w:rsidRPr="00800964">
              <w:rPr>
                <w:sz w:val="24"/>
                <w:szCs w:val="28"/>
              </w:rPr>
              <w:t>. Ko</w:t>
            </w:r>
            <w:r w:rsidRPr="00800964">
              <w:rPr>
                <w:spacing w:val="-1"/>
                <w:sz w:val="24"/>
                <w:szCs w:val="28"/>
              </w:rPr>
              <w:t>r</w:t>
            </w:r>
            <w:r w:rsidRPr="00800964">
              <w:rPr>
                <w:spacing w:val="-3"/>
                <w:sz w:val="24"/>
                <w:szCs w:val="28"/>
              </w:rPr>
              <w:t>t</w:t>
            </w:r>
            <w:r w:rsidRPr="00800964">
              <w:rPr>
                <w:spacing w:val="-1"/>
                <w:sz w:val="24"/>
                <w:szCs w:val="28"/>
              </w:rPr>
              <w:t>t</w:t>
            </w:r>
            <w:r w:rsidRPr="00800964">
              <w:rPr>
                <w:sz w:val="24"/>
                <w:szCs w:val="28"/>
              </w:rPr>
              <w:t>i</w:t>
            </w:r>
            <w:r w:rsidRPr="00800964">
              <w:rPr>
                <w:spacing w:val="-1"/>
                <w:sz w:val="24"/>
                <w:szCs w:val="28"/>
              </w:rPr>
              <w:t>d</w:t>
            </w:r>
            <w:r w:rsidRPr="00800964">
              <w:rPr>
                <w:spacing w:val="-7"/>
                <w:sz w:val="24"/>
                <w:szCs w:val="28"/>
              </w:rPr>
              <w:t>s</w:t>
            </w:r>
            <w:r w:rsidRPr="00800964">
              <w:rPr>
                <w:spacing w:val="-3"/>
                <w:sz w:val="24"/>
                <w:szCs w:val="28"/>
              </w:rPr>
              <w:t>b</w:t>
            </w:r>
            <w:r w:rsidRPr="00800964">
              <w:rPr>
                <w:sz w:val="24"/>
                <w:szCs w:val="28"/>
              </w:rPr>
              <w:t>ehandling</w:t>
            </w:r>
            <w:r w:rsidRPr="00800964">
              <w:rPr>
                <w:spacing w:val="-11"/>
                <w:sz w:val="24"/>
                <w:szCs w:val="28"/>
              </w:rPr>
              <w:t xml:space="preserve"> </w:t>
            </w:r>
            <w:r w:rsidRPr="00800964">
              <w:rPr>
                <w:sz w:val="24"/>
                <w:szCs w:val="28"/>
              </w:rPr>
              <w:t>av</w:t>
            </w:r>
            <w:r w:rsidRPr="00800964">
              <w:rPr>
                <w:spacing w:val="-12"/>
                <w:sz w:val="24"/>
                <w:szCs w:val="28"/>
              </w:rPr>
              <w:t xml:space="preserve"> </w:t>
            </w:r>
            <w:r w:rsidRPr="00800964">
              <w:rPr>
                <w:spacing w:val="-5"/>
                <w:sz w:val="24"/>
                <w:szCs w:val="28"/>
              </w:rPr>
              <w:t>l</w:t>
            </w:r>
            <w:r w:rsidRPr="00800964">
              <w:rPr>
                <w:spacing w:val="-1"/>
                <w:sz w:val="24"/>
                <w:szCs w:val="28"/>
              </w:rPr>
              <w:t>o</w:t>
            </w:r>
            <w:r w:rsidRPr="00800964">
              <w:rPr>
                <w:spacing w:val="-11"/>
                <w:sz w:val="24"/>
                <w:szCs w:val="28"/>
              </w:rPr>
              <w:t>k</w:t>
            </w:r>
            <w:r w:rsidRPr="00800964">
              <w:rPr>
                <w:sz w:val="24"/>
                <w:szCs w:val="28"/>
              </w:rPr>
              <w:t>ala</w:t>
            </w:r>
            <w:r w:rsidRPr="00800964">
              <w:rPr>
                <w:spacing w:val="-9"/>
                <w:sz w:val="24"/>
                <w:szCs w:val="28"/>
              </w:rPr>
              <w:t xml:space="preserve"> </w:t>
            </w:r>
            <w:r w:rsidRPr="00800964">
              <w:rPr>
                <w:spacing w:val="-7"/>
                <w:sz w:val="24"/>
                <w:szCs w:val="28"/>
              </w:rPr>
              <w:t>s</w:t>
            </w:r>
            <w:r w:rsidRPr="00800964">
              <w:rPr>
                <w:spacing w:val="-3"/>
                <w:sz w:val="24"/>
                <w:szCs w:val="28"/>
              </w:rPr>
              <w:t>m</w:t>
            </w:r>
            <w:r w:rsidRPr="00800964">
              <w:rPr>
                <w:sz w:val="24"/>
                <w:szCs w:val="28"/>
              </w:rPr>
              <w:t>ä</w:t>
            </w:r>
            <w:r w:rsidRPr="00800964">
              <w:rPr>
                <w:spacing w:val="-1"/>
                <w:sz w:val="24"/>
                <w:szCs w:val="28"/>
              </w:rPr>
              <w:t>r</w:t>
            </w:r>
            <w:r w:rsidRPr="00800964">
              <w:rPr>
                <w:spacing w:val="-3"/>
                <w:sz w:val="24"/>
                <w:szCs w:val="28"/>
              </w:rPr>
              <w:t>t</w:t>
            </w:r>
            <w:r w:rsidRPr="00800964">
              <w:rPr>
                <w:spacing w:val="-1"/>
                <w:sz w:val="24"/>
                <w:szCs w:val="28"/>
              </w:rPr>
              <w:t>t</w:t>
            </w:r>
            <w:r w:rsidRPr="00800964">
              <w:rPr>
                <w:sz w:val="24"/>
                <w:szCs w:val="28"/>
              </w:rPr>
              <w:t>i</w:t>
            </w:r>
            <w:r w:rsidRPr="00800964">
              <w:rPr>
                <w:spacing w:val="-3"/>
                <w:sz w:val="24"/>
                <w:szCs w:val="28"/>
              </w:rPr>
              <w:t>l</w:t>
            </w:r>
            <w:r w:rsidRPr="00800964">
              <w:rPr>
                <w:sz w:val="24"/>
                <w:szCs w:val="28"/>
              </w:rPr>
              <w:t>l</w:t>
            </w:r>
            <w:r w:rsidRPr="00800964">
              <w:rPr>
                <w:spacing w:val="-7"/>
                <w:sz w:val="24"/>
                <w:szCs w:val="28"/>
              </w:rPr>
              <w:t>s</w:t>
            </w:r>
            <w:r w:rsidRPr="00800964">
              <w:rPr>
                <w:spacing w:val="-3"/>
                <w:sz w:val="24"/>
                <w:szCs w:val="28"/>
              </w:rPr>
              <w:t>t</w:t>
            </w:r>
            <w:r w:rsidRPr="00800964">
              <w:rPr>
                <w:sz w:val="24"/>
                <w:szCs w:val="28"/>
              </w:rPr>
              <w:t>ånd</w:t>
            </w:r>
            <w:r w:rsidRPr="00800964">
              <w:rPr>
                <w:spacing w:val="-11"/>
                <w:sz w:val="24"/>
                <w:szCs w:val="28"/>
              </w:rPr>
              <w:t xml:space="preserve"> </w:t>
            </w:r>
            <w:r w:rsidRPr="00800964">
              <w:rPr>
                <w:sz w:val="24"/>
                <w:szCs w:val="28"/>
              </w:rPr>
              <w:t>i</w:t>
            </w:r>
            <w:r w:rsidRPr="00800964">
              <w:rPr>
                <w:spacing w:val="-10"/>
                <w:sz w:val="24"/>
                <w:szCs w:val="28"/>
              </w:rPr>
              <w:t xml:space="preserve"> </w:t>
            </w:r>
            <w:r w:rsidRPr="00800964">
              <w:rPr>
                <w:spacing w:val="-1"/>
                <w:sz w:val="24"/>
                <w:szCs w:val="28"/>
              </w:rPr>
              <w:t>m</w:t>
            </w:r>
            <w:r w:rsidRPr="00800964">
              <w:rPr>
                <w:sz w:val="24"/>
                <w:szCs w:val="28"/>
              </w:rPr>
              <w:t>un</w:t>
            </w:r>
            <w:r w:rsidRPr="00800964">
              <w:rPr>
                <w:spacing w:val="-8"/>
                <w:sz w:val="24"/>
                <w:szCs w:val="28"/>
              </w:rPr>
              <w:t>h</w:t>
            </w:r>
            <w:r w:rsidRPr="00800964">
              <w:rPr>
                <w:sz w:val="24"/>
                <w:szCs w:val="28"/>
              </w:rPr>
              <w:t>å</w:t>
            </w:r>
            <w:r w:rsidRPr="00800964">
              <w:rPr>
                <w:spacing w:val="-7"/>
                <w:sz w:val="24"/>
                <w:szCs w:val="28"/>
              </w:rPr>
              <w:t>l</w:t>
            </w:r>
            <w:r w:rsidRPr="00800964">
              <w:rPr>
                <w:sz w:val="24"/>
                <w:szCs w:val="28"/>
              </w:rPr>
              <w:t>a,</w:t>
            </w:r>
            <w:r w:rsidRPr="00800964">
              <w:rPr>
                <w:spacing w:val="-12"/>
                <w:sz w:val="24"/>
                <w:szCs w:val="28"/>
              </w:rPr>
              <w:t xml:space="preserve"> </w:t>
            </w:r>
            <w:r w:rsidRPr="00800964">
              <w:rPr>
                <w:spacing w:val="-7"/>
                <w:sz w:val="24"/>
                <w:szCs w:val="28"/>
              </w:rPr>
              <w:t>s</w:t>
            </w:r>
            <w:r w:rsidRPr="00800964">
              <w:rPr>
                <w:sz w:val="24"/>
                <w:szCs w:val="28"/>
              </w:rPr>
              <w:t>val</w:t>
            </w:r>
            <w:r w:rsidRPr="00800964">
              <w:rPr>
                <w:spacing w:val="-2"/>
                <w:sz w:val="24"/>
                <w:szCs w:val="28"/>
              </w:rPr>
              <w:t>g</w:t>
            </w:r>
            <w:r w:rsidRPr="00800964">
              <w:rPr>
                <w:sz w:val="24"/>
                <w:szCs w:val="28"/>
              </w:rPr>
              <w:t>.</w:t>
            </w:r>
            <w:r w:rsidRPr="00800964">
              <w:rPr>
                <w:spacing w:val="-9"/>
                <w:sz w:val="24"/>
                <w:szCs w:val="28"/>
              </w:rPr>
              <w:t xml:space="preserve"> </w:t>
            </w:r>
            <w:r w:rsidRPr="00800964">
              <w:rPr>
                <w:sz w:val="24"/>
                <w:szCs w:val="28"/>
              </w:rPr>
              <w:t>U</w:t>
            </w:r>
            <w:r w:rsidRPr="00800964">
              <w:rPr>
                <w:spacing w:val="-1"/>
                <w:sz w:val="24"/>
                <w:szCs w:val="28"/>
              </w:rPr>
              <w:t>n</w:t>
            </w:r>
            <w:r w:rsidRPr="00800964">
              <w:rPr>
                <w:spacing w:val="-5"/>
                <w:sz w:val="24"/>
                <w:szCs w:val="28"/>
              </w:rPr>
              <w:t>d</w:t>
            </w:r>
            <w:r w:rsidRPr="00800964">
              <w:rPr>
                <w:sz w:val="24"/>
                <w:szCs w:val="28"/>
              </w:rPr>
              <w:t>e</w:t>
            </w:r>
            <w:r w:rsidRPr="00800964">
              <w:rPr>
                <w:spacing w:val="-1"/>
                <w:sz w:val="24"/>
                <w:szCs w:val="28"/>
              </w:rPr>
              <w:t>r</w:t>
            </w:r>
            <w:r w:rsidRPr="00800964">
              <w:rPr>
                <w:spacing w:val="-5"/>
                <w:sz w:val="24"/>
                <w:szCs w:val="28"/>
              </w:rPr>
              <w:t>l</w:t>
            </w:r>
            <w:r w:rsidRPr="00800964">
              <w:rPr>
                <w:spacing w:val="-2"/>
                <w:sz w:val="24"/>
                <w:szCs w:val="28"/>
              </w:rPr>
              <w:t>ä</w:t>
            </w:r>
            <w:r w:rsidRPr="00800964">
              <w:rPr>
                <w:spacing w:val="-3"/>
                <w:sz w:val="24"/>
                <w:szCs w:val="28"/>
              </w:rPr>
              <w:t>t</w:t>
            </w:r>
            <w:r w:rsidRPr="00800964">
              <w:rPr>
                <w:spacing w:val="-1"/>
                <w:sz w:val="24"/>
                <w:szCs w:val="28"/>
              </w:rPr>
              <w:t>t</w:t>
            </w:r>
            <w:r w:rsidRPr="00800964">
              <w:rPr>
                <w:sz w:val="24"/>
                <w:szCs w:val="28"/>
              </w:rPr>
              <w:t>ar</w:t>
            </w:r>
            <w:r w:rsidRPr="00800964">
              <w:rPr>
                <w:spacing w:val="-14"/>
                <w:sz w:val="24"/>
                <w:szCs w:val="28"/>
              </w:rPr>
              <w:t xml:space="preserve"> </w:t>
            </w:r>
            <w:r w:rsidRPr="00800964">
              <w:rPr>
                <w:sz w:val="24"/>
                <w:szCs w:val="28"/>
              </w:rPr>
              <w:t>vid</w:t>
            </w:r>
            <w:r w:rsidRPr="00800964">
              <w:rPr>
                <w:w w:val="99"/>
                <w:sz w:val="24"/>
                <w:szCs w:val="28"/>
              </w:rPr>
              <w:t xml:space="preserve"> </w:t>
            </w:r>
            <w:r w:rsidRPr="00800964">
              <w:rPr>
                <w:spacing w:val="-7"/>
                <w:sz w:val="24"/>
                <w:szCs w:val="28"/>
              </w:rPr>
              <w:t>s</w:t>
            </w:r>
            <w:r w:rsidRPr="00800964">
              <w:rPr>
                <w:sz w:val="24"/>
                <w:szCs w:val="28"/>
              </w:rPr>
              <w:t>väljni</w:t>
            </w:r>
            <w:r w:rsidRPr="00800964">
              <w:rPr>
                <w:spacing w:val="-3"/>
                <w:sz w:val="24"/>
                <w:szCs w:val="28"/>
              </w:rPr>
              <w:t>n</w:t>
            </w:r>
            <w:r w:rsidRPr="00800964">
              <w:rPr>
                <w:sz w:val="24"/>
                <w:szCs w:val="28"/>
              </w:rPr>
              <w:t>g</w:t>
            </w:r>
            <w:r w:rsidRPr="00800964">
              <w:rPr>
                <w:spacing w:val="-10"/>
                <w:sz w:val="24"/>
                <w:szCs w:val="28"/>
              </w:rPr>
              <w:t>s</w:t>
            </w:r>
            <w:r w:rsidRPr="00800964">
              <w:rPr>
                <w:spacing w:val="-7"/>
                <w:sz w:val="24"/>
                <w:szCs w:val="28"/>
              </w:rPr>
              <w:t>s</w:t>
            </w:r>
            <w:r w:rsidRPr="00800964">
              <w:rPr>
                <w:sz w:val="24"/>
                <w:szCs w:val="28"/>
              </w:rPr>
              <w:t>vå</w:t>
            </w:r>
            <w:r w:rsidRPr="00800964">
              <w:rPr>
                <w:spacing w:val="-1"/>
                <w:sz w:val="24"/>
                <w:szCs w:val="28"/>
              </w:rPr>
              <w:t>r</w:t>
            </w:r>
            <w:r w:rsidRPr="00800964">
              <w:rPr>
                <w:spacing w:val="-3"/>
                <w:sz w:val="24"/>
                <w:szCs w:val="28"/>
              </w:rPr>
              <w:t>i</w:t>
            </w:r>
            <w:r w:rsidRPr="00800964">
              <w:rPr>
                <w:sz w:val="24"/>
                <w:szCs w:val="28"/>
              </w:rPr>
              <w:t>gh</w:t>
            </w:r>
            <w:r w:rsidRPr="00800964">
              <w:rPr>
                <w:spacing w:val="-2"/>
                <w:sz w:val="24"/>
                <w:szCs w:val="28"/>
              </w:rPr>
              <w:t>e</w:t>
            </w:r>
            <w:r w:rsidRPr="00800964">
              <w:rPr>
                <w:spacing w:val="-1"/>
                <w:sz w:val="24"/>
                <w:szCs w:val="28"/>
              </w:rPr>
              <w:t>t</w:t>
            </w:r>
            <w:r w:rsidRPr="00800964">
              <w:rPr>
                <w:spacing w:val="1"/>
                <w:sz w:val="24"/>
                <w:szCs w:val="28"/>
              </w:rPr>
              <w:t>e</w:t>
            </w:r>
            <w:r w:rsidRPr="00800964">
              <w:rPr>
                <w:spacing w:val="-6"/>
                <w:sz w:val="24"/>
                <w:szCs w:val="28"/>
              </w:rPr>
              <w:t>r</w:t>
            </w:r>
            <w:r w:rsidRPr="00800964">
              <w:rPr>
                <w:sz w:val="24"/>
                <w:szCs w:val="28"/>
              </w:rPr>
              <w:t>.</w:t>
            </w:r>
            <w:r w:rsidRPr="00800964">
              <w:rPr>
                <w:spacing w:val="-15"/>
                <w:sz w:val="24"/>
                <w:szCs w:val="28"/>
              </w:rPr>
              <w:t xml:space="preserve"> </w:t>
            </w:r>
            <w:r>
              <w:rPr>
                <w:spacing w:val="-15"/>
                <w:sz w:val="24"/>
                <w:szCs w:val="28"/>
              </w:rPr>
              <w:br/>
            </w:r>
            <w:r w:rsidRPr="00800964">
              <w:rPr>
                <w:spacing w:val="-9"/>
                <w:sz w:val="24"/>
                <w:szCs w:val="28"/>
              </w:rPr>
              <w:t>M</w:t>
            </w:r>
            <w:r w:rsidRPr="00800964">
              <w:rPr>
                <w:sz w:val="24"/>
                <w:szCs w:val="28"/>
              </w:rPr>
              <w:t>i</w:t>
            </w:r>
            <w:r w:rsidRPr="00800964">
              <w:rPr>
                <w:spacing w:val="-3"/>
                <w:sz w:val="24"/>
                <w:szCs w:val="28"/>
              </w:rPr>
              <w:t>n</w:t>
            </w:r>
            <w:r w:rsidRPr="00800964">
              <w:rPr>
                <w:spacing w:val="-10"/>
                <w:sz w:val="24"/>
                <w:szCs w:val="28"/>
              </w:rPr>
              <w:t>s</w:t>
            </w:r>
            <w:r w:rsidRPr="00800964">
              <w:rPr>
                <w:sz w:val="24"/>
                <w:szCs w:val="28"/>
              </w:rPr>
              <w:t>kar</w:t>
            </w:r>
            <w:r w:rsidRPr="00800964">
              <w:rPr>
                <w:spacing w:val="-18"/>
                <w:sz w:val="24"/>
                <w:szCs w:val="28"/>
              </w:rPr>
              <w:t xml:space="preserve"> </w:t>
            </w:r>
            <w:r w:rsidRPr="00800964">
              <w:rPr>
                <w:sz w:val="24"/>
                <w:szCs w:val="28"/>
              </w:rPr>
              <w:t>k</w:t>
            </w:r>
            <w:r w:rsidRPr="00800964">
              <w:rPr>
                <w:spacing w:val="-1"/>
                <w:sz w:val="24"/>
                <w:szCs w:val="28"/>
              </w:rPr>
              <w:t>r</w:t>
            </w:r>
            <w:r w:rsidRPr="00800964">
              <w:rPr>
                <w:sz w:val="24"/>
                <w:szCs w:val="28"/>
              </w:rPr>
              <w:t>äk</w:t>
            </w:r>
            <w:r w:rsidRPr="00800964">
              <w:rPr>
                <w:spacing w:val="-1"/>
                <w:sz w:val="24"/>
                <w:szCs w:val="28"/>
              </w:rPr>
              <w:t>r</w:t>
            </w:r>
            <w:r w:rsidRPr="00800964">
              <w:rPr>
                <w:sz w:val="24"/>
                <w:szCs w:val="28"/>
              </w:rPr>
              <w:t>e</w:t>
            </w:r>
            <w:r w:rsidRPr="00800964">
              <w:rPr>
                <w:spacing w:val="-5"/>
                <w:sz w:val="24"/>
                <w:szCs w:val="28"/>
              </w:rPr>
              <w:t>f</w:t>
            </w:r>
            <w:r w:rsidRPr="00800964">
              <w:rPr>
                <w:spacing w:val="-3"/>
                <w:sz w:val="24"/>
                <w:szCs w:val="28"/>
              </w:rPr>
              <w:t>l</w:t>
            </w:r>
            <w:r w:rsidRPr="00800964">
              <w:rPr>
                <w:sz w:val="24"/>
                <w:szCs w:val="28"/>
              </w:rPr>
              <w:t>e</w:t>
            </w:r>
            <w:r w:rsidRPr="00800964">
              <w:rPr>
                <w:spacing w:val="-5"/>
                <w:sz w:val="24"/>
                <w:szCs w:val="28"/>
              </w:rPr>
              <w:t>x</w:t>
            </w:r>
            <w:r w:rsidRPr="00800964">
              <w:rPr>
                <w:sz w:val="24"/>
                <w:szCs w:val="28"/>
              </w:rPr>
              <w:t>e</w:t>
            </w:r>
            <w:r w:rsidRPr="00800964">
              <w:rPr>
                <w:spacing w:val="-1"/>
                <w:sz w:val="24"/>
                <w:szCs w:val="28"/>
              </w:rPr>
              <w:t>r</w:t>
            </w:r>
            <w:r w:rsidRPr="00800964">
              <w:rPr>
                <w:sz w:val="24"/>
                <w:szCs w:val="28"/>
              </w:rPr>
              <w:t>.</w:t>
            </w:r>
            <w:r w:rsidRPr="00800964">
              <w:rPr>
                <w:spacing w:val="-15"/>
                <w:sz w:val="24"/>
                <w:szCs w:val="28"/>
              </w:rPr>
              <w:t xml:space="preserve"> </w:t>
            </w:r>
            <w:r w:rsidRPr="00800964">
              <w:rPr>
                <w:spacing w:val="-4"/>
                <w:sz w:val="24"/>
                <w:szCs w:val="28"/>
              </w:rPr>
              <w:t>Y</w:t>
            </w:r>
            <w:r w:rsidRPr="00800964">
              <w:rPr>
                <w:spacing w:val="-1"/>
                <w:sz w:val="24"/>
                <w:szCs w:val="28"/>
              </w:rPr>
              <w:t>t</w:t>
            </w:r>
            <w:r w:rsidRPr="00800964">
              <w:rPr>
                <w:sz w:val="24"/>
                <w:szCs w:val="28"/>
              </w:rPr>
              <w:t>a</w:t>
            </w:r>
            <w:r w:rsidRPr="00800964">
              <w:rPr>
                <w:spacing w:val="-5"/>
                <w:sz w:val="24"/>
                <w:szCs w:val="28"/>
              </w:rPr>
              <w:t>n</w:t>
            </w:r>
            <w:r w:rsidRPr="00800964">
              <w:rPr>
                <w:sz w:val="24"/>
                <w:szCs w:val="28"/>
              </w:rPr>
              <w:t>e</w:t>
            </w:r>
            <w:r w:rsidRPr="00800964">
              <w:rPr>
                <w:spacing w:val="-10"/>
                <w:sz w:val="24"/>
                <w:szCs w:val="28"/>
              </w:rPr>
              <w:t>s</w:t>
            </w:r>
            <w:r w:rsidRPr="00800964">
              <w:rPr>
                <w:spacing w:val="-3"/>
                <w:sz w:val="24"/>
                <w:szCs w:val="28"/>
              </w:rPr>
              <w:t>t</w:t>
            </w:r>
            <w:r w:rsidRPr="00800964">
              <w:rPr>
                <w:spacing w:val="-2"/>
                <w:sz w:val="24"/>
                <w:szCs w:val="28"/>
              </w:rPr>
              <w:t>e</w:t>
            </w:r>
            <w:r w:rsidRPr="00800964">
              <w:rPr>
                <w:spacing w:val="-10"/>
                <w:sz w:val="24"/>
                <w:szCs w:val="28"/>
              </w:rPr>
              <w:t>s</w:t>
            </w:r>
            <w:r w:rsidRPr="00800964">
              <w:rPr>
                <w:sz w:val="24"/>
                <w:szCs w:val="28"/>
              </w:rPr>
              <w:t>i</w:t>
            </w:r>
            <w:r w:rsidRPr="00800964">
              <w:rPr>
                <w:spacing w:val="-15"/>
                <w:sz w:val="24"/>
                <w:szCs w:val="28"/>
              </w:rPr>
              <w:t xml:space="preserve"> </w:t>
            </w:r>
            <w:r w:rsidRPr="00800964">
              <w:rPr>
                <w:sz w:val="24"/>
                <w:szCs w:val="28"/>
              </w:rPr>
              <w:t>i</w:t>
            </w:r>
            <w:r w:rsidRPr="00800964">
              <w:rPr>
                <w:spacing w:val="-1"/>
                <w:sz w:val="24"/>
                <w:szCs w:val="28"/>
              </w:rPr>
              <w:t>nf</w:t>
            </w:r>
            <w:r w:rsidRPr="00800964">
              <w:rPr>
                <w:sz w:val="24"/>
                <w:szCs w:val="28"/>
              </w:rPr>
              <w:t>ör</w:t>
            </w:r>
            <w:r w:rsidRPr="00800964">
              <w:rPr>
                <w:spacing w:val="-20"/>
                <w:sz w:val="24"/>
                <w:szCs w:val="28"/>
              </w:rPr>
              <w:t xml:space="preserve"> </w:t>
            </w:r>
            <w:r w:rsidRPr="00800964">
              <w:rPr>
                <w:spacing w:val="-1"/>
                <w:sz w:val="24"/>
                <w:szCs w:val="28"/>
              </w:rPr>
              <w:t>t</w:t>
            </w:r>
            <w:r w:rsidRPr="00800964">
              <w:rPr>
                <w:spacing w:val="-3"/>
                <w:sz w:val="24"/>
                <w:szCs w:val="28"/>
              </w:rPr>
              <w:t>.</w:t>
            </w:r>
            <w:r w:rsidRPr="00800964">
              <w:rPr>
                <w:sz w:val="24"/>
                <w:szCs w:val="28"/>
              </w:rPr>
              <w:t>ex.</w:t>
            </w:r>
            <w:r w:rsidRPr="00800964">
              <w:rPr>
                <w:spacing w:val="-15"/>
                <w:sz w:val="24"/>
                <w:szCs w:val="28"/>
              </w:rPr>
              <w:t xml:space="preserve"> </w:t>
            </w:r>
            <w:r w:rsidRPr="00800964">
              <w:rPr>
                <w:sz w:val="24"/>
                <w:szCs w:val="28"/>
              </w:rPr>
              <w:t>in</w:t>
            </w:r>
            <w:r w:rsidRPr="00800964">
              <w:rPr>
                <w:spacing w:val="-2"/>
                <w:sz w:val="24"/>
                <w:szCs w:val="28"/>
              </w:rPr>
              <w:t>j</w:t>
            </w:r>
            <w:r w:rsidRPr="00800964">
              <w:rPr>
                <w:spacing w:val="1"/>
                <w:sz w:val="24"/>
                <w:szCs w:val="28"/>
              </w:rPr>
              <w:t>e</w:t>
            </w:r>
            <w:r w:rsidRPr="00800964">
              <w:rPr>
                <w:spacing w:val="-3"/>
                <w:sz w:val="24"/>
                <w:szCs w:val="28"/>
              </w:rPr>
              <w:t>k</w:t>
            </w:r>
            <w:r w:rsidRPr="00800964">
              <w:rPr>
                <w:spacing w:val="-1"/>
                <w:sz w:val="24"/>
                <w:szCs w:val="28"/>
              </w:rPr>
              <w:t>t</w:t>
            </w:r>
            <w:r w:rsidRPr="00800964">
              <w:rPr>
                <w:spacing w:val="-3"/>
                <w:sz w:val="24"/>
                <w:szCs w:val="28"/>
              </w:rPr>
              <w:t>i</w:t>
            </w:r>
            <w:r w:rsidRPr="00800964">
              <w:rPr>
                <w:sz w:val="24"/>
                <w:szCs w:val="28"/>
              </w:rPr>
              <w:t>on.</w:t>
            </w:r>
            <w:r>
              <w:rPr>
                <w:sz w:val="24"/>
                <w:szCs w:val="28"/>
              </w:rPr>
              <w:br/>
            </w:r>
          </w:p>
        </w:tc>
      </w:tr>
      <w:tr w:rsidR="00702564" w:rsidRPr="00800964" w14:paraId="607E4CD3" w14:textId="77777777" w:rsidTr="00632FCC">
        <w:tc>
          <w:tcPr>
            <w:tcW w:w="2023" w:type="dxa"/>
          </w:tcPr>
          <w:p w14:paraId="7666A1E0" w14:textId="77777777" w:rsidR="00702564" w:rsidRPr="00800964" w:rsidRDefault="00702564" w:rsidP="00632FCC">
            <w:pPr>
              <w:rPr>
                <w:rFonts w:eastAsia="Garamond" w:cs="Garamond"/>
                <w:b/>
                <w:bCs/>
                <w:iCs/>
                <w:sz w:val="24"/>
                <w:szCs w:val="28"/>
              </w:rPr>
            </w:pPr>
            <w:r w:rsidRPr="00800964">
              <w:rPr>
                <w:b/>
                <w:bCs/>
                <w:iCs/>
                <w:sz w:val="24"/>
                <w:szCs w:val="28"/>
              </w:rPr>
              <w:t>lidokainhydroklorid</w:t>
            </w:r>
          </w:p>
        </w:tc>
        <w:tc>
          <w:tcPr>
            <w:tcW w:w="1941" w:type="dxa"/>
          </w:tcPr>
          <w:p w14:paraId="5A5D12C6" w14:textId="77777777" w:rsidR="00702564" w:rsidRPr="00800964" w:rsidRDefault="00702564" w:rsidP="00632FCC">
            <w:pPr>
              <w:rPr>
                <w:rFonts w:eastAsia="Garamond" w:cs="Garamond"/>
                <w:sz w:val="24"/>
                <w:szCs w:val="28"/>
                <w:lang w:val="en-US"/>
              </w:rPr>
            </w:pPr>
            <w:r w:rsidRPr="00800964">
              <w:rPr>
                <w:bCs/>
                <w:sz w:val="24"/>
                <w:szCs w:val="28"/>
                <w:lang w:val="en-US"/>
              </w:rPr>
              <w:t>Oral Cleaner APL 5mg/ml</w:t>
            </w:r>
          </w:p>
        </w:tc>
        <w:tc>
          <w:tcPr>
            <w:tcW w:w="5288" w:type="dxa"/>
          </w:tcPr>
          <w:p w14:paraId="3FA60E45" w14:textId="77777777" w:rsidR="00702564" w:rsidRPr="00800964" w:rsidRDefault="00702564" w:rsidP="00632FCC">
            <w:pPr>
              <w:rPr>
                <w:spacing w:val="-1"/>
                <w:sz w:val="24"/>
                <w:szCs w:val="28"/>
              </w:rPr>
            </w:pPr>
            <w:r w:rsidRPr="00800964">
              <w:rPr>
                <w:rFonts w:cs="TimesNewRoman"/>
                <w:sz w:val="24"/>
                <w:szCs w:val="28"/>
              </w:rPr>
              <w:t>Ersättningsprodukt för avregistrerade Xylocain viskös 20mg/ml. Vid behov av lokalbedövning hos barn: baddas på munslemhinna högst 3–4 gånger per dygn, men får inte nedsväljas.</w:t>
            </w:r>
            <w:r w:rsidRPr="00800964">
              <w:rPr>
                <w:rFonts w:cs="TimesNewRoman"/>
                <w:sz w:val="24"/>
                <w:szCs w:val="28"/>
              </w:rPr>
              <w:br/>
            </w:r>
          </w:p>
        </w:tc>
      </w:tr>
    </w:tbl>
    <w:p w14:paraId="685619BC" w14:textId="77777777" w:rsidR="00702564" w:rsidRPr="0071138D" w:rsidRDefault="00702564" w:rsidP="00702564">
      <w:pPr>
        <w:rPr>
          <w:rFonts w:cs="Arial"/>
          <w:b/>
          <w:bCs/>
        </w:rPr>
      </w:pPr>
    </w:p>
    <w:p w14:paraId="4A262E64" w14:textId="77777777" w:rsidR="00702564" w:rsidRPr="00800964" w:rsidRDefault="00702564" w:rsidP="00702564">
      <w:r w:rsidRPr="00800964">
        <w:rPr>
          <w:spacing w:val="-1"/>
          <w:sz w:val="24"/>
          <w:szCs w:val="24"/>
        </w:rPr>
        <w:t>I de fall där Oral Cleaner APL 5mg/ml inte kan användas vid besvär i munhåla och svalg kan Xylocaine Viscous på licens förskrivas. Notera att leveranstid uppskattas till några veckor efter godkänd licens och lagd beställning.</w:t>
      </w:r>
    </w:p>
    <w:p w14:paraId="35CE9E27" w14:textId="77777777" w:rsidR="00702564" w:rsidRPr="00C22784" w:rsidRDefault="00702564" w:rsidP="00702564">
      <w:pPr>
        <w:pStyle w:val="Rubrik3"/>
      </w:pPr>
      <w:r w:rsidRPr="00C22784">
        <w:t>Övriga medel</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702564" w:rsidRPr="00800964" w14:paraId="0203F35E" w14:textId="77777777" w:rsidTr="00632FCC">
        <w:tc>
          <w:tcPr>
            <w:tcW w:w="4531" w:type="dxa"/>
          </w:tcPr>
          <w:p w14:paraId="52960041" w14:textId="77777777" w:rsidR="00702564" w:rsidRPr="00800964" w:rsidRDefault="00702564" w:rsidP="00632FCC">
            <w:pPr>
              <w:rPr>
                <w:rFonts w:eastAsia="Garamond" w:cs="Garamond"/>
                <w:b/>
                <w:bCs/>
                <w:iCs/>
                <w:spacing w:val="-1"/>
                <w:sz w:val="24"/>
                <w:szCs w:val="28"/>
              </w:rPr>
            </w:pPr>
            <w:r w:rsidRPr="00800964">
              <w:rPr>
                <w:rFonts w:eastAsia="Garamond" w:cs="Garamond"/>
                <w:b/>
                <w:bCs/>
                <w:iCs/>
                <w:spacing w:val="-1"/>
                <w:sz w:val="24"/>
                <w:szCs w:val="28"/>
              </w:rPr>
              <w:t>k</w:t>
            </w:r>
            <w:r w:rsidRPr="00800964">
              <w:rPr>
                <w:rFonts w:eastAsia="Garamond" w:cs="Garamond"/>
                <w:b/>
                <w:bCs/>
                <w:iCs/>
                <w:spacing w:val="-3"/>
                <w:sz w:val="24"/>
                <w:szCs w:val="28"/>
              </w:rPr>
              <w:t>l</w:t>
            </w:r>
            <w:r w:rsidRPr="00800964">
              <w:rPr>
                <w:rFonts w:eastAsia="Garamond" w:cs="Garamond"/>
                <w:b/>
                <w:bCs/>
                <w:iCs/>
                <w:spacing w:val="-1"/>
                <w:sz w:val="24"/>
                <w:szCs w:val="28"/>
              </w:rPr>
              <w:t>or</w:t>
            </w:r>
            <w:r w:rsidRPr="00800964">
              <w:rPr>
                <w:rFonts w:eastAsia="Garamond" w:cs="Garamond"/>
                <w:b/>
                <w:bCs/>
                <w:iCs/>
                <w:sz w:val="24"/>
                <w:szCs w:val="28"/>
              </w:rPr>
              <w:t>h</w:t>
            </w:r>
            <w:r w:rsidRPr="00800964">
              <w:rPr>
                <w:rFonts w:eastAsia="Garamond" w:cs="Garamond"/>
                <w:b/>
                <w:bCs/>
                <w:iCs/>
                <w:spacing w:val="-1"/>
                <w:sz w:val="24"/>
                <w:szCs w:val="28"/>
              </w:rPr>
              <w:t>e</w:t>
            </w:r>
            <w:r w:rsidRPr="00800964">
              <w:rPr>
                <w:rFonts w:eastAsia="Garamond" w:cs="Garamond"/>
                <w:b/>
                <w:bCs/>
                <w:iCs/>
                <w:spacing w:val="-3"/>
                <w:sz w:val="24"/>
                <w:szCs w:val="28"/>
              </w:rPr>
              <w:t>x</w:t>
            </w:r>
            <w:r w:rsidRPr="00800964">
              <w:rPr>
                <w:rFonts w:eastAsia="Garamond" w:cs="Garamond"/>
                <w:b/>
                <w:bCs/>
                <w:iCs/>
                <w:spacing w:val="-5"/>
                <w:sz w:val="24"/>
                <w:szCs w:val="28"/>
              </w:rPr>
              <w:t>i</w:t>
            </w:r>
            <w:r w:rsidRPr="00800964">
              <w:rPr>
                <w:rFonts w:eastAsia="Garamond" w:cs="Garamond"/>
                <w:b/>
                <w:bCs/>
                <w:iCs/>
                <w:sz w:val="24"/>
                <w:szCs w:val="28"/>
              </w:rPr>
              <w:t>din</w:t>
            </w:r>
          </w:p>
        </w:tc>
        <w:tc>
          <w:tcPr>
            <w:tcW w:w="4395" w:type="dxa"/>
          </w:tcPr>
          <w:p w14:paraId="5F949F65" w14:textId="77777777" w:rsidR="00702564" w:rsidRPr="00800964" w:rsidRDefault="00702564" w:rsidP="00632FCC">
            <w:pPr>
              <w:rPr>
                <w:rFonts w:eastAsia="Garamond" w:cs="Garamond"/>
                <w:sz w:val="24"/>
                <w:szCs w:val="28"/>
              </w:rPr>
            </w:pPr>
            <w:r w:rsidRPr="00800964">
              <w:rPr>
                <w:rFonts w:eastAsia="Garamond" w:cs="Garamond"/>
                <w:sz w:val="24"/>
                <w:szCs w:val="28"/>
              </w:rPr>
              <w:t>C</w:t>
            </w:r>
            <w:r w:rsidRPr="00800964">
              <w:rPr>
                <w:rFonts w:eastAsia="Garamond" w:cs="Garamond"/>
                <w:spacing w:val="-1"/>
                <w:sz w:val="24"/>
                <w:szCs w:val="28"/>
              </w:rPr>
              <w:t>or</w:t>
            </w:r>
            <w:r w:rsidRPr="00800964">
              <w:rPr>
                <w:rFonts w:eastAsia="Garamond" w:cs="Garamond"/>
                <w:sz w:val="24"/>
                <w:szCs w:val="28"/>
              </w:rPr>
              <w:t>s</w:t>
            </w:r>
            <w:r w:rsidRPr="00800964">
              <w:rPr>
                <w:rFonts w:eastAsia="Garamond" w:cs="Garamond"/>
                <w:spacing w:val="-1"/>
                <w:sz w:val="24"/>
                <w:szCs w:val="28"/>
              </w:rPr>
              <w:t>o</w:t>
            </w:r>
            <w:r w:rsidRPr="00800964">
              <w:rPr>
                <w:rFonts w:eastAsia="Garamond" w:cs="Garamond"/>
                <w:spacing w:val="-3"/>
                <w:sz w:val="24"/>
                <w:szCs w:val="28"/>
              </w:rPr>
              <w:t>d</w:t>
            </w:r>
            <w:r w:rsidRPr="00800964">
              <w:rPr>
                <w:rFonts w:eastAsia="Garamond" w:cs="Garamond"/>
                <w:sz w:val="24"/>
                <w:szCs w:val="28"/>
              </w:rPr>
              <w:t>yl</w:t>
            </w:r>
          </w:p>
          <w:p w14:paraId="63B3C11A" w14:textId="77777777" w:rsidR="00702564" w:rsidRPr="00800964" w:rsidRDefault="00702564" w:rsidP="00632FCC">
            <w:pPr>
              <w:rPr>
                <w:rFonts w:eastAsia="Garamond" w:cs="Garamond"/>
                <w:b/>
                <w:bCs/>
                <w:iCs/>
                <w:spacing w:val="-1"/>
                <w:sz w:val="24"/>
                <w:szCs w:val="28"/>
              </w:rPr>
            </w:pPr>
            <w:r w:rsidRPr="00800964">
              <w:rPr>
                <w:rFonts w:eastAsia="Garamond" w:cs="Garamond"/>
                <w:spacing w:val="-10"/>
                <w:sz w:val="24"/>
                <w:szCs w:val="28"/>
              </w:rPr>
              <w:t>H</w:t>
            </w:r>
            <w:r w:rsidRPr="00800964">
              <w:rPr>
                <w:rFonts w:eastAsia="Garamond" w:cs="Garamond"/>
                <w:sz w:val="24"/>
                <w:szCs w:val="28"/>
              </w:rPr>
              <w:t>ex</w:t>
            </w:r>
            <w:r w:rsidRPr="00800964">
              <w:rPr>
                <w:rFonts w:eastAsia="Garamond" w:cs="Garamond"/>
                <w:spacing w:val="-1"/>
                <w:sz w:val="24"/>
                <w:szCs w:val="28"/>
              </w:rPr>
              <w:t>id</w:t>
            </w:r>
            <w:r w:rsidRPr="00800964">
              <w:rPr>
                <w:rFonts w:eastAsia="Garamond" w:cs="Garamond"/>
                <w:sz w:val="24"/>
                <w:szCs w:val="28"/>
              </w:rPr>
              <w:t>e</w:t>
            </w:r>
            <w:r w:rsidRPr="00800964">
              <w:rPr>
                <w:rFonts w:eastAsia="Garamond" w:cs="Garamond"/>
                <w:spacing w:val="-1"/>
                <w:sz w:val="24"/>
                <w:szCs w:val="28"/>
              </w:rPr>
              <w:t>n</w:t>
            </w:r>
            <w:r w:rsidRPr="00800964">
              <w:rPr>
                <w:rFonts w:eastAsia="Garamond" w:cs="Garamond"/>
                <w:sz w:val="24"/>
                <w:szCs w:val="28"/>
              </w:rPr>
              <w:t>t</w:t>
            </w:r>
            <w:r w:rsidRPr="00800964">
              <w:rPr>
                <w:rFonts w:eastAsia="Garamond" w:cs="Garamond"/>
                <w:spacing w:val="-9"/>
                <w:sz w:val="24"/>
                <w:szCs w:val="28"/>
              </w:rPr>
              <w:t xml:space="preserve"> </w:t>
            </w:r>
            <w:r w:rsidRPr="00800964">
              <w:rPr>
                <w:rFonts w:eastAsia="Garamond" w:cs="Garamond"/>
                <w:bCs/>
                <w:sz w:val="24"/>
                <w:szCs w:val="28"/>
              </w:rPr>
              <w:t>l</w:t>
            </w:r>
            <w:r w:rsidRPr="00800964">
              <w:rPr>
                <w:rFonts w:eastAsia="Garamond" w:cs="Garamond"/>
                <w:bCs/>
                <w:spacing w:val="-1"/>
                <w:sz w:val="24"/>
                <w:szCs w:val="28"/>
              </w:rPr>
              <w:t>ö</w:t>
            </w:r>
            <w:r w:rsidRPr="00800964">
              <w:rPr>
                <w:rFonts w:eastAsia="Garamond" w:cs="Garamond"/>
                <w:bCs/>
                <w:sz w:val="24"/>
                <w:szCs w:val="28"/>
              </w:rPr>
              <w:t>sni</w:t>
            </w:r>
            <w:r w:rsidRPr="00800964">
              <w:rPr>
                <w:rFonts w:eastAsia="Garamond" w:cs="Garamond"/>
                <w:bCs/>
                <w:spacing w:val="-3"/>
                <w:sz w:val="24"/>
                <w:szCs w:val="28"/>
              </w:rPr>
              <w:t>n</w:t>
            </w:r>
            <w:r w:rsidRPr="00800964">
              <w:rPr>
                <w:rFonts w:eastAsia="Garamond" w:cs="Garamond"/>
                <w:bCs/>
                <w:sz w:val="24"/>
                <w:szCs w:val="28"/>
              </w:rPr>
              <w:t>g</w:t>
            </w:r>
          </w:p>
        </w:tc>
      </w:tr>
    </w:tbl>
    <w:p w14:paraId="6C9C065B" w14:textId="77777777" w:rsidR="00702564" w:rsidRDefault="00702564" w:rsidP="00702564">
      <w:pPr>
        <w:rPr>
          <w:rFonts w:eastAsia="Garamond" w:cs="Garamond"/>
          <w:b/>
          <w:bCs/>
          <w:iCs/>
          <w:spacing w:val="-1"/>
          <w:szCs w:val="24"/>
        </w:rPr>
      </w:pPr>
    </w:p>
    <w:p w14:paraId="38ACCD85" w14:textId="77777777" w:rsidR="00702564" w:rsidRDefault="00702564" w:rsidP="00702564">
      <w:pPr>
        <w:rPr>
          <w:spacing w:val="-1"/>
          <w:sz w:val="24"/>
          <w:szCs w:val="24"/>
        </w:rPr>
      </w:pPr>
      <w:r w:rsidRPr="00800964">
        <w:rPr>
          <w:spacing w:val="-1"/>
          <w:sz w:val="24"/>
          <w:szCs w:val="24"/>
        </w:rPr>
        <w:t xml:space="preserve">Klorhexidinskölj användes bland annat post-operativt, vid gingivit och plack-kontroll. Finns i olika beredningsformer. GUM Paroex är en handelsvara och är därför inte möjlig att förskriva på recept. </w:t>
      </w:r>
    </w:p>
    <w:p w14:paraId="5855267B" w14:textId="77777777" w:rsidR="00702564" w:rsidRDefault="00702564" w:rsidP="00702564">
      <w:pPr>
        <w:tabs>
          <w:tab w:val="clear" w:pos="284"/>
        </w:tabs>
        <w:spacing w:after="120" w:line="260" w:lineRule="atLeast"/>
        <w:rPr>
          <w:spacing w:val="-1"/>
          <w:sz w:val="24"/>
          <w:szCs w:val="24"/>
        </w:rPr>
      </w:pPr>
    </w:p>
    <w:p w14:paraId="55B21B3E" w14:textId="77777777" w:rsidR="00702564" w:rsidRPr="004177C6" w:rsidRDefault="00702564" w:rsidP="00702564">
      <w:pPr>
        <w:pStyle w:val="Rubrik2"/>
      </w:pPr>
      <w:r w:rsidRPr="004177C6">
        <w:t>Länkar och referenser</w:t>
      </w:r>
    </w:p>
    <w:p w14:paraId="2CCBFC35" w14:textId="77777777" w:rsidR="00702564" w:rsidRPr="00800964" w:rsidRDefault="00702564" w:rsidP="00702564">
      <w:pPr>
        <w:contextualSpacing/>
        <w:rPr>
          <w:color w:val="000000"/>
          <w:sz w:val="24"/>
          <w:szCs w:val="24"/>
        </w:rPr>
      </w:pPr>
      <w:r w:rsidRPr="00800964">
        <w:rPr>
          <w:sz w:val="24"/>
          <w:szCs w:val="24"/>
        </w:rPr>
        <w:t xml:space="preserve">SBU – </w:t>
      </w:r>
      <w:hyperlink r:id="rId107" w:history="1">
        <w:r w:rsidRPr="006707EA">
          <w:rPr>
            <w:color w:val="0070C0"/>
            <w:sz w:val="24"/>
            <w:szCs w:val="24"/>
            <w:u w:val="single"/>
          </w:rPr>
          <w:t>Att förebygga karies, 2002</w:t>
        </w:r>
      </w:hyperlink>
      <w:r w:rsidRPr="006707EA">
        <w:rPr>
          <w:color w:val="0070C0"/>
          <w:sz w:val="24"/>
          <w:szCs w:val="24"/>
        </w:rPr>
        <w:t xml:space="preserve">. </w:t>
      </w:r>
    </w:p>
    <w:p w14:paraId="28973933" w14:textId="77777777" w:rsidR="00702564" w:rsidRPr="00800964" w:rsidRDefault="00702564" w:rsidP="00702564">
      <w:pPr>
        <w:rPr>
          <w:color w:val="000000"/>
          <w:sz w:val="24"/>
          <w:szCs w:val="24"/>
        </w:rPr>
      </w:pPr>
      <w:r w:rsidRPr="00800964">
        <w:rPr>
          <w:sz w:val="24"/>
          <w:szCs w:val="24"/>
        </w:rPr>
        <w:t xml:space="preserve">Socialstyrelsens rapport </w:t>
      </w:r>
      <w:hyperlink r:id="rId108" w:history="1">
        <w:r w:rsidRPr="006707EA">
          <w:rPr>
            <w:rStyle w:val="Hyperlnk"/>
            <w:color w:val="0070C0"/>
            <w:sz w:val="24"/>
            <w:szCs w:val="24"/>
          </w:rPr>
          <w:t>Nationella riktlinjer för tandvård</w:t>
        </w:r>
      </w:hyperlink>
      <w:r w:rsidRPr="006707EA">
        <w:rPr>
          <w:color w:val="0070C0"/>
          <w:sz w:val="24"/>
          <w:szCs w:val="24"/>
        </w:rPr>
        <w:t xml:space="preserve">. </w:t>
      </w:r>
    </w:p>
    <w:p w14:paraId="4C7A18FE" w14:textId="77777777" w:rsidR="00702564" w:rsidRDefault="00702564" w:rsidP="00702564">
      <w:pPr>
        <w:rPr>
          <w:rStyle w:val="Hyperlnk"/>
          <w:color w:val="0070C0"/>
          <w:sz w:val="24"/>
          <w:szCs w:val="24"/>
          <w:lang w:val="en-US"/>
        </w:rPr>
      </w:pPr>
      <w:hyperlink r:id="rId109" w:history="1">
        <w:r w:rsidRPr="006707EA">
          <w:rPr>
            <w:rStyle w:val="Hyperlnk"/>
            <w:color w:val="0070C0"/>
            <w:sz w:val="24"/>
            <w:szCs w:val="24"/>
            <w:lang w:val="en-US"/>
          </w:rPr>
          <w:t>Clinical Practice Guideline for the Management of Candidiasis: 2016 Update by the Infectious Diseases Society of America - PMC (nih.gov)</w:t>
        </w:r>
      </w:hyperlink>
    </w:p>
    <w:p w14:paraId="031D9C59" w14:textId="77777777" w:rsidR="00702564" w:rsidRDefault="00702564" w:rsidP="00702564">
      <w:pPr>
        <w:tabs>
          <w:tab w:val="clear" w:pos="284"/>
        </w:tabs>
        <w:spacing w:after="120" w:line="260" w:lineRule="atLeast"/>
        <w:rPr>
          <w:rStyle w:val="Hyperlnk"/>
          <w:color w:val="0070C0"/>
          <w:sz w:val="24"/>
          <w:szCs w:val="24"/>
          <w:lang w:val="en-US"/>
        </w:rPr>
      </w:pPr>
      <w:r>
        <w:rPr>
          <w:rStyle w:val="Hyperlnk"/>
          <w:color w:val="0070C0"/>
          <w:sz w:val="24"/>
          <w:szCs w:val="24"/>
          <w:lang w:val="en-US"/>
        </w:rPr>
        <w:br w:type="page"/>
      </w:r>
    </w:p>
    <w:p w14:paraId="2203AE2B" w14:textId="77777777" w:rsidR="00702564" w:rsidRPr="004177C6" w:rsidRDefault="00702564" w:rsidP="00702564">
      <w:pPr>
        <w:pStyle w:val="Rubrik2"/>
      </w:pPr>
      <w:r w:rsidRPr="004177C6">
        <w:lastRenderedPageBreak/>
        <w:t>Tandvårdsstöd vid sjukdom</w:t>
      </w:r>
    </w:p>
    <w:p w14:paraId="023D6512" w14:textId="77777777" w:rsidR="00702564" w:rsidRPr="00800964" w:rsidRDefault="00702564" w:rsidP="00702564">
      <w:pPr>
        <w:autoSpaceDE w:val="0"/>
        <w:autoSpaceDN w:val="0"/>
        <w:adjustRightInd w:val="0"/>
        <w:rPr>
          <w:sz w:val="24"/>
          <w:szCs w:val="24"/>
        </w:rPr>
      </w:pPr>
      <w:r w:rsidRPr="00800964">
        <w:rPr>
          <w:rFonts w:cs="TimesNewRoman"/>
          <w:sz w:val="24"/>
          <w:szCs w:val="24"/>
        </w:rPr>
        <w:t xml:space="preserve">Från och med den 1 januari 2013 gäller Socialstyrelsens föreskrifter och allmänna råd </w:t>
      </w:r>
      <w:r>
        <w:rPr>
          <w:rFonts w:cs="TimesNewRoman"/>
          <w:sz w:val="24"/>
          <w:szCs w:val="24"/>
        </w:rPr>
        <w:br/>
      </w:r>
      <w:r w:rsidRPr="006707EA">
        <w:rPr>
          <w:rFonts w:cs="TimesNewRoman"/>
          <w:color w:val="0070C0"/>
          <w:sz w:val="24"/>
          <w:szCs w:val="24"/>
        </w:rPr>
        <w:t>(</w:t>
      </w:r>
      <w:hyperlink r:id="rId110" w:history="1">
        <w:r w:rsidRPr="006707EA">
          <w:rPr>
            <w:rStyle w:val="Hyperlnk"/>
            <w:rFonts w:cs="TimesNewRoman"/>
            <w:color w:val="0070C0"/>
            <w:sz w:val="24"/>
            <w:szCs w:val="24"/>
          </w:rPr>
          <w:t>SOSFS 2012:17</w:t>
        </w:r>
      </w:hyperlink>
      <w:r w:rsidRPr="006707EA">
        <w:rPr>
          <w:rFonts w:cs="TimesNewRoman"/>
          <w:color w:val="0070C0"/>
          <w:sz w:val="24"/>
          <w:szCs w:val="24"/>
        </w:rPr>
        <w:t xml:space="preserve">) </w:t>
      </w:r>
      <w:r w:rsidRPr="00800964">
        <w:rPr>
          <w:rFonts w:cs="TimesNewRoman"/>
          <w:sz w:val="24"/>
          <w:szCs w:val="24"/>
        </w:rPr>
        <w:t xml:space="preserve">om tandvård vid långvarig sjukdom eller funktionsnedsättning. </w:t>
      </w:r>
      <w:r>
        <w:rPr>
          <w:rFonts w:cs="TimesNewRoman"/>
          <w:sz w:val="24"/>
          <w:szCs w:val="24"/>
        </w:rPr>
        <w:br/>
      </w:r>
      <w:r w:rsidRPr="00800964">
        <w:rPr>
          <w:rFonts w:cs="TimesNewRoman"/>
          <w:sz w:val="24"/>
          <w:szCs w:val="24"/>
        </w:rPr>
        <w:t>De nya föreskrifterna ska tillämpas vid bedömningen av om en person har stora behov av tandvård på grund av långvarig sjukdom eller funktionsnedsättning och därmed ska kunna få tandvård som omfattas av bestämmelserna om avgifter i den öppna vården, även kallad tandvård till hälso- och sjukvårdsavgift.</w:t>
      </w:r>
    </w:p>
    <w:p w14:paraId="085B058F" w14:textId="77777777" w:rsidR="00702564" w:rsidRPr="00800964" w:rsidRDefault="00702564" w:rsidP="00702564">
      <w:pPr>
        <w:rPr>
          <w:sz w:val="24"/>
          <w:szCs w:val="24"/>
        </w:rPr>
      </w:pPr>
    </w:p>
    <w:p w14:paraId="26F10443" w14:textId="77777777" w:rsidR="00702564" w:rsidRPr="00800964" w:rsidRDefault="00702564" w:rsidP="00702564">
      <w:pPr>
        <w:rPr>
          <w:b/>
          <w:bCs/>
          <w:sz w:val="24"/>
          <w:szCs w:val="24"/>
        </w:rPr>
      </w:pPr>
      <w:r w:rsidRPr="00800964">
        <w:rPr>
          <w:b/>
          <w:bCs/>
          <w:sz w:val="24"/>
          <w:szCs w:val="24"/>
        </w:rPr>
        <w:t>Tandvårdsstödet omfattar:</w:t>
      </w:r>
    </w:p>
    <w:p w14:paraId="073D497D" w14:textId="77777777" w:rsidR="00702564" w:rsidRPr="00800964" w:rsidRDefault="00702564" w:rsidP="00702564">
      <w:pPr>
        <w:numPr>
          <w:ilvl w:val="0"/>
          <w:numId w:val="42"/>
        </w:numPr>
        <w:tabs>
          <w:tab w:val="clear" w:pos="284"/>
        </w:tabs>
        <w:spacing w:before="100" w:beforeAutospacing="1" w:after="100" w:afterAutospacing="1" w:line="240" w:lineRule="auto"/>
        <w:rPr>
          <w:sz w:val="24"/>
          <w:szCs w:val="24"/>
        </w:rPr>
      </w:pPr>
      <w:r w:rsidRPr="00800964">
        <w:rPr>
          <w:sz w:val="24"/>
          <w:szCs w:val="24"/>
        </w:rPr>
        <w:t>särskilt tandvårdsbidrag, STB – för den som på grund av sjukdom eller funktionsnedsättning har ett ökat behov av förebyggande tandvård. Administreras av Försäkringskassan.</w:t>
      </w:r>
      <w:r w:rsidRPr="00800964">
        <w:rPr>
          <w:sz w:val="24"/>
          <w:szCs w:val="24"/>
        </w:rPr>
        <w:br/>
      </w:r>
    </w:p>
    <w:p w14:paraId="5538EBC1" w14:textId="77777777" w:rsidR="00702564" w:rsidRPr="00800964" w:rsidRDefault="00702564" w:rsidP="00702564">
      <w:pPr>
        <w:numPr>
          <w:ilvl w:val="0"/>
          <w:numId w:val="42"/>
        </w:numPr>
        <w:tabs>
          <w:tab w:val="clear" w:pos="284"/>
        </w:tabs>
        <w:spacing w:before="100" w:beforeAutospacing="1" w:after="100" w:afterAutospacing="1" w:line="240" w:lineRule="auto"/>
        <w:rPr>
          <w:sz w:val="24"/>
          <w:szCs w:val="24"/>
        </w:rPr>
      </w:pPr>
      <w:r w:rsidRPr="00800964">
        <w:rPr>
          <w:sz w:val="24"/>
          <w:szCs w:val="24"/>
        </w:rPr>
        <w:t>tandvård vid långvarig sjukdom eller funktionsnedsättning – för den som har stora svårigheter att sköta sin munhygien eller genomgå tandvårdsbehandling. Administreras av Region Blekinge.</w:t>
      </w:r>
    </w:p>
    <w:p w14:paraId="03B93B2C" w14:textId="77777777" w:rsidR="00702564" w:rsidRPr="00800964" w:rsidRDefault="00702564" w:rsidP="00702564">
      <w:pPr>
        <w:tabs>
          <w:tab w:val="clear" w:pos="284"/>
        </w:tabs>
        <w:spacing w:before="100" w:beforeAutospacing="1" w:after="100" w:afterAutospacing="1" w:line="240" w:lineRule="auto"/>
        <w:rPr>
          <w:b/>
          <w:bCs/>
          <w:sz w:val="24"/>
          <w:szCs w:val="24"/>
        </w:rPr>
      </w:pPr>
      <w:r w:rsidRPr="00800964">
        <w:rPr>
          <w:b/>
          <w:bCs/>
          <w:sz w:val="24"/>
          <w:szCs w:val="24"/>
        </w:rPr>
        <w:t>För överskådlig information om tandvårdsstödet se</w:t>
      </w:r>
    </w:p>
    <w:p w14:paraId="741FBFED" w14:textId="77777777" w:rsidR="00702564" w:rsidRPr="00DB3597" w:rsidRDefault="00702564" w:rsidP="00702564">
      <w:pPr>
        <w:pStyle w:val="Liststycke"/>
        <w:numPr>
          <w:ilvl w:val="0"/>
          <w:numId w:val="110"/>
        </w:numPr>
        <w:tabs>
          <w:tab w:val="clear" w:pos="284"/>
        </w:tabs>
        <w:autoSpaceDE w:val="0"/>
        <w:autoSpaceDN w:val="0"/>
        <w:adjustRightInd w:val="0"/>
        <w:spacing w:line="240" w:lineRule="auto"/>
        <w:contextualSpacing/>
        <w:rPr>
          <w:sz w:val="24"/>
          <w:szCs w:val="24"/>
        </w:rPr>
      </w:pPr>
      <w:r w:rsidRPr="007D46B1">
        <w:rPr>
          <w:sz w:val="24"/>
          <w:szCs w:val="24"/>
        </w:rPr>
        <w:t xml:space="preserve">Socialstyrelsens meddelandeblad </w:t>
      </w:r>
      <w:r w:rsidRPr="007D46B1">
        <w:rPr>
          <w:sz w:val="24"/>
          <w:szCs w:val="24"/>
        </w:rPr>
        <w:br/>
      </w:r>
      <w:hyperlink r:id="rId111" w:history="1">
        <w:r w:rsidRPr="007D46B1">
          <w:rPr>
            <w:color w:val="0070C0"/>
            <w:sz w:val="24"/>
            <w:szCs w:val="24"/>
            <w:u w:val="single"/>
          </w:rPr>
          <w:t>Nya föreskrifter om tandvård vid långvarig sjukdom eller funktionsnedsättning</w:t>
        </w:r>
      </w:hyperlink>
      <w:r>
        <w:rPr>
          <w:rFonts w:cs="Arial"/>
          <w:color w:val="000000"/>
          <w:sz w:val="24"/>
          <w:szCs w:val="24"/>
        </w:rPr>
        <w:br/>
      </w:r>
    </w:p>
    <w:p w14:paraId="0112E91A" w14:textId="77777777" w:rsidR="00702564" w:rsidRPr="00DB3597" w:rsidRDefault="00702564" w:rsidP="00702564">
      <w:pPr>
        <w:pStyle w:val="Liststycke"/>
        <w:numPr>
          <w:ilvl w:val="0"/>
          <w:numId w:val="110"/>
        </w:numPr>
        <w:tabs>
          <w:tab w:val="clear" w:pos="284"/>
        </w:tabs>
        <w:autoSpaceDE w:val="0"/>
        <w:autoSpaceDN w:val="0"/>
        <w:adjustRightInd w:val="0"/>
        <w:spacing w:line="240" w:lineRule="auto"/>
        <w:contextualSpacing/>
        <w:rPr>
          <w:sz w:val="24"/>
          <w:szCs w:val="24"/>
        </w:rPr>
      </w:pPr>
      <w:r w:rsidRPr="00DB3597">
        <w:rPr>
          <w:rFonts w:cs="Arial"/>
          <w:color w:val="000000"/>
          <w:sz w:val="24"/>
          <w:szCs w:val="24"/>
        </w:rPr>
        <w:t xml:space="preserve">F-tandvård Region Blekinge </w:t>
      </w:r>
      <w:r w:rsidRPr="00DB3597">
        <w:rPr>
          <w:rFonts w:cs="Arial"/>
          <w:color w:val="000000"/>
          <w:sz w:val="24"/>
          <w:szCs w:val="24"/>
        </w:rPr>
        <w:br/>
      </w:r>
      <w:hyperlink r:id="rId112" w:history="1">
        <w:r w:rsidRPr="00DB3597">
          <w:rPr>
            <w:color w:val="0070C0"/>
            <w:sz w:val="24"/>
            <w:szCs w:val="24"/>
            <w:u w:val="single"/>
          </w:rPr>
          <w:t>Tandvård vid långvarig sjukdom eller funktionsnedsättning</w:t>
        </w:r>
      </w:hyperlink>
    </w:p>
    <w:p w14:paraId="4D85439D" w14:textId="77777777" w:rsidR="00702564" w:rsidRPr="00B979CA" w:rsidRDefault="00702564" w:rsidP="00702564">
      <w:pPr>
        <w:tabs>
          <w:tab w:val="clear" w:pos="284"/>
        </w:tabs>
        <w:autoSpaceDE w:val="0"/>
        <w:autoSpaceDN w:val="0"/>
        <w:adjustRightInd w:val="0"/>
        <w:spacing w:line="240" w:lineRule="auto"/>
        <w:contextualSpacing/>
      </w:pPr>
    </w:p>
    <w:p w14:paraId="0C7FCE95" w14:textId="77777777" w:rsidR="00702564" w:rsidRPr="004639E7" w:rsidRDefault="00702564" w:rsidP="00702564">
      <w:pPr>
        <w:pStyle w:val="Rubrik2"/>
      </w:pPr>
      <w:r w:rsidRPr="004639E7">
        <w:t>Läkarintyg</w:t>
      </w:r>
    </w:p>
    <w:p w14:paraId="1E24E254" w14:textId="77777777" w:rsidR="00702564" w:rsidRPr="00DB3597" w:rsidRDefault="00702564" w:rsidP="00702564">
      <w:pPr>
        <w:rPr>
          <w:rFonts w:cs="Arial"/>
          <w:bCs/>
          <w:color w:val="000000"/>
          <w:sz w:val="24"/>
          <w:szCs w:val="24"/>
        </w:rPr>
      </w:pPr>
      <w:r w:rsidRPr="00DB3597">
        <w:rPr>
          <w:rFonts w:cs="Arial"/>
          <w:bCs/>
          <w:color w:val="000000"/>
          <w:sz w:val="24"/>
          <w:szCs w:val="24"/>
        </w:rPr>
        <w:t xml:space="preserve">OBS! </w:t>
      </w:r>
    </w:p>
    <w:p w14:paraId="080B6CD6" w14:textId="77777777" w:rsidR="00702564" w:rsidRPr="00800964" w:rsidRDefault="00702564" w:rsidP="00702564">
      <w:pPr>
        <w:rPr>
          <w:rFonts w:cs="Arial"/>
          <w:color w:val="000000"/>
          <w:sz w:val="24"/>
          <w:szCs w:val="24"/>
        </w:rPr>
      </w:pPr>
      <w:r w:rsidRPr="00800964">
        <w:rPr>
          <w:rFonts w:cs="Arial"/>
          <w:color w:val="000000"/>
          <w:sz w:val="24"/>
          <w:szCs w:val="24"/>
        </w:rPr>
        <w:t xml:space="preserve">Läkarintyget för </w:t>
      </w:r>
      <w:r w:rsidRPr="00800964">
        <w:rPr>
          <w:i/>
          <w:sz w:val="24"/>
          <w:szCs w:val="24"/>
        </w:rPr>
        <w:t>Tandvård vid långvarig sjukdom eller funktionsnedsättning</w:t>
      </w:r>
      <w:r w:rsidRPr="00800964">
        <w:rPr>
          <w:rFonts w:cs="Arial"/>
          <w:color w:val="000000"/>
          <w:sz w:val="24"/>
          <w:szCs w:val="24"/>
        </w:rPr>
        <w:t xml:space="preserve"> ska skickas till Enheten för tandvårdsstyrning, Region Blekinge, Folktandvårdens stab, 371 81 KARLSKRONA. </w:t>
      </w:r>
    </w:p>
    <w:p w14:paraId="395B09B0" w14:textId="77777777" w:rsidR="00702564" w:rsidRPr="00800964" w:rsidRDefault="00702564" w:rsidP="00702564">
      <w:pPr>
        <w:rPr>
          <w:rFonts w:cs="Arial"/>
          <w:color w:val="000000"/>
          <w:sz w:val="24"/>
          <w:szCs w:val="24"/>
        </w:rPr>
      </w:pPr>
      <w:r w:rsidRPr="00800964">
        <w:rPr>
          <w:rFonts w:cs="Arial"/>
          <w:color w:val="000000"/>
          <w:sz w:val="24"/>
          <w:szCs w:val="24"/>
        </w:rPr>
        <w:t xml:space="preserve">Läkarintyget ska INTE lämnas till patient. </w:t>
      </w:r>
    </w:p>
    <w:p w14:paraId="748F6466" w14:textId="77777777" w:rsidR="00702564" w:rsidRPr="00800964" w:rsidRDefault="00702564" w:rsidP="00702564">
      <w:pPr>
        <w:rPr>
          <w:rFonts w:cs="Arial"/>
          <w:color w:val="000000"/>
          <w:sz w:val="24"/>
          <w:szCs w:val="24"/>
        </w:rPr>
      </w:pPr>
      <w:r w:rsidRPr="00800964">
        <w:rPr>
          <w:rFonts w:cs="Arial"/>
          <w:color w:val="000000"/>
          <w:sz w:val="24"/>
          <w:szCs w:val="24"/>
        </w:rPr>
        <w:br/>
        <w:t xml:space="preserve">Läkarintyget för </w:t>
      </w:r>
      <w:r w:rsidRPr="00800964">
        <w:rPr>
          <w:rFonts w:cs="Arial"/>
          <w:i/>
          <w:color w:val="000000"/>
          <w:sz w:val="24"/>
          <w:szCs w:val="24"/>
        </w:rPr>
        <w:t>Särskilt tandvårdsbidrag (STB)</w:t>
      </w:r>
      <w:r w:rsidRPr="00800964">
        <w:rPr>
          <w:rFonts w:cs="Arial"/>
          <w:color w:val="000000"/>
          <w:sz w:val="24"/>
          <w:szCs w:val="24"/>
        </w:rPr>
        <w:t xml:space="preserve"> ska däremot lämnas till patient.</w:t>
      </w:r>
    </w:p>
    <w:p w14:paraId="3C0B977D" w14:textId="77777777" w:rsidR="00702564" w:rsidRPr="00800964" w:rsidRDefault="00702564" w:rsidP="00702564">
      <w:pPr>
        <w:rPr>
          <w:rFonts w:cs="Arial"/>
          <w:color w:val="000000"/>
          <w:sz w:val="28"/>
          <w:szCs w:val="28"/>
        </w:rPr>
      </w:pPr>
    </w:p>
    <w:p w14:paraId="23BF68C2" w14:textId="77777777" w:rsidR="00702564" w:rsidRPr="00DB3871" w:rsidRDefault="00702564" w:rsidP="00702564">
      <w:pPr>
        <w:rPr>
          <w:rFonts w:cs="Arial"/>
          <w:bCs/>
          <w:color w:val="000000"/>
          <w:sz w:val="24"/>
          <w:szCs w:val="24"/>
        </w:rPr>
      </w:pPr>
      <w:r w:rsidRPr="00DB3871">
        <w:rPr>
          <w:rFonts w:cs="Arial"/>
          <w:bCs/>
          <w:color w:val="000000"/>
          <w:sz w:val="24"/>
          <w:szCs w:val="24"/>
        </w:rPr>
        <w:t>Blanketter för läkarintyg:</w:t>
      </w:r>
    </w:p>
    <w:p w14:paraId="0122A5DC" w14:textId="77777777" w:rsidR="00702564" w:rsidRPr="006707EA" w:rsidRDefault="00702564" w:rsidP="00702564">
      <w:pPr>
        <w:rPr>
          <w:rFonts w:cs="Arial"/>
          <w:color w:val="0070C0"/>
          <w:sz w:val="24"/>
          <w:szCs w:val="24"/>
        </w:rPr>
      </w:pPr>
      <w:hyperlink r:id="rId113" w:history="1">
        <w:r w:rsidRPr="006707EA">
          <w:rPr>
            <w:rFonts w:cs="Arial"/>
            <w:color w:val="0070C0"/>
            <w:sz w:val="24"/>
            <w:szCs w:val="24"/>
            <w:u w:val="single"/>
          </w:rPr>
          <w:t>Särskilt tandvårdsbidrag (STB)</w:t>
        </w:r>
      </w:hyperlink>
    </w:p>
    <w:p w14:paraId="2941920F" w14:textId="77777777" w:rsidR="00702564" w:rsidRPr="006707EA" w:rsidRDefault="00702564" w:rsidP="00702564">
      <w:pPr>
        <w:rPr>
          <w:color w:val="0070C0"/>
          <w:sz w:val="24"/>
          <w:szCs w:val="24"/>
        </w:rPr>
      </w:pPr>
      <w:hyperlink r:id="rId114" w:history="1">
        <w:r w:rsidRPr="006707EA">
          <w:rPr>
            <w:color w:val="0070C0"/>
            <w:sz w:val="24"/>
            <w:szCs w:val="24"/>
            <w:u w:val="single"/>
          </w:rPr>
          <w:t>Tandvård vid långvarig sjukdom eller funktionsnedsättning</w:t>
        </w:r>
      </w:hyperlink>
      <w:r w:rsidRPr="006707EA">
        <w:rPr>
          <w:color w:val="0070C0"/>
          <w:sz w:val="24"/>
          <w:szCs w:val="24"/>
        </w:rPr>
        <w:t xml:space="preserve"> </w:t>
      </w:r>
    </w:p>
    <w:p w14:paraId="538D1893" w14:textId="77777777" w:rsidR="00702564" w:rsidRDefault="00702564" w:rsidP="00702564">
      <w:pPr>
        <w:tabs>
          <w:tab w:val="clear" w:pos="284"/>
        </w:tabs>
        <w:spacing w:after="120" w:line="260" w:lineRule="atLeast"/>
      </w:pPr>
    </w:p>
    <w:p w14:paraId="66F49D8C" w14:textId="77777777" w:rsidR="00702564" w:rsidRPr="00DB3871" w:rsidRDefault="00702564" w:rsidP="00702564">
      <w:pPr>
        <w:rPr>
          <w:bCs/>
          <w:sz w:val="24"/>
          <w:szCs w:val="24"/>
        </w:rPr>
      </w:pPr>
      <w:r w:rsidRPr="00DB3871">
        <w:rPr>
          <w:bCs/>
          <w:sz w:val="24"/>
          <w:szCs w:val="24"/>
        </w:rPr>
        <w:t xml:space="preserve">För mer ingående information om tandvårdsstödet se Socialstyrelsens författningar kring tandvårdsstödet: </w:t>
      </w:r>
    </w:p>
    <w:p w14:paraId="514CF9CC" w14:textId="77777777" w:rsidR="00702564" w:rsidRPr="006707EA" w:rsidRDefault="00702564" w:rsidP="00702564">
      <w:pPr>
        <w:rPr>
          <w:color w:val="0070C0"/>
          <w:sz w:val="24"/>
          <w:szCs w:val="24"/>
        </w:rPr>
      </w:pPr>
      <w:hyperlink r:id="rId115" w:history="1">
        <w:r w:rsidRPr="006707EA">
          <w:rPr>
            <w:color w:val="0070C0"/>
            <w:sz w:val="24"/>
            <w:szCs w:val="24"/>
            <w:u w:val="single"/>
          </w:rPr>
          <w:t>Särskilt tandvårdsbidrag</w:t>
        </w:r>
      </w:hyperlink>
    </w:p>
    <w:p w14:paraId="1117DD35" w14:textId="77777777" w:rsidR="00702564" w:rsidRPr="006707EA" w:rsidRDefault="00702564" w:rsidP="00702564">
      <w:pPr>
        <w:autoSpaceDE w:val="0"/>
        <w:autoSpaceDN w:val="0"/>
        <w:adjustRightInd w:val="0"/>
        <w:rPr>
          <w:color w:val="0070C0"/>
          <w:sz w:val="24"/>
          <w:szCs w:val="24"/>
        </w:rPr>
      </w:pPr>
      <w:hyperlink r:id="rId116" w:history="1">
        <w:r w:rsidRPr="006707EA">
          <w:rPr>
            <w:rFonts w:cs="TimesNewRomanPSMT"/>
            <w:color w:val="0070C0"/>
            <w:sz w:val="24"/>
            <w:szCs w:val="24"/>
            <w:u w:val="single"/>
          </w:rPr>
          <w:t>Tandvård vid långvarig sjukdom eller funktionsnedsättning</w:t>
        </w:r>
      </w:hyperlink>
      <w:r w:rsidRPr="006707EA">
        <w:rPr>
          <w:rFonts w:cs="TimesNewRomanPSMT"/>
          <w:color w:val="0070C0"/>
          <w:sz w:val="24"/>
          <w:szCs w:val="24"/>
        </w:rPr>
        <w:t xml:space="preserve"> </w:t>
      </w:r>
    </w:p>
    <w:p w14:paraId="5B8DE26A" w14:textId="77777777" w:rsidR="00702564" w:rsidRPr="00800964" w:rsidRDefault="00702564" w:rsidP="00702564">
      <w:pPr>
        <w:autoSpaceDE w:val="0"/>
        <w:autoSpaceDN w:val="0"/>
        <w:adjustRightInd w:val="0"/>
        <w:rPr>
          <w:rFonts w:cs="TimesNewRomanPSMT"/>
          <w:sz w:val="28"/>
          <w:szCs w:val="26"/>
        </w:rPr>
      </w:pPr>
    </w:p>
    <w:p w14:paraId="6D33E422" w14:textId="77777777" w:rsidR="00702564" w:rsidRPr="00DB3871" w:rsidRDefault="00702564" w:rsidP="00702564">
      <w:pPr>
        <w:rPr>
          <w:rFonts w:cs="Arial"/>
          <w:color w:val="000000"/>
          <w:sz w:val="24"/>
          <w:szCs w:val="24"/>
        </w:rPr>
      </w:pPr>
      <w:r w:rsidRPr="00DB3871">
        <w:rPr>
          <w:rFonts w:cs="Arial"/>
          <w:color w:val="000000"/>
          <w:sz w:val="24"/>
          <w:szCs w:val="24"/>
        </w:rPr>
        <w:t>För mer värdefull information om tandvårdsstödet, samt information till patienter se:</w:t>
      </w:r>
    </w:p>
    <w:p w14:paraId="7AC3CE34" w14:textId="77777777" w:rsidR="00702564" w:rsidRPr="006707EA" w:rsidRDefault="00702564" w:rsidP="00702564">
      <w:pPr>
        <w:rPr>
          <w:color w:val="0070C0"/>
          <w:sz w:val="24"/>
          <w:szCs w:val="24"/>
        </w:rPr>
      </w:pPr>
      <w:r w:rsidRPr="00800964">
        <w:rPr>
          <w:sz w:val="24"/>
          <w:szCs w:val="24"/>
        </w:rPr>
        <w:lastRenderedPageBreak/>
        <w:t xml:space="preserve">1177 om </w:t>
      </w:r>
      <w:hyperlink r:id="rId117" w:history="1">
        <w:r w:rsidRPr="006707EA">
          <w:rPr>
            <w:color w:val="0070C0"/>
            <w:sz w:val="24"/>
            <w:szCs w:val="24"/>
            <w:u w:val="single"/>
          </w:rPr>
          <w:t>Särskilt tandvårdsbidrag</w:t>
        </w:r>
      </w:hyperlink>
    </w:p>
    <w:p w14:paraId="44CAA9C9" w14:textId="77777777" w:rsidR="00702564" w:rsidRPr="006707EA" w:rsidRDefault="00702564" w:rsidP="00702564">
      <w:pPr>
        <w:rPr>
          <w:color w:val="0070C0"/>
          <w:sz w:val="24"/>
          <w:szCs w:val="24"/>
        </w:rPr>
      </w:pPr>
      <w:r w:rsidRPr="00800964">
        <w:rPr>
          <w:sz w:val="24"/>
          <w:szCs w:val="24"/>
        </w:rPr>
        <w:t xml:space="preserve">1177 om </w:t>
      </w:r>
      <w:hyperlink r:id="rId118" w:history="1">
        <w:r w:rsidRPr="006707EA">
          <w:rPr>
            <w:color w:val="0070C0"/>
            <w:sz w:val="24"/>
            <w:szCs w:val="24"/>
            <w:u w:val="single"/>
          </w:rPr>
          <w:t>Tandvård vid långvarig sjukdom eller funktionsnedsättning</w:t>
        </w:r>
      </w:hyperlink>
    </w:p>
    <w:p w14:paraId="2DE05877" w14:textId="77777777" w:rsidR="00702564" w:rsidRPr="00622489" w:rsidRDefault="00702564" w:rsidP="00702564">
      <w:pPr>
        <w:pStyle w:val="Rubrik2"/>
        <w:rPr>
          <w:color w:val="FF0000"/>
        </w:rPr>
      </w:pPr>
      <w:r w:rsidRPr="00E0523D">
        <w:t>Mage – Tarm</w:t>
      </w:r>
      <w:r>
        <w:t xml:space="preserve">  </w:t>
      </w:r>
    </w:p>
    <w:p w14:paraId="12AE9BE9" w14:textId="77777777" w:rsidR="00702564" w:rsidRPr="00800964" w:rsidRDefault="00702564" w:rsidP="00702564">
      <w:pPr>
        <w:rPr>
          <w:rFonts w:asciiTheme="minorHAnsi" w:hAnsiTheme="minorHAnsi" w:cs="Arial"/>
          <w:sz w:val="24"/>
          <w:szCs w:val="24"/>
        </w:rPr>
      </w:pPr>
      <w:r w:rsidRPr="00800964">
        <w:rPr>
          <w:rFonts w:asciiTheme="minorHAnsi" w:hAnsiTheme="minorHAnsi" w:cs="Arial"/>
          <w:sz w:val="24"/>
          <w:szCs w:val="24"/>
        </w:rPr>
        <w:t>Då användningen av PPI länge har varit hög i Blekinge och att PPI de senaste åren satts i samband med ökad risk för allvarliga men sällsynta biverkningar, började Terapigrupp Mage-Tarm tillsammans med Läkemedelskommittén att verka för att minska den onödiga användningen. Förskrivningen är fortfarande bland de högre i landet, varför vi fortsätter att arbeta för att minska den onödiga användningen av PPI.</w:t>
      </w:r>
    </w:p>
    <w:p w14:paraId="4F9FE27B" w14:textId="77777777" w:rsidR="00702564" w:rsidRPr="00800964" w:rsidRDefault="00702564" w:rsidP="00702564">
      <w:pPr>
        <w:rPr>
          <w:rFonts w:asciiTheme="minorHAnsi" w:hAnsiTheme="minorHAnsi" w:cs="Arial"/>
          <w:sz w:val="24"/>
          <w:szCs w:val="24"/>
        </w:rPr>
      </w:pPr>
    </w:p>
    <w:p w14:paraId="43C0624C" w14:textId="77777777" w:rsidR="00702564" w:rsidRPr="00800964" w:rsidRDefault="00702564" w:rsidP="00702564">
      <w:pPr>
        <w:rPr>
          <w:rFonts w:asciiTheme="minorHAnsi" w:hAnsiTheme="minorHAnsi" w:cs="Arial"/>
          <w:sz w:val="24"/>
          <w:szCs w:val="24"/>
        </w:rPr>
      </w:pPr>
      <w:r w:rsidRPr="00800964">
        <w:rPr>
          <w:rFonts w:asciiTheme="minorHAnsi" w:hAnsiTheme="minorHAnsi"/>
          <w:sz w:val="24"/>
          <w:szCs w:val="24"/>
        </w:rPr>
        <w:t>PPI bör inte användas i onödan utan endast på de godkända indikationerna. PPI används dock v</w:t>
      </w:r>
      <w:r w:rsidRPr="00800964">
        <w:rPr>
          <w:rFonts w:asciiTheme="minorHAnsi" w:hAnsiTheme="minorHAnsi" w:cs="Arial"/>
          <w:sz w:val="24"/>
          <w:szCs w:val="24"/>
        </w:rPr>
        <w:t xml:space="preserve">id oklara obehag från övre delen av buken, funktionell dyspepsi eller IBS där PPI inte har bättre effekt än placebo. </w:t>
      </w:r>
    </w:p>
    <w:p w14:paraId="4687E0BD" w14:textId="77777777" w:rsidR="00702564" w:rsidRPr="00800964" w:rsidRDefault="00702564" w:rsidP="00702564">
      <w:pPr>
        <w:rPr>
          <w:rFonts w:asciiTheme="minorHAnsi" w:hAnsiTheme="minorHAnsi" w:cs="Arial"/>
          <w:sz w:val="24"/>
          <w:szCs w:val="24"/>
        </w:rPr>
      </w:pPr>
    </w:p>
    <w:p w14:paraId="65C59869" w14:textId="77777777" w:rsidR="00702564" w:rsidRPr="00800964" w:rsidRDefault="00702564" w:rsidP="00702564">
      <w:pPr>
        <w:rPr>
          <w:rFonts w:asciiTheme="minorHAnsi" w:hAnsiTheme="minorHAnsi"/>
          <w:sz w:val="24"/>
          <w:szCs w:val="24"/>
        </w:rPr>
      </w:pPr>
      <w:r w:rsidRPr="00800964">
        <w:rPr>
          <w:rFonts w:asciiTheme="minorHAnsi" w:hAnsiTheme="minorHAnsi"/>
          <w:sz w:val="24"/>
          <w:szCs w:val="24"/>
        </w:rPr>
        <w:t xml:space="preserve">Några av de allvarliga men sällsynta biverkningar som satts i samband med PPI är </w:t>
      </w:r>
      <w:r w:rsidRPr="00800964">
        <w:rPr>
          <w:rFonts w:asciiTheme="minorHAnsi" w:hAnsiTheme="minorHAnsi"/>
          <w:i/>
          <w:sz w:val="24"/>
          <w:szCs w:val="24"/>
        </w:rPr>
        <w:t>Clostridium difficile</w:t>
      </w:r>
      <w:r w:rsidRPr="00800964">
        <w:rPr>
          <w:rFonts w:asciiTheme="minorHAnsi" w:hAnsiTheme="minorHAnsi"/>
          <w:sz w:val="24"/>
          <w:szCs w:val="24"/>
        </w:rPr>
        <w:t xml:space="preserve">-infektion, njurpåverkan, hypomagnesemi, frakturer och pneumoni. PPI interagerar också med många andra läkemedel vars effekt kan påverkas. Några exempel är doxycyklin, klopidogrel, och escitalopram. Dessutom kan reboundfenomen uppstå på grund av hypersekretion vid abrupt avslut, vilket kan bidra till att patienter fortsätter med PPI. </w:t>
      </w:r>
    </w:p>
    <w:p w14:paraId="6874E79B" w14:textId="77777777" w:rsidR="00702564" w:rsidRPr="00800964" w:rsidRDefault="00702564" w:rsidP="00702564">
      <w:pPr>
        <w:rPr>
          <w:rFonts w:asciiTheme="minorHAnsi" w:hAnsiTheme="minorHAnsi"/>
          <w:sz w:val="24"/>
          <w:szCs w:val="24"/>
        </w:rPr>
      </w:pPr>
    </w:p>
    <w:p w14:paraId="67E621FD" w14:textId="77777777" w:rsidR="00702564" w:rsidRPr="00800964" w:rsidRDefault="00702564" w:rsidP="00702564">
      <w:pPr>
        <w:rPr>
          <w:rFonts w:asciiTheme="minorHAnsi" w:hAnsiTheme="minorHAnsi" w:cs="Arial"/>
          <w:sz w:val="24"/>
          <w:szCs w:val="24"/>
        </w:rPr>
      </w:pPr>
      <w:r w:rsidRPr="00800964">
        <w:rPr>
          <w:rFonts w:asciiTheme="minorHAnsi" w:hAnsiTheme="minorHAnsi" w:cs="Arial"/>
          <w:sz w:val="24"/>
          <w:szCs w:val="24"/>
        </w:rPr>
        <w:t>Även om PPI går att köpa receptfritt står receptförskrivet PPI för majoriteten av användningen.</w:t>
      </w:r>
    </w:p>
    <w:p w14:paraId="02B2CA58" w14:textId="77777777" w:rsidR="00702564" w:rsidRPr="00800964" w:rsidRDefault="00702564" w:rsidP="00702564">
      <w:pPr>
        <w:rPr>
          <w:rFonts w:asciiTheme="minorHAnsi" w:hAnsiTheme="minorHAnsi" w:cs="Arial"/>
          <w:sz w:val="24"/>
          <w:szCs w:val="24"/>
        </w:rPr>
      </w:pPr>
    </w:p>
    <w:p w14:paraId="200946DF" w14:textId="77777777" w:rsidR="00702564" w:rsidRPr="00800964" w:rsidRDefault="00702564" w:rsidP="00702564">
      <w:pPr>
        <w:numPr>
          <w:ilvl w:val="0"/>
          <w:numId w:val="43"/>
        </w:numPr>
        <w:tabs>
          <w:tab w:val="clear" w:pos="284"/>
        </w:tabs>
        <w:spacing w:line="240" w:lineRule="auto"/>
        <w:rPr>
          <w:rFonts w:asciiTheme="minorHAnsi" w:hAnsiTheme="minorHAnsi" w:cs="Arial"/>
          <w:bCs/>
          <w:sz w:val="24"/>
          <w:szCs w:val="24"/>
        </w:rPr>
      </w:pPr>
      <w:r w:rsidRPr="00800964">
        <w:rPr>
          <w:rFonts w:asciiTheme="minorHAnsi" w:hAnsiTheme="minorHAnsi" w:cs="Arial"/>
          <w:bCs/>
          <w:sz w:val="24"/>
          <w:szCs w:val="24"/>
        </w:rPr>
        <w:t>Ange tydlig indikation vid insättande av PPI och om behandlingstiden är begränsad.</w:t>
      </w:r>
    </w:p>
    <w:p w14:paraId="1EF095A2" w14:textId="77777777" w:rsidR="00702564" w:rsidRPr="00800964" w:rsidRDefault="00702564" w:rsidP="00702564">
      <w:pPr>
        <w:numPr>
          <w:ilvl w:val="0"/>
          <w:numId w:val="43"/>
        </w:numPr>
        <w:tabs>
          <w:tab w:val="clear" w:pos="284"/>
        </w:tabs>
        <w:spacing w:line="240" w:lineRule="auto"/>
        <w:rPr>
          <w:rFonts w:asciiTheme="minorHAnsi" w:hAnsiTheme="minorHAnsi" w:cs="Arial"/>
          <w:bCs/>
          <w:sz w:val="24"/>
          <w:szCs w:val="24"/>
        </w:rPr>
      </w:pPr>
      <w:r w:rsidRPr="00800964">
        <w:rPr>
          <w:rFonts w:asciiTheme="minorHAnsi" w:hAnsiTheme="minorHAnsi" w:cs="Arial"/>
          <w:bCs/>
          <w:sz w:val="24"/>
          <w:szCs w:val="24"/>
        </w:rPr>
        <w:t>Förnya inte recept slentrianmässigt utan att utvärdera/ifrågasätt om indikationen kvarstår.</w:t>
      </w:r>
    </w:p>
    <w:p w14:paraId="0EA93050" w14:textId="77777777" w:rsidR="00702564" w:rsidRPr="00800964" w:rsidRDefault="00702564" w:rsidP="00702564">
      <w:pPr>
        <w:numPr>
          <w:ilvl w:val="0"/>
          <w:numId w:val="43"/>
        </w:numPr>
        <w:tabs>
          <w:tab w:val="clear" w:pos="284"/>
        </w:tabs>
        <w:spacing w:line="240" w:lineRule="auto"/>
        <w:rPr>
          <w:rFonts w:asciiTheme="minorHAnsi" w:hAnsiTheme="minorHAnsi" w:cs="Arial"/>
          <w:bCs/>
          <w:sz w:val="24"/>
          <w:szCs w:val="24"/>
        </w:rPr>
      </w:pPr>
      <w:r w:rsidRPr="00800964">
        <w:rPr>
          <w:rFonts w:asciiTheme="minorHAnsi" w:hAnsiTheme="minorHAnsi" w:cs="Arial"/>
          <w:bCs/>
          <w:sz w:val="24"/>
          <w:szCs w:val="24"/>
        </w:rPr>
        <w:t>Förskriv inte PPI till patienter med funktionell dyspepsi.</w:t>
      </w:r>
    </w:p>
    <w:p w14:paraId="0BAF12FB" w14:textId="77777777" w:rsidR="00702564" w:rsidRPr="00800964" w:rsidRDefault="00702564" w:rsidP="00702564">
      <w:pPr>
        <w:rPr>
          <w:rFonts w:asciiTheme="minorHAnsi" w:hAnsiTheme="minorHAnsi" w:cs="Arial"/>
          <w:sz w:val="24"/>
          <w:szCs w:val="24"/>
        </w:rPr>
      </w:pPr>
    </w:p>
    <w:p w14:paraId="5677D736" w14:textId="77777777" w:rsidR="00702564" w:rsidRPr="00800964" w:rsidRDefault="00702564" w:rsidP="00702564">
      <w:pPr>
        <w:rPr>
          <w:rFonts w:asciiTheme="minorHAnsi" w:hAnsiTheme="minorHAnsi" w:cs="Arial"/>
          <w:sz w:val="24"/>
          <w:szCs w:val="24"/>
        </w:rPr>
      </w:pPr>
      <w:r w:rsidRPr="00800964">
        <w:rPr>
          <w:rFonts w:asciiTheme="minorHAnsi" w:hAnsiTheme="minorHAnsi" w:cs="Arial"/>
          <w:sz w:val="24"/>
          <w:szCs w:val="24"/>
        </w:rPr>
        <w:t xml:space="preserve">Terapigrupp Mage–tarm har tillsammans med Läkemedelskommittén tagit fram en patientbroschyr som är tänkt att delas ut i patientmötet till de patienter där avslut av behandlingen kan vara aktuell. </w:t>
      </w:r>
    </w:p>
    <w:p w14:paraId="4E881D04" w14:textId="77777777" w:rsidR="00702564" w:rsidRPr="00800964" w:rsidRDefault="00702564" w:rsidP="00702564">
      <w:pPr>
        <w:rPr>
          <w:rFonts w:asciiTheme="minorHAnsi" w:hAnsiTheme="minorHAnsi"/>
          <w:sz w:val="24"/>
          <w:szCs w:val="24"/>
        </w:rPr>
      </w:pPr>
      <w:r w:rsidRPr="00800964">
        <w:rPr>
          <w:rFonts w:asciiTheme="minorHAnsi" w:hAnsiTheme="minorHAnsi" w:cs="Arial"/>
          <w:sz w:val="24"/>
          <w:szCs w:val="24"/>
        </w:rPr>
        <w:t xml:space="preserve">Det finns även centrala favoriter i journalsystemet med ett nedtrappningsschema för omeprazol 20 mg och en favorit för kortvarig behandling med 14-förpackning som ingår i förmånen. </w:t>
      </w:r>
      <w:r>
        <w:rPr>
          <w:rFonts w:asciiTheme="minorHAnsi" w:hAnsiTheme="minorHAnsi" w:cs="Arial"/>
          <w:sz w:val="24"/>
          <w:szCs w:val="24"/>
        </w:rPr>
        <w:br/>
      </w:r>
      <w:r>
        <w:rPr>
          <w:rFonts w:asciiTheme="minorHAnsi" w:hAnsiTheme="minorHAnsi" w:cs="Arial"/>
          <w:sz w:val="24"/>
          <w:szCs w:val="24"/>
        </w:rPr>
        <w:br/>
      </w:r>
      <w:r w:rsidRPr="00800964">
        <w:rPr>
          <w:rFonts w:asciiTheme="minorHAnsi" w:hAnsiTheme="minorHAnsi" w:cs="Arial"/>
          <w:sz w:val="24"/>
          <w:szCs w:val="24"/>
        </w:rPr>
        <w:t>Länk till patientbroschyr</w:t>
      </w:r>
      <w:r w:rsidRPr="00800964">
        <w:rPr>
          <w:rFonts w:asciiTheme="minorHAnsi" w:hAnsiTheme="minorHAnsi" w:cs="Arial"/>
          <w:strike/>
          <w:sz w:val="24"/>
          <w:szCs w:val="24"/>
        </w:rPr>
        <w:t xml:space="preserve"> </w:t>
      </w:r>
      <w:r w:rsidRPr="00800964">
        <w:rPr>
          <w:rFonts w:asciiTheme="minorHAnsi" w:hAnsiTheme="minorHAnsi" w:cs="Arial"/>
          <w:strike/>
          <w:sz w:val="24"/>
          <w:szCs w:val="24"/>
        </w:rPr>
        <w:br/>
      </w:r>
      <w:hyperlink r:id="rId119" w:history="1">
        <w:r w:rsidRPr="006A371B">
          <w:rPr>
            <w:rStyle w:val="Hyperlnk"/>
            <w:rFonts w:asciiTheme="minorHAnsi" w:hAnsiTheme="minorHAnsi"/>
            <w:color w:val="0070C0"/>
          </w:rPr>
          <w:t>Patientfolder – Information om omeprazol och andra protonpumpshämmare.pdf (regionblekinge.se)</w:t>
        </w:r>
      </w:hyperlink>
    </w:p>
    <w:p w14:paraId="56CDF998" w14:textId="77777777" w:rsidR="00702564" w:rsidRPr="00E0523D" w:rsidRDefault="00702564" w:rsidP="00702564">
      <w:pPr>
        <w:pStyle w:val="Rubrik2"/>
      </w:pPr>
      <w:r w:rsidRPr="00E0523D">
        <w:t>Dyspepsi</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1263B7" w14:paraId="746379C3" w14:textId="77777777" w:rsidTr="00632FCC">
        <w:tc>
          <w:tcPr>
            <w:tcW w:w="4531" w:type="dxa"/>
          </w:tcPr>
          <w:p w14:paraId="36ED1F93" w14:textId="77777777" w:rsidR="00702564" w:rsidRPr="001263B7" w:rsidRDefault="00702564" w:rsidP="00632FCC">
            <w:pPr>
              <w:autoSpaceDE w:val="0"/>
              <w:autoSpaceDN w:val="0"/>
              <w:adjustRightInd w:val="0"/>
              <w:rPr>
                <w:color w:val="000000"/>
                <w:sz w:val="24"/>
                <w:szCs w:val="28"/>
              </w:rPr>
            </w:pPr>
            <w:r w:rsidRPr="001263B7">
              <w:rPr>
                <w:b/>
                <w:bCs/>
                <w:iCs/>
                <w:sz w:val="24"/>
                <w:szCs w:val="28"/>
              </w:rPr>
              <w:t>Mg+</w:t>
            </w:r>
            <w:r>
              <w:rPr>
                <w:b/>
                <w:bCs/>
                <w:iCs/>
                <w:sz w:val="24"/>
                <w:szCs w:val="28"/>
              </w:rPr>
              <w:t>Ca</w:t>
            </w:r>
            <w:r w:rsidRPr="001263B7">
              <w:rPr>
                <w:b/>
                <w:bCs/>
                <w:iCs/>
                <w:sz w:val="24"/>
                <w:szCs w:val="28"/>
              </w:rPr>
              <w:t>-salter</w:t>
            </w:r>
          </w:p>
        </w:tc>
        <w:tc>
          <w:tcPr>
            <w:tcW w:w="4531" w:type="dxa"/>
          </w:tcPr>
          <w:p w14:paraId="41E11EB2" w14:textId="77777777" w:rsidR="00702564" w:rsidRPr="001263B7" w:rsidRDefault="00702564" w:rsidP="00632FCC">
            <w:pPr>
              <w:autoSpaceDE w:val="0"/>
              <w:autoSpaceDN w:val="0"/>
              <w:adjustRightInd w:val="0"/>
              <w:rPr>
                <w:color w:val="000000"/>
                <w:sz w:val="24"/>
                <w:szCs w:val="28"/>
              </w:rPr>
            </w:pPr>
            <w:r w:rsidRPr="001263B7">
              <w:rPr>
                <w:bCs/>
                <w:spacing w:val="-1"/>
                <w:sz w:val="24"/>
                <w:szCs w:val="28"/>
              </w:rPr>
              <w:t>Novalu</w:t>
            </w:r>
            <w:r>
              <w:rPr>
                <w:bCs/>
                <w:spacing w:val="-1"/>
                <w:sz w:val="24"/>
                <w:szCs w:val="28"/>
              </w:rPr>
              <w:t>col, Abecol, Refluxid, Rennie</w:t>
            </w:r>
            <w:r w:rsidRPr="001263B7">
              <w:rPr>
                <w:bCs/>
                <w:spacing w:val="-1"/>
                <w:sz w:val="24"/>
                <w:szCs w:val="28"/>
              </w:rPr>
              <w:br/>
            </w:r>
          </w:p>
        </w:tc>
      </w:tr>
    </w:tbl>
    <w:p w14:paraId="27432BA5" w14:textId="77777777" w:rsidR="00702564" w:rsidRPr="0071138D" w:rsidRDefault="00702564" w:rsidP="00702564">
      <w:pPr>
        <w:autoSpaceDE w:val="0"/>
        <w:autoSpaceDN w:val="0"/>
        <w:adjustRightInd w:val="0"/>
        <w:rPr>
          <w:color w:val="000000"/>
          <w:szCs w:val="24"/>
        </w:rPr>
      </w:pPr>
    </w:p>
    <w:p w14:paraId="56EE31E1" w14:textId="77777777" w:rsidR="00702564" w:rsidRPr="001263B7" w:rsidRDefault="00702564" w:rsidP="00702564">
      <w:pPr>
        <w:tabs>
          <w:tab w:val="clear" w:pos="284"/>
        </w:tabs>
        <w:autoSpaceDE w:val="0"/>
        <w:autoSpaceDN w:val="0"/>
        <w:adjustRightInd w:val="0"/>
        <w:spacing w:line="240" w:lineRule="auto"/>
        <w:rPr>
          <w:rFonts w:cs="Arial"/>
          <w:bCs/>
          <w:sz w:val="24"/>
          <w:szCs w:val="24"/>
          <w14:numForm w14:val="lining"/>
        </w:rPr>
      </w:pPr>
      <w:r w:rsidRPr="001263B7">
        <w:rPr>
          <w:rFonts w:cs="Arial"/>
          <w:bCs/>
          <w:sz w:val="24"/>
          <w:szCs w:val="24"/>
          <w14:numForm w14:val="lining"/>
        </w:rPr>
        <w:t xml:space="preserve">Dyspepsi är ett sammanfattande begrepp för symptom (uppkördhet efter maten, tidig mättnadskänsla, smärta eller brännande känsla lokaliserad till övre delen av buken/epigastriet) som antas ha sitt ursprung i magsäcken eller tolvfingertarmen. Med ”Outredd dyspepsi” (efter engelskan ”uninvestigated dyspepsia”) avses enligt SBU det symptomkluster som en patient presenterar vid första läkarbesöket. </w:t>
      </w:r>
    </w:p>
    <w:p w14:paraId="0AFC75E2" w14:textId="77777777" w:rsidR="00702564" w:rsidRPr="001263B7" w:rsidRDefault="00702564" w:rsidP="00702564">
      <w:pPr>
        <w:autoSpaceDE w:val="0"/>
        <w:autoSpaceDN w:val="0"/>
        <w:adjustRightInd w:val="0"/>
        <w:rPr>
          <w:rFonts w:cs="Arial"/>
          <w:bCs/>
          <w:sz w:val="24"/>
          <w:szCs w:val="24"/>
          <w14:numForm w14:val="lining"/>
        </w:rPr>
      </w:pPr>
      <w:r w:rsidRPr="001263B7">
        <w:rPr>
          <w:rFonts w:cs="Arial"/>
          <w:bCs/>
          <w:sz w:val="24"/>
          <w:szCs w:val="24"/>
          <w14:numForm w14:val="lining"/>
        </w:rPr>
        <w:lastRenderedPageBreak/>
        <w:t xml:space="preserve">Orsaken kan vara organisk dvs. upptäckbar med undersökningsmetoder, använda i klinisk vardag, dvs. i praktiken oftast gastroskopi. Om man inte finner någon förklaring vid rimlig utredning benämns dyspepsin som funktionell. </w:t>
      </w:r>
    </w:p>
    <w:p w14:paraId="12431D38" w14:textId="77777777" w:rsidR="00702564" w:rsidRPr="0071138D" w:rsidRDefault="00702564" w:rsidP="00702564">
      <w:pPr>
        <w:autoSpaceDE w:val="0"/>
        <w:autoSpaceDN w:val="0"/>
        <w:adjustRightInd w:val="0"/>
        <w:rPr>
          <w:color w:val="000000"/>
          <w:szCs w:val="24"/>
        </w:rPr>
      </w:pPr>
    </w:p>
    <w:p w14:paraId="33C4B713" w14:textId="77777777" w:rsidR="00702564" w:rsidRPr="0071138D" w:rsidRDefault="00702564" w:rsidP="00702564">
      <w:pPr>
        <w:autoSpaceDE w:val="0"/>
        <w:autoSpaceDN w:val="0"/>
        <w:adjustRightInd w:val="0"/>
        <w:rPr>
          <w:color w:val="000000"/>
          <w:szCs w:val="24"/>
        </w:rPr>
      </w:pPr>
      <w:r w:rsidRPr="0071138D">
        <w:rPr>
          <w:noProof/>
          <w:lang w:eastAsia="sv-SE"/>
        </w:rPr>
        <w:drawing>
          <wp:inline distT="0" distB="0" distL="0" distR="0" wp14:anchorId="070ED4D3" wp14:editId="693523A3">
            <wp:extent cx="5819775" cy="4038600"/>
            <wp:effectExtent l="0" t="0" r="9525" b="0"/>
            <wp:docPr id="711895428" name="Bildobjekt 711895428"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95428" name="Bildobjekt 711895428" descr="En bild som visar text, skärmbild, Teckensnitt, nummer&#10;&#10;AI-genererat innehåll kan vara felaktigt."/>
                    <pic:cNvPicPr/>
                  </pic:nvPicPr>
                  <pic:blipFill>
                    <a:blip r:embed="rId120"/>
                    <a:stretch>
                      <a:fillRect/>
                    </a:stretch>
                  </pic:blipFill>
                  <pic:spPr>
                    <a:xfrm>
                      <a:off x="0" y="0"/>
                      <a:ext cx="5819775" cy="4038600"/>
                    </a:xfrm>
                    <a:prstGeom prst="rect">
                      <a:avLst/>
                    </a:prstGeom>
                  </pic:spPr>
                </pic:pic>
              </a:graphicData>
            </a:graphic>
          </wp:inline>
        </w:drawing>
      </w:r>
    </w:p>
    <w:p w14:paraId="1CB0238E" w14:textId="77777777" w:rsidR="00702564" w:rsidRPr="0071138D" w:rsidRDefault="00702564" w:rsidP="00702564">
      <w:pPr>
        <w:autoSpaceDE w:val="0"/>
        <w:autoSpaceDN w:val="0"/>
        <w:adjustRightInd w:val="0"/>
        <w:rPr>
          <w:i/>
          <w:color w:val="000000"/>
          <w:szCs w:val="24"/>
        </w:rPr>
      </w:pPr>
      <w:r w:rsidRPr="0071138D">
        <w:rPr>
          <w:i/>
          <w:color w:val="000000"/>
          <w:szCs w:val="24"/>
        </w:rPr>
        <w:t xml:space="preserve">Handläggning outredd dyspepsi enligt SBU </w:t>
      </w:r>
      <w:hyperlink r:id="rId121" w:history="1">
        <w:r w:rsidRPr="0071138D">
          <w:rPr>
            <w:i/>
            <w:color w:val="6E368C" w:themeColor="hyperlink"/>
            <w:szCs w:val="24"/>
            <w:u w:val="single"/>
          </w:rPr>
          <w:t>https://www.sbu.se/sv/publikationer/SBU-utvarderar/dyspepsi-och-reflux-/</w:t>
        </w:r>
      </w:hyperlink>
    </w:p>
    <w:p w14:paraId="2C50B549" w14:textId="77777777" w:rsidR="00702564" w:rsidRPr="005A5131" w:rsidRDefault="00702564" w:rsidP="00702564">
      <w:pPr>
        <w:autoSpaceDE w:val="0"/>
        <w:autoSpaceDN w:val="0"/>
        <w:adjustRightInd w:val="0"/>
        <w:ind w:right="-570"/>
        <w:rPr>
          <w:rFonts w:cs="GaramondBerthBQ-Regular"/>
          <w:sz w:val="24"/>
          <w:szCs w:val="24"/>
        </w:rPr>
      </w:pPr>
      <w:r w:rsidRPr="0071138D">
        <w:rPr>
          <w:color w:val="000000"/>
          <w:szCs w:val="24"/>
        </w:rPr>
        <w:t xml:space="preserve">Funktionell dyspepsi anses troligast bero på en kombination av motorikstörning och ökad smärtkänslighet i magsäcken, i perifera eller centrala nervsystemet. </w:t>
      </w:r>
      <w:r>
        <w:rPr>
          <w:color w:val="000000"/>
          <w:szCs w:val="24"/>
        </w:rPr>
        <w:br/>
      </w:r>
      <w:r>
        <w:rPr>
          <w:color w:val="000000"/>
          <w:szCs w:val="24"/>
        </w:rPr>
        <w:br/>
      </w:r>
      <w:r w:rsidRPr="001263B7">
        <w:rPr>
          <w:color w:val="000000"/>
          <w:sz w:val="24"/>
          <w:szCs w:val="28"/>
        </w:rPr>
        <w:t xml:space="preserve">För patienter med funktionell dyspepsi utan organisk påvisbar sjukdom, finns ingen säkert effektiv farmakologisk behandling. Hos majoriteten av patienterna utan symptom på GERD </w:t>
      </w:r>
      <w:r w:rsidRPr="001263B7">
        <w:rPr>
          <w:rFonts w:cs="Arial"/>
          <w:sz w:val="24"/>
          <w:szCs w:val="28"/>
        </w:rPr>
        <w:t>(gastroesofageal refluxsjukdom)</w:t>
      </w:r>
      <w:r w:rsidRPr="001263B7">
        <w:rPr>
          <w:color w:val="000000"/>
          <w:sz w:val="24"/>
          <w:szCs w:val="28"/>
        </w:rPr>
        <w:t xml:space="preserve"> är effekten av syrahämmande läkemedel (H</w:t>
      </w:r>
      <w:r w:rsidRPr="001263B7">
        <w:rPr>
          <w:color w:val="000000"/>
          <w:sz w:val="24"/>
          <w:szCs w:val="28"/>
          <w:vertAlign w:val="subscript"/>
        </w:rPr>
        <w:t>2</w:t>
      </w:r>
      <w:r w:rsidRPr="001263B7">
        <w:rPr>
          <w:color w:val="000000"/>
          <w:sz w:val="24"/>
          <w:szCs w:val="28"/>
        </w:rPr>
        <w:t xml:space="preserve">-blockare och PPI) således </w:t>
      </w:r>
      <w:r w:rsidRPr="001263B7">
        <w:rPr>
          <w:color w:val="000000"/>
          <w:sz w:val="24"/>
          <w:szCs w:val="24"/>
        </w:rPr>
        <w:t xml:space="preserve">sannolikt i nivå med placebo. </w:t>
      </w:r>
      <w:r w:rsidRPr="001263B7">
        <w:rPr>
          <w:rFonts w:cs="GaramondBerthBQ-Regular"/>
          <w:sz w:val="24"/>
          <w:szCs w:val="24"/>
        </w:rPr>
        <w:t xml:space="preserve">För patienter utan refluxbesvär rekommenderas därför inte syrahämmande läkemedel. </w:t>
      </w:r>
      <w:r>
        <w:rPr>
          <w:rFonts w:cs="GaramondBerthBQ-Regular"/>
          <w:sz w:val="24"/>
          <w:szCs w:val="24"/>
        </w:rPr>
        <w:br/>
      </w:r>
      <w:r w:rsidRPr="001263B7">
        <w:rPr>
          <w:color w:val="000000"/>
          <w:sz w:val="24"/>
          <w:szCs w:val="24"/>
        </w:rPr>
        <w:t xml:space="preserve">För antacida finns heller ingen signifikant effekt. För att kunna erbjuda ett alternativ till dessa patienter har terapigrupp Mage-tarm ändå lagt till </w:t>
      </w:r>
      <w:r>
        <w:rPr>
          <w:color w:val="000000"/>
          <w:sz w:val="24"/>
          <w:szCs w:val="24"/>
        </w:rPr>
        <w:t>syrabindande, receptfria preparat med Ca-Mg-salter</w:t>
      </w:r>
      <w:r w:rsidRPr="001263B7">
        <w:rPr>
          <w:color w:val="000000"/>
          <w:sz w:val="24"/>
          <w:szCs w:val="24"/>
        </w:rPr>
        <w:t xml:space="preserve"> vid dyspepsi. I och med att l</w:t>
      </w:r>
      <w:r w:rsidRPr="001263B7">
        <w:rPr>
          <w:rFonts w:cs="GaramondBerthBQ-Regular"/>
          <w:sz w:val="24"/>
          <w:szCs w:val="24"/>
        </w:rPr>
        <w:t xml:space="preserve">äkemedelsbehandling har tveksam effekt skall den enbart </w:t>
      </w:r>
      <w:r>
        <w:rPr>
          <w:rFonts w:cs="GaramondBerthBQ-Regular"/>
          <w:sz w:val="24"/>
          <w:szCs w:val="24"/>
        </w:rPr>
        <w:t>användas</w:t>
      </w:r>
      <w:r w:rsidRPr="001263B7">
        <w:rPr>
          <w:rFonts w:cs="GaramondBerthBQ-Regular"/>
          <w:sz w:val="24"/>
          <w:szCs w:val="24"/>
        </w:rPr>
        <w:t xml:space="preserve"> om den har tydlig effekt på symptomen.</w:t>
      </w:r>
      <w:r w:rsidRPr="001263B7">
        <w:rPr>
          <w:rFonts w:cs="GaramondBerthBQ-Regular"/>
          <w:sz w:val="24"/>
          <w:szCs w:val="24"/>
        </w:rPr>
        <w:br/>
      </w:r>
    </w:p>
    <w:p w14:paraId="2F477BED" w14:textId="77777777" w:rsidR="00702564" w:rsidRPr="001263B7" w:rsidRDefault="00702564" w:rsidP="00702564">
      <w:pPr>
        <w:autoSpaceDE w:val="0"/>
        <w:autoSpaceDN w:val="0"/>
        <w:adjustRightInd w:val="0"/>
        <w:rPr>
          <w:rFonts w:cs="GaramondBerthBQ-Regular"/>
          <w:sz w:val="24"/>
          <w:szCs w:val="24"/>
        </w:rPr>
      </w:pPr>
      <w:r w:rsidRPr="001263B7">
        <w:rPr>
          <w:rFonts w:cs="GaramondBerthBQ-Regular"/>
          <w:sz w:val="24"/>
          <w:szCs w:val="24"/>
        </w:rPr>
        <w:t>Icke farmakologiska åtgärder är prioriterade. Beakta rökning, alkoholvanor, övervikt och kostvanor.</w:t>
      </w:r>
    </w:p>
    <w:p w14:paraId="6469F4BC" w14:textId="77777777" w:rsidR="00702564" w:rsidRDefault="00702564" w:rsidP="00702564">
      <w:pPr>
        <w:pStyle w:val="Rubrik2"/>
      </w:pPr>
    </w:p>
    <w:p w14:paraId="4FDEAEA2" w14:textId="77777777" w:rsidR="00702564" w:rsidRPr="001958A5" w:rsidRDefault="00702564" w:rsidP="00702564">
      <w:pPr>
        <w:pStyle w:val="Rubrik2"/>
      </w:pPr>
      <w:r w:rsidRPr="001958A5">
        <w:t>Länkar och referenser</w:t>
      </w:r>
    </w:p>
    <w:p w14:paraId="2CDE4AA1" w14:textId="77777777" w:rsidR="00702564" w:rsidRPr="001263B7" w:rsidRDefault="00702564" w:rsidP="00702564">
      <w:pPr>
        <w:pStyle w:val="Liststycke"/>
        <w:numPr>
          <w:ilvl w:val="0"/>
          <w:numId w:val="46"/>
        </w:numPr>
        <w:contextualSpacing/>
        <w:rPr>
          <w:color w:val="000000"/>
          <w:sz w:val="24"/>
          <w:szCs w:val="24"/>
        </w:rPr>
      </w:pPr>
      <w:r w:rsidRPr="001263B7">
        <w:rPr>
          <w:color w:val="000000"/>
          <w:sz w:val="24"/>
          <w:szCs w:val="24"/>
        </w:rPr>
        <w:t xml:space="preserve">Nationell riktlinje 2019, </w:t>
      </w:r>
      <w:hyperlink r:id="rId122" w:history="1">
        <w:r w:rsidRPr="006A371B">
          <w:rPr>
            <w:color w:val="0070C0"/>
            <w:sz w:val="24"/>
            <w:szCs w:val="24"/>
            <w:u w:val="single"/>
          </w:rPr>
          <w:t>Outredd dyspepsi, okomplicerade duodenal- och ventrikelsår samt funktionell dyspepsi</w:t>
        </w:r>
      </w:hyperlink>
      <w:r w:rsidRPr="006A371B">
        <w:rPr>
          <w:color w:val="0070C0"/>
          <w:sz w:val="24"/>
          <w:szCs w:val="24"/>
        </w:rPr>
        <w:t>,</w:t>
      </w:r>
      <w:r w:rsidRPr="001263B7">
        <w:rPr>
          <w:color w:val="000000"/>
          <w:sz w:val="24"/>
          <w:szCs w:val="24"/>
        </w:rPr>
        <w:t xml:space="preserve"> Svensk Gastroenterologisk Föreningsstyrelse i samarbete med Svensk Förening för Allmänmedicin (SFAM)</w:t>
      </w:r>
    </w:p>
    <w:p w14:paraId="66E1CACB" w14:textId="77777777" w:rsidR="00702564" w:rsidRPr="001263B7" w:rsidRDefault="00702564" w:rsidP="00702564">
      <w:pPr>
        <w:pStyle w:val="Liststycke"/>
        <w:numPr>
          <w:ilvl w:val="0"/>
          <w:numId w:val="46"/>
        </w:numPr>
        <w:contextualSpacing/>
        <w:rPr>
          <w:color w:val="000000"/>
          <w:sz w:val="24"/>
          <w:szCs w:val="24"/>
        </w:rPr>
      </w:pPr>
      <w:r w:rsidRPr="001263B7">
        <w:rPr>
          <w:color w:val="000000"/>
          <w:sz w:val="24"/>
          <w:szCs w:val="24"/>
        </w:rPr>
        <w:t xml:space="preserve">SBU, </w:t>
      </w:r>
      <w:hyperlink r:id="rId123" w:history="1">
        <w:r w:rsidRPr="006A371B">
          <w:rPr>
            <w:color w:val="0070C0"/>
            <w:sz w:val="24"/>
            <w:szCs w:val="24"/>
            <w:u w:val="single"/>
          </w:rPr>
          <w:t>Dyspepsi och Reflux</w:t>
        </w:r>
      </w:hyperlink>
      <w:r w:rsidRPr="006A371B">
        <w:rPr>
          <w:color w:val="0070C0"/>
          <w:sz w:val="24"/>
          <w:szCs w:val="24"/>
          <w:u w:val="single"/>
        </w:rPr>
        <w:t xml:space="preserve"> – en systematisk litteraturöversikt</w:t>
      </w:r>
    </w:p>
    <w:p w14:paraId="7F2DB272" w14:textId="77777777" w:rsidR="00702564" w:rsidRPr="001263B7" w:rsidRDefault="00702564" w:rsidP="00702564">
      <w:pPr>
        <w:pStyle w:val="Liststycke"/>
        <w:numPr>
          <w:ilvl w:val="0"/>
          <w:numId w:val="46"/>
        </w:numPr>
        <w:contextualSpacing/>
        <w:rPr>
          <w:color w:val="000000"/>
          <w:sz w:val="24"/>
          <w:szCs w:val="24"/>
        </w:rPr>
      </w:pPr>
      <w:r w:rsidRPr="001263B7">
        <w:rPr>
          <w:color w:val="000000"/>
          <w:sz w:val="24"/>
          <w:szCs w:val="24"/>
        </w:rPr>
        <w:t xml:space="preserve">Läkemedelsboken (LB), </w:t>
      </w:r>
      <w:hyperlink r:id="rId124" w:anchor="b1_42" w:history="1">
        <w:r w:rsidRPr="006A371B">
          <w:rPr>
            <w:color w:val="0070C0"/>
            <w:sz w:val="24"/>
            <w:szCs w:val="24"/>
            <w:u w:val="single"/>
          </w:rPr>
          <w:t>Behandling vid funktionell dyspepsi</w:t>
        </w:r>
      </w:hyperlink>
    </w:p>
    <w:p w14:paraId="1723C46A" w14:textId="77777777" w:rsidR="00702564" w:rsidRDefault="00702564" w:rsidP="00702564">
      <w:pPr>
        <w:pStyle w:val="Rubrik2"/>
      </w:pPr>
      <w:r w:rsidRPr="00E0523D">
        <w:t>Gastroesofageal refluxsjukdom (GERD)</w:t>
      </w:r>
    </w:p>
    <w:p w14:paraId="5232D9DE" w14:textId="77777777" w:rsidR="00702564" w:rsidRPr="005A5131" w:rsidRDefault="00702564" w:rsidP="00702564">
      <w:r>
        <w:t>Lättare till måttliga besvär</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6"/>
      </w:tblGrid>
      <w:tr w:rsidR="00702564" w:rsidRPr="001263B7" w14:paraId="24DE7883" w14:textId="77777777" w:rsidTr="00632FCC">
        <w:tc>
          <w:tcPr>
            <w:tcW w:w="4531" w:type="dxa"/>
          </w:tcPr>
          <w:p w14:paraId="03DCFECE" w14:textId="77777777" w:rsidR="00702564" w:rsidRPr="001263B7" w:rsidRDefault="00702564" w:rsidP="00632FCC">
            <w:pPr>
              <w:rPr>
                <w:b/>
                <w:sz w:val="24"/>
                <w:szCs w:val="28"/>
              </w:rPr>
            </w:pPr>
            <w:r w:rsidRPr="001263B7">
              <w:rPr>
                <w:rFonts w:eastAsia="Garamond" w:cs="Garamond"/>
                <w:b/>
                <w:iCs/>
                <w:spacing w:val="-1"/>
                <w:sz w:val="24"/>
                <w:szCs w:val="28"/>
              </w:rPr>
              <w:t>alginsyra</w:t>
            </w:r>
          </w:p>
        </w:tc>
        <w:tc>
          <w:tcPr>
            <w:tcW w:w="4536" w:type="dxa"/>
          </w:tcPr>
          <w:p w14:paraId="5027E08E" w14:textId="77777777" w:rsidR="00702564" w:rsidRPr="001263B7" w:rsidRDefault="00702564" w:rsidP="00632FCC">
            <w:pPr>
              <w:rPr>
                <w:sz w:val="24"/>
                <w:szCs w:val="28"/>
              </w:rPr>
            </w:pPr>
            <w:r w:rsidRPr="001263B7">
              <w:rPr>
                <w:rFonts w:eastAsia="Garamond" w:cs="Garamond"/>
                <w:spacing w:val="-1"/>
                <w:sz w:val="24"/>
                <w:szCs w:val="28"/>
              </w:rPr>
              <w:t>Gaviscon</w:t>
            </w:r>
          </w:p>
        </w:tc>
      </w:tr>
      <w:tr w:rsidR="00702564" w:rsidRPr="001263B7" w14:paraId="2400A29A" w14:textId="77777777" w:rsidTr="00632FCC">
        <w:tc>
          <w:tcPr>
            <w:tcW w:w="4531" w:type="dxa"/>
          </w:tcPr>
          <w:p w14:paraId="05C1F3AA" w14:textId="77777777" w:rsidR="00702564" w:rsidRPr="001263B7" w:rsidRDefault="00702564" w:rsidP="00632FCC">
            <w:pPr>
              <w:rPr>
                <w:rFonts w:eastAsia="Garamond" w:cs="Garamond"/>
                <w:b/>
                <w:bCs/>
                <w:iCs/>
                <w:spacing w:val="-1"/>
                <w:sz w:val="24"/>
                <w:szCs w:val="28"/>
              </w:rPr>
            </w:pPr>
            <w:r>
              <w:rPr>
                <w:rFonts w:eastAsia="Garamond" w:cs="Garamond"/>
                <w:b/>
                <w:bCs/>
                <w:iCs/>
                <w:spacing w:val="-1"/>
                <w:sz w:val="24"/>
                <w:szCs w:val="28"/>
              </w:rPr>
              <w:t>amotidin</w:t>
            </w:r>
          </w:p>
        </w:tc>
        <w:tc>
          <w:tcPr>
            <w:tcW w:w="4536" w:type="dxa"/>
          </w:tcPr>
          <w:p w14:paraId="7CAD6B77" w14:textId="77777777" w:rsidR="00702564" w:rsidRPr="001263B7" w:rsidRDefault="00702564" w:rsidP="00632FCC">
            <w:pPr>
              <w:rPr>
                <w:rFonts w:eastAsia="Garamond" w:cs="Garamond"/>
                <w:spacing w:val="-1"/>
                <w:sz w:val="24"/>
                <w:szCs w:val="28"/>
              </w:rPr>
            </w:pPr>
            <w:r>
              <w:rPr>
                <w:rFonts w:eastAsia="Garamond" w:cs="Garamond"/>
                <w:spacing w:val="-1"/>
                <w:sz w:val="24"/>
                <w:szCs w:val="28"/>
              </w:rPr>
              <w:t>Pepcid</w:t>
            </w:r>
          </w:p>
        </w:tc>
      </w:tr>
    </w:tbl>
    <w:p w14:paraId="476AB6DA" w14:textId="77777777" w:rsidR="00702564" w:rsidRDefault="00702564" w:rsidP="00702564">
      <w:pPr>
        <w:rPr>
          <w:sz w:val="24"/>
          <w:szCs w:val="24"/>
        </w:rPr>
      </w:pPr>
    </w:p>
    <w:p w14:paraId="63F598EB" w14:textId="77777777" w:rsidR="00702564" w:rsidRPr="009745F4" w:rsidRDefault="00702564" w:rsidP="00702564">
      <w:pPr>
        <w:rPr>
          <w:sz w:val="24"/>
          <w:szCs w:val="24"/>
        </w:rPr>
      </w:pPr>
      <w:r w:rsidRPr="009745F4">
        <w:rPr>
          <w:sz w:val="24"/>
          <w:szCs w:val="24"/>
        </w:rPr>
        <w:t>Måttliga till svårare besvär</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6"/>
      </w:tblGrid>
      <w:tr w:rsidR="00702564" w:rsidRPr="009745F4" w14:paraId="40852767" w14:textId="77777777" w:rsidTr="00632FCC">
        <w:tc>
          <w:tcPr>
            <w:tcW w:w="4531" w:type="dxa"/>
          </w:tcPr>
          <w:p w14:paraId="5FF85366" w14:textId="77777777" w:rsidR="00702564" w:rsidRPr="009745F4" w:rsidRDefault="00702564" w:rsidP="00632FCC">
            <w:pPr>
              <w:rPr>
                <w:rFonts w:eastAsia="Garamond" w:cs="Garamond"/>
                <w:b/>
                <w:bCs/>
                <w:iCs/>
                <w:spacing w:val="-1"/>
                <w:sz w:val="24"/>
                <w:szCs w:val="28"/>
              </w:rPr>
            </w:pPr>
            <w:r w:rsidRPr="009745F4">
              <w:rPr>
                <w:rFonts w:eastAsia="Garamond" w:cs="Garamond"/>
                <w:b/>
                <w:bCs/>
                <w:iCs/>
                <w:spacing w:val="-1"/>
                <w:sz w:val="24"/>
                <w:szCs w:val="28"/>
              </w:rPr>
              <w:t>o</w:t>
            </w:r>
            <w:r w:rsidRPr="009745F4">
              <w:rPr>
                <w:rFonts w:eastAsia="Garamond" w:cs="Garamond"/>
                <w:b/>
                <w:bCs/>
                <w:iCs/>
                <w:spacing w:val="1"/>
                <w:sz w:val="24"/>
                <w:szCs w:val="28"/>
              </w:rPr>
              <w:t>m</w:t>
            </w:r>
            <w:r w:rsidRPr="009745F4">
              <w:rPr>
                <w:rFonts w:eastAsia="Garamond" w:cs="Garamond"/>
                <w:b/>
                <w:bCs/>
                <w:iCs/>
                <w:spacing w:val="-1"/>
                <w:sz w:val="24"/>
                <w:szCs w:val="28"/>
              </w:rPr>
              <w:t>e</w:t>
            </w:r>
            <w:r w:rsidRPr="009745F4">
              <w:rPr>
                <w:rFonts w:eastAsia="Garamond" w:cs="Garamond"/>
                <w:b/>
                <w:bCs/>
                <w:iCs/>
                <w:sz w:val="24"/>
                <w:szCs w:val="28"/>
              </w:rPr>
              <w:t>p</w:t>
            </w:r>
            <w:r w:rsidRPr="009745F4">
              <w:rPr>
                <w:rFonts w:eastAsia="Garamond" w:cs="Garamond"/>
                <w:b/>
                <w:bCs/>
                <w:iCs/>
                <w:spacing w:val="-1"/>
                <w:sz w:val="24"/>
                <w:szCs w:val="28"/>
              </w:rPr>
              <w:t>r</w:t>
            </w:r>
            <w:r w:rsidRPr="009745F4">
              <w:rPr>
                <w:rFonts w:eastAsia="Garamond" w:cs="Garamond"/>
                <w:b/>
                <w:bCs/>
                <w:iCs/>
                <w:spacing w:val="-2"/>
                <w:sz w:val="24"/>
                <w:szCs w:val="28"/>
              </w:rPr>
              <w:t>a</w:t>
            </w:r>
            <w:r w:rsidRPr="009745F4">
              <w:rPr>
                <w:rFonts w:eastAsia="Garamond" w:cs="Garamond"/>
                <w:b/>
                <w:bCs/>
                <w:iCs/>
                <w:sz w:val="24"/>
                <w:szCs w:val="28"/>
              </w:rPr>
              <w:t>z</w:t>
            </w:r>
            <w:r w:rsidRPr="009745F4">
              <w:rPr>
                <w:rFonts w:eastAsia="Garamond" w:cs="Garamond"/>
                <w:b/>
                <w:bCs/>
                <w:iCs/>
                <w:spacing w:val="-6"/>
                <w:sz w:val="24"/>
                <w:szCs w:val="28"/>
              </w:rPr>
              <w:t>o</w:t>
            </w:r>
            <w:r w:rsidRPr="009745F4">
              <w:rPr>
                <w:rFonts w:eastAsia="Garamond" w:cs="Garamond"/>
                <w:b/>
                <w:bCs/>
                <w:iCs/>
                <w:sz w:val="24"/>
                <w:szCs w:val="28"/>
              </w:rPr>
              <w:t>l</w:t>
            </w:r>
          </w:p>
        </w:tc>
        <w:tc>
          <w:tcPr>
            <w:tcW w:w="4536" w:type="dxa"/>
          </w:tcPr>
          <w:p w14:paraId="54A45CB3" w14:textId="77777777" w:rsidR="00702564" w:rsidRPr="009745F4" w:rsidRDefault="00702564" w:rsidP="00632FCC">
            <w:pPr>
              <w:rPr>
                <w:rFonts w:eastAsia="Garamond" w:cs="Garamond"/>
                <w:spacing w:val="-1"/>
                <w:sz w:val="24"/>
                <w:szCs w:val="28"/>
              </w:rPr>
            </w:pPr>
            <w:r w:rsidRPr="009745F4">
              <w:rPr>
                <w:rFonts w:eastAsia="Garamond" w:cs="Garamond"/>
                <w:spacing w:val="-1"/>
                <w:sz w:val="24"/>
                <w:szCs w:val="28"/>
              </w:rPr>
              <w:t>Om</w:t>
            </w:r>
            <w:r w:rsidRPr="009745F4">
              <w:rPr>
                <w:rFonts w:eastAsia="Garamond" w:cs="Garamond"/>
                <w:sz w:val="24"/>
                <w:szCs w:val="28"/>
              </w:rPr>
              <w:t>e</w:t>
            </w:r>
            <w:r w:rsidRPr="009745F4">
              <w:rPr>
                <w:rFonts w:eastAsia="Garamond" w:cs="Garamond"/>
                <w:spacing w:val="-1"/>
                <w:sz w:val="24"/>
                <w:szCs w:val="28"/>
              </w:rPr>
              <w:t>p</w:t>
            </w:r>
            <w:r w:rsidRPr="009745F4">
              <w:rPr>
                <w:rFonts w:eastAsia="Garamond" w:cs="Garamond"/>
                <w:spacing w:val="-5"/>
                <w:sz w:val="24"/>
                <w:szCs w:val="28"/>
              </w:rPr>
              <w:t>r</w:t>
            </w:r>
            <w:r w:rsidRPr="009745F4">
              <w:rPr>
                <w:rFonts w:eastAsia="Garamond" w:cs="Garamond"/>
                <w:sz w:val="24"/>
                <w:szCs w:val="28"/>
              </w:rPr>
              <w:t>az</w:t>
            </w:r>
            <w:r w:rsidRPr="009745F4">
              <w:rPr>
                <w:rFonts w:eastAsia="Garamond" w:cs="Garamond"/>
                <w:spacing w:val="-1"/>
                <w:sz w:val="24"/>
                <w:szCs w:val="28"/>
              </w:rPr>
              <w:t>o</w:t>
            </w:r>
            <w:r w:rsidRPr="009745F4">
              <w:rPr>
                <w:rFonts w:eastAsia="Garamond" w:cs="Garamond"/>
                <w:sz w:val="24"/>
                <w:szCs w:val="28"/>
              </w:rPr>
              <w:t>l</w:t>
            </w:r>
          </w:p>
        </w:tc>
      </w:tr>
    </w:tbl>
    <w:p w14:paraId="4F45753B" w14:textId="77777777" w:rsidR="00702564" w:rsidRPr="009745F4" w:rsidRDefault="00702564" w:rsidP="00702564">
      <w:pPr>
        <w:rPr>
          <w:sz w:val="24"/>
          <w:szCs w:val="24"/>
        </w:rPr>
      </w:pPr>
    </w:p>
    <w:p w14:paraId="36AF37F8" w14:textId="77777777" w:rsidR="00702564" w:rsidRPr="009745F4" w:rsidRDefault="00702564" w:rsidP="00702564">
      <w:pPr>
        <w:rPr>
          <w:sz w:val="24"/>
          <w:szCs w:val="24"/>
        </w:rPr>
      </w:pPr>
      <w:r w:rsidRPr="009745F4">
        <w:rPr>
          <w:sz w:val="24"/>
          <w:szCs w:val="24"/>
        </w:rPr>
        <w:t>Två receptfria preparat rekommenderas vid lättare till måttliga besvär. Algininsyra och famotidin.  Famotidin är en reversibel syrahämmare. Ger liknande effekt som PPI (irreveresibel syrahämmare), dock inte fullt lika potent. En fördel är att famotidin inte är förknippad med samma utsättningsproblematk som ppi. Famotidin är ett bra alternativ vid lättare till måttliga besvär. Vid otillräcklig effekt/svårare besvär används omeprazol i lägsta effektiva dos. Även omeprazol finns receptfritt i mindre förpackningar.</w:t>
      </w:r>
    </w:p>
    <w:p w14:paraId="7B02EF45" w14:textId="77777777" w:rsidR="00702564" w:rsidRPr="001263B7" w:rsidRDefault="00702564" w:rsidP="00702564">
      <w:pPr>
        <w:rPr>
          <w:sz w:val="28"/>
          <w:szCs w:val="28"/>
        </w:rPr>
      </w:pPr>
    </w:p>
    <w:p w14:paraId="3AA22387" w14:textId="77777777" w:rsidR="00702564" w:rsidRPr="001263B7" w:rsidRDefault="00702564" w:rsidP="00702564">
      <w:pPr>
        <w:rPr>
          <w:color w:val="000000"/>
          <w:sz w:val="24"/>
          <w:szCs w:val="24"/>
        </w:rPr>
      </w:pPr>
      <w:r w:rsidRPr="001263B7">
        <w:rPr>
          <w:color w:val="000000"/>
          <w:sz w:val="24"/>
          <w:szCs w:val="24"/>
        </w:rPr>
        <w:t xml:space="preserve">Gastroesofageal reflux (GERD) definieras som ett tillstånd när reflux från ventrikeln till esofagus </w:t>
      </w:r>
      <w:r>
        <w:rPr>
          <w:color w:val="000000"/>
          <w:sz w:val="24"/>
          <w:szCs w:val="24"/>
        </w:rPr>
        <w:br/>
      </w:r>
      <w:r w:rsidRPr="001263B7">
        <w:rPr>
          <w:color w:val="000000"/>
          <w:sz w:val="24"/>
          <w:szCs w:val="24"/>
        </w:rPr>
        <w:t xml:space="preserve">ger upphov till besvärande symptom eller skador. I första hand ska man gå igenom de livsstilsfaktorer som påverkar sjukdomen negativt. Det rör sig bland annat om att undvika livsmedel och läkemedel som är lokalirriterande eller försämrar distala esofagussfinkterns funktion. </w:t>
      </w:r>
      <w:r>
        <w:rPr>
          <w:color w:val="000000"/>
          <w:sz w:val="24"/>
          <w:szCs w:val="24"/>
        </w:rPr>
        <w:br/>
      </w:r>
      <w:r w:rsidRPr="001263B7">
        <w:rPr>
          <w:color w:val="000000"/>
          <w:sz w:val="24"/>
          <w:szCs w:val="24"/>
        </w:rPr>
        <w:t xml:space="preserve">Evidensen för förändring av livsstilsfaktorer är dock bristfällig, men stöds av klinisk erfarenhet. </w:t>
      </w:r>
    </w:p>
    <w:p w14:paraId="7939B673" w14:textId="77777777" w:rsidR="00702564" w:rsidRPr="001263B7" w:rsidRDefault="00702564" w:rsidP="00702564">
      <w:pPr>
        <w:rPr>
          <w:color w:val="000000"/>
          <w:sz w:val="24"/>
          <w:szCs w:val="24"/>
        </w:rPr>
      </w:pPr>
    </w:p>
    <w:p w14:paraId="361953C3" w14:textId="77777777" w:rsidR="00702564" w:rsidRPr="001263B7" w:rsidRDefault="00702564" w:rsidP="00702564">
      <w:pPr>
        <w:rPr>
          <w:b/>
          <w:bCs/>
          <w:color w:val="000000"/>
          <w:sz w:val="24"/>
          <w:szCs w:val="24"/>
        </w:rPr>
      </w:pPr>
      <w:r w:rsidRPr="001263B7">
        <w:rPr>
          <w:b/>
          <w:bCs/>
          <w:color w:val="000000"/>
          <w:sz w:val="24"/>
          <w:szCs w:val="24"/>
        </w:rPr>
        <w:t>Livsstilsförändringar:</w:t>
      </w:r>
    </w:p>
    <w:p w14:paraId="04AF2E98" w14:textId="77777777" w:rsidR="00702564" w:rsidRPr="001263B7" w:rsidRDefault="00702564" w:rsidP="00702564">
      <w:pPr>
        <w:pStyle w:val="Liststycke"/>
        <w:numPr>
          <w:ilvl w:val="0"/>
          <w:numId w:val="47"/>
        </w:numPr>
        <w:contextualSpacing/>
        <w:rPr>
          <w:color w:val="000000"/>
          <w:sz w:val="24"/>
          <w:szCs w:val="24"/>
        </w:rPr>
      </w:pPr>
      <w:r w:rsidRPr="001263B7">
        <w:rPr>
          <w:color w:val="000000"/>
          <w:sz w:val="24"/>
          <w:szCs w:val="24"/>
        </w:rPr>
        <w:t>viktnedgång</w:t>
      </w:r>
    </w:p>
    <w:p w14:paraId="4F9B2D06" w14:textId="77777777" w:rsidR="00702564" w:rsidRPr="001263B7" w:rsidRDefault="00702564" w:rsidP="00702564">
      <w:pPr>
        <w:pStyle w:val="Liststycke"/>
        <w:numPr>
          <w:ilvl w:val="0"/>
          <w:numId w:val="47"/>
        </w:numPr>
        <w:contextualSpacing/>
        <w:rPr>
          <w:color w:val="000000"/>
          <w:sz w:val="24"/>
          <w:szCs w:val="24"/>
        </w:rPr>
      </w:pPr>
      <w:r w:rsidRPr="001263B7">
        <w:rPr>
          <w:color w:val="000000"/>
          <w:sz w:val="24"/>
          <w:szCs w:val="24"/>
        </w:rPr>
        <w:t>minska på fet och kryddad mat</w:t>
      </w:r>
    </w:p>
    <w:p w14:paraId="0F1B14AD" w14:textId="77777777" w:rsidR="00702564" w:rsidRPr="001263B7" w:rsidRDefault="00702564" w:rsidP="00702564">
      <w:pPr>
        <w:pStyle w:val="Liststycke"/>
        <w:numPr>
          <w:ilvl w:val="0"/>
          <w:numId w:val="47"/>
        </w:numPr>
        <w:contextualSpacing/>
        <w:rPr>
          <w:color w:val="000000"/>
          <w:sz w:val="24"/>
          <w:szCs w:val="24"/>
        </w:rPr>
      </w:pPr>
      <w:r w:rsidRPr="001263B7">
        <w:rPr>
          <w:color w:val="000000"/>
          <w:sz w:val="24"/>
          <w:szCs w:val="24"/>
        </w:rPr>
        <w:t>undvik rökning, koffein och alkohol</w:t>
      </w:r>
    </w:p>
    <w:p w14:paraId="1CF4EDFE" w14:textId="77777777" w:rsidR="00702564" w:rsidRPr="001263B7" w:rsidRDefault="00702564" w:rsidP="00702564">
      <w:pPr>
        <w:pStyle w:val="Liststycke"/>
        <w:numPr>
          <w:ilvl w:val="0"/>
          <w:numId w:val="47"/>
        </w:numPr>
        <w:contextualSpacing/>
        <w:rPr>
          <w:color w:val="000000"/>
          <w:sz w:val="24"/>
          <w:szCs w:val="24"/>
        </w:rPr>
      </w:pPr>
      <w:r w:rsidRPr="001263B7">
        <w:rPr>
          <w:color w:val="000000"/>
          <w:sz w:val="24"/>
          <w:szCs w:val="24"/>
        </w:rPr>
        <w:t>undvik antikolinergika, teofyllin, kalciumblockerare, bensodiazepiner, beta-2-stimulerare</w:t>
      </w:r>
    </w:p>
    <w:p w14:paraId="7B5AE523" w14:textId="77777777" w:rsidR="00702564" w:rsidRPr="001263B7" w:rsidRDefault="00702564" w:rsidP="00702564">
      <w:pPr>
        <w:pStyle w:val="Liststycke"/>
        <w:numPr>
          <w:ilvl w:val="0"/>
          <w:numId w:val="47"/>
        </w:numPr>
        <w:contextualSpacing/>
        <w:rPr>
          <w:color w:val="000000"/>
          <w:sz w:val="24"/>
          <w:szCs w:val="24"/>
        </w:rPr>
      </w:pPr>
      <w:r w:rsidRPr="001263B7">
        <w:rPr>
          <w:color w:val="000000"/>
          <w:sz w:val="24"/>
          <w:szCs w:val="24"/>
        </w:rPr>
        <w:t>undvik måltid 3 timmar före sänggående och höj huvudändan på sängen</w:t>
      </w:r>
    </w:p>
    <w:p w14:paraId="691574EF" w14:textId="77777777" w:rsidR="00702564" w:rsidRPr="001263B7" w:rsidRDefault="00702564" w:rsidP="00702564">
      <w:pPr>
        <w:rPr>
          <w:color w:val="000000"/>
          <w:sz w:val="24"/>
          <w:szCs w:val="24"/>
        </w:rPr>
      </w:pPr>
    </w:p>
    <w:p w14:paraId="1F1261CE" w14:textId="65D19623" w:rsidR="00702564" w:rsidRDefault="00702564" w:rsidP="004A079B">
      <w:pPr>
        <w:rPr>
          <w:color w:val="000000"/>
          <w:sz w:val="24"/>
          <w:szCs w:val="24"/>
        </w:rPr>
      </w:pPr>
      <w:r w:rsidRPr="008356F5">
        <w:rPr>
          <w:color w:val="000000"/>
          <w:sz w:val="24"/>
          <w:szCs w:val="24"/>
        </w:rPr>
        <w:t>Patienter med typiska refluxsymptom utan dysfagi eller andra alarmsymptom behöver inte utredas, utan behandling kan ges baserad på symptombilden. Viktigt att inte förväxla med symptom för dyspepsi samt att värdera förekomst av alarmsymptom. Gastroskopi ska göras vid förekomst av dysfagi, andra alarmsymptom, atypiska symptom eller vid dålig effekt av en normaldos med protonpumpshämmare (PPI)</w:t>
      </w:r>
      <w:r>
        <w:rPr>
          <w:color w:val="000000"/>
          <w:sz w:val="24"/>
          <w:szCs w:val="24"/>
        </w:rPr>
        <w:t xml:space="preserve">. </w:t>
      </w:r>
      <w:r w:rsidRPr="008356F5">
        <w:rPr>
          <w:color w:val="000000"/>
          <w:sz w:val="24"/>
          <w:szCs w:val="24"/>
        </w:rPr>
        <w:t xml:space="preserve">Nytillkomna sväljsvårigheter (dysfagi) är ett alarmsymtom och ska föranleda misstanke enligt standardiserat vårdförlopp. Det innebär att patienten redan samma dag </w:t>
      </w:r>
      <w:r w:rsidRPr="008356F5">
        <w:rPr>
          <w:color w:val="000000"/>
          <w:sz w:val="24"/>
          <w:szCs w:val="24"/>
        </w:rPr>
        <w:lastRenderedPageBreak/>
        <w:t>ska remitteras till utredning med gastroskopi (filterfunktion) utan andra föregående undersökningar.</w:t>
      </w:r>
      <w:r>
        <w:rPr>
          <w:color w:val="000000"/>
          <w:sz w:val="24"/>
          <w:szCs w:val="24"/>
        </w:rPr>
        <w:t xml:space="preserve"> </w:t>
      </w:r>
      <w:r w:rsidRPr="008356F5">
        <w:rPr>
          <w:color w:val="000000"/>
          <w:sz w:val="24"/>
          <w:szCs w:val="24"/>
        </w:rPr>
        <w:t>Även nytillkomna kräkningar sedan minst 3 veckor, kraftig oförklarad viktnedgång, tidig mättnadskänsla sedan minst 3 veckor, gastrointestinal blödning och järnbristanemi bör primärt utredas med gastroskopi.</w:t>
      </w:r>
      <w:r>
        <w:rPr>
          <w:color w:val="000000"/>
          <w:sz w:val="24"/>
          <w:szCs w:val="24"/>
        </w:rPr>
        <w:t xml:space="preserve"> </w:t>
      </w:r>
    </w:p>
    <w:p w14:paraId="1F3ED4B5" w14:textId="77777777" w:rsidR="00702564" w:rsidRPr="001958A5" w:rsidRDefault="00702564" w:rsidP="00702564">
      <w:pPr>
        <w:pStyle w:val="Rubrik2"/>
      </w:pPr>
      <w:r w:rsidRPr="001958A5">
        <w:t>GERD utan esofagit (symptomatisk GERD)</w:t>
      </w:r>
    </w:p>
    <w:p w14:paraId="7DB12AD0" w14:textId="385D1931" w:rsidR="00702564" w:rsidRPr="001263B7" w:rsidRDefault="00702564" w:rsidP="00702564">
      <w:pPr>
        <w:rPr>
          <w:color w:val="000000"/>
          <w:sz w:val="24"/>
          <w:szCs w:val="24"/>
          <w:shd w:val="clear" w:color="auto" w:fill="FFFFFF"/>
        </w:rPr>
      </w:pPr>
      <w:r w:rsidRPr="001263B7">
        <w:rPr>
          <w:color w:val="000000"/>
          <w:sz w:val="24"/>
          <w:szCs w:val="24"/>
          <w:shd w:val="clear" w:color="auto" w:fill="FFFFFF"/>
        </w:rPr>
        <w:t xml:space="preserve">Alginsyra (Gaviscon) </w:t>
      </w:r>
      <w:r>
        <w:rPr>
          <w:color w:val="000000"/>
          <w:sz w:val="24"/>
          <w:szCs w:val="24"/>
          <w:shd w:val="clear" w:color="auto" w:fill="FFFFFF"/>
        </w:rPr>
        <w:t xml:space="preserve">och famotidin (Pepcid) </w:t>
      </w:r>
      <w:r w:rsidRPr="001263B7">
        <w:rPr>
          <w:color w:val="000000"/>
          <w:sz w:val="24"/>
          <w:szCs w:val="24"/>
          <w:shd w:val="clear" w:color="auto" w:fill="FFFFFF"/>
        </w:rPr>
        <w:t xml:space="preserve">verkar symptomlindrande vid GERD och kan användas vid tillfälliga och lättare besvär. Symptomatisk GERD behöver inte alltid långtidsbehandlas. Om behov av kraftigare syrahämning föreligger används omeprazol 20 mg dagligen i 14 dagar. När patienten varit symptomfri ett tag kan omeprazol 10 – 20 mg varannan dag eller var tredje dag provas. Det är viktigt att lägsta möjliga dos som ger symptomlindring används. </w:t>
      </w:r>
    </w:p>
    <w:p w14:paraId="10C456C4" w14:textId="77777777" w:rsidR="00702564" w:rsidRDefault="00702564" w:rsidP="00702564">
      <w:pPr>
        <w:rPr>
          <w:color w:val="000000"/>
          <w:sz w:val="24"/>
          <w:szCs w:val="24"/>
          <w:shd w:val="clear" w:color="auto" w:fill="FFFFFF"/>
        </w:rPr>
      </w:pPr>
      <w:r w:rsidRPr="001263B7">
        <w:rPr>
          <w:color w:val="000000"/>
          <w:sz w:val="24"/>
          <w:szCs w:val="24"/>
          <w:shd w:val="clear" w:color="auto" w:fill="FFFFFF"/>
        </w:rPr>
        <w:t xml:space="preserve">För att hamna rätt med medicineringen behöver insatt behandling värderas noggrant. </w:t>
      </w:r>
      <w:r>
        <w:rPr>
          <w:color w:val="000000"/>
          <w:sz w:val="24"/>
          <w:szCs w:val="24"/>
          <w:shd w:val="clear" w:color="auto" w:fill="FFFFFF"/>
        </w:rPr>
        <w:br/>
      </w:r>
      <w:r w:rsidRPr="001263B7">
        <w:rPr>
          <w:color w:val="000000"/>
          <w:sz w:val="24"/>
          <w:szCs w:val="24"/>
          <w:shd w:val="clear" w:color="auto" w:fill="FFFFFF"/>
        </w:rPr>
        <w:t xml:space="preserve">Vid korrekt diagnos, det vill säga GERD, så svarar patienten i regel snabbt på behandling med PPI. </w:t>
      </w:r>
      <w:r>
        <w:rPr>
          <w:color w:val="000000"/>
          <w:sz w:val="24"/>
          <w:szCs w:val="24"/>
          <w:shd w:val="clear" w:color="auto" w:fill="FFFFFF"/>
        </w:rPr>
        <w:br/>
      </w:r>
      <w:r w:rsidRPr="001263B7">
        <w:rPr>
          <w:color w:val="000000"/>
          <w:sz w:val="24"/>
          <w:szCs w:val="24"/>
          <w:shd w:val="clear" w:color="auto" w:fill="FFFFFF"/>
        </w:rPr>
        <w:t>Vid tveksamt symptomsvar bör diagnosen omvärderas och utsättning av läkemedelsbehandlingen starkt övervägas.</w:t>
      </w:r>
    </w:p>
    <w:p w14:paraId="57415194" w14:textId="77777777" w:rsidR="00702564" w:rsidRPr="001958A5" w:rsidRDefault="00702564" w:rsidP="00702564">
      <w:pPr>
        <w:pStyle w:val="Rubrik2"/>
      </w:pPr>
      <w:r w:rsidRPr="001958A5">
        <w:t>GERD med esofagit</w:t>
      </w:r>
    </w:p>
    <w:p w14:paraId="7FE37354" w14:textId="77777777" w:rsidR="00702564" w:rsidRPr="001263B7" w:rsidRDefault="00702564" w:rsidP="00702564">
      <w:pPr>
        <w:rPr>
          <w:rFonts w:asciiTheme="minorHAnsi" w:hAnsiTheme="minorHAnsi"/>
          <w:color w:val="000000"/>
          <w:sz w:val="24"/>
          <w:szCs w:val="24"/>
        </w:rPr>
      </w:pPr>
      <w:r w:rsidRPr="001263B7">
        <w:rPr>
          <w:rFonts w:asciiTheme="minorHAnsi" w:hAnsiTheme="minorHAnsi"/>
          <w:color w:val="000000"/>
          <w:sz w:val="24"/>
          <w:szCs w:val="24"/>
          <w:shd w:val="clear" w:color="auto" w:fill="FFFFFF"/>
        </w:rPr>
        <w:t xml:space="preserve">Protonpumpshämmare är den effektivaste behandlingen av esofagit och är förstahandsvalet. </w:t>
      </w:r>
      <w:r>
        <w:rPr>
          <w:rFonts w:asciiTheme="minorHAnsi" w:hAnsiTheme="minorHAnsi"/>
          <w:color w:val="000000"/>
          <w:sz w:val="24"/>
          <w:szCs w:val="24"/>
          <w:shd w:val="clear" w:color="auto" w:fill="FFFFFF"/>
        </w:rPr>
        <w:br/>
      </w:r>
      <w:r w:rsidRPr="001263B7">
        <w:rPr>
          <w:rFonts w:asciiTheme="minorHAnsi" w:hAnsiTheme="minorHAnsi"/>
          <w:color w:val="000000"/>
          <w:sz w:val="24"/>
          <w:szCs w:val="24"/>
          <w:shd w:val="clear" w:color="auto" w:fill="FFFFFF"/>
        </w:rPr>
        <w:t>För läkning av esofagit rekommenderas fortsatt behandling med lägsta dos av PPI som ger symptomfrihet. Vanligtvis 20 mg omeprazol dagligen i 4-8 veckor. Efter att patienten varit symptomfri en tid på denna behandling kan man i många fall sänka dosen till 10 mg och/eller låta patienten medicinera vid behov med omeprazol.</w:t>
      </w:r>
    </w:p>
    <w:p w14:paraId="53CC522E" w14:textId="77777777" w:rsidR="00702564" w:rsidRPr="001263B7" w:rsidRDefault="00702564" w:rsidP="00702564">
      <w:pPr>
        <w:pStyle w:val="Rubrik3"/>
        <w:rPr>
          <w:rFonts w:asciiTheme="minorHAnsi" w:hAnsiTheme="minorHAnsi"/>
          <w:szCs w:val="24"/>
        </w:rPr>
      </w:pPr>
      <w:r w:rsidRPr="001263B7">
        <w:rPr>
          <w:rFonts w:asciiTheme="minorHAnsi" w:hAnsiTheme="minorHAnsi"/>
          <w:szCs w:val="24"/>
        </w:rPr>
        <w:t>Svår esofagit och vid Barrets esofagus</w:t>
      </w:r>
    </w:p>
    <w:p w14:paraId="60798181" w14:textId="77777777" w:rsidR="00702564" w:rsidRPr="001263B7" w:rsidRDefault="00702564" w:rsidP="00702564">
      <w:pPr>
        <w:rPr>
          <w:rFonts w:asciiTheme="minorHAnsi" w:hAnsiTheme="minorHAnsi"/>
          <w:color w:val="000000"/>
          <w:sz w:val="24"/>
          <w:szCs w:val="24"/>
          <w:shd w:val="clear" w:color="auto" w:fill="FFFFFF"/>
        </w:rPr>
      </w:pPr>
      <w:r w:rsidRPr="001263B7">
        <w:rPr>
          <w:rFonts w:asciiTheme="minorHAnsi" w:hAnsiTheme="minorHAnsi"/>
          <w:color w:val="000000"/>
          <w:sz w:val="24"/>
          <w:szCs w:val="24"/>
          <w:shd w:val="clear" w:color="auto" w:fill="FFFFFF"/>
        </w:rPr>
        <w:t>Patienter med Barretts esofagus eller komplikationer till refluxsjukdom bör kontrolleras på endoskopimottagning. Här rekommenderas fortsatt, i regel daglig, behandling med lägsta dos av PPI som ger symptomfrihet. Vid terapisvikt eller tillstånd med behov av kraftigare syrahämning såsom svårläkta ulcera eller strikturer kan man överväga omeprazol 20 mg 2 gånger dagligen alternativt esomeprazol 40 mg per dygn eller mer.</w:t>
      </w:r>
    </w:p>
    <w:p w14:paraId="306A270D" w14:textId="77777777" w:rsidR="00702564" w:rsidRPr="00E0523D" w:rsidRDefault="00702564" w:rsidP="00702564">
      <w:pPr>
        <w:pStyle w:val="Rubrik2"/>
      </w:pPr>
      <w:r w:rsidRPr="00E0523D">
        <w:t>Ulcusprofylax vid NSAID och ASA-behandling hos riskpatienter</w:t>
      </w:r>
      <w:r>
        <w:br/>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1263B7" w14:paraId="6A8E7046" w14:textId="77777777" w:rsidTr="00632FCC">
        <w:tc>
          <w:tcPr>
            <w:tcW w:w="4531" w:type="dxa"/>
          </w:tcPr>
          <w:p w14:paraId="7368FADB" w14:textId="77777777" w:rsidR="00702564" w:rsidRPr="001263B7" w:rsidRDefault="00702564" w:rsidP="00632FCC">
            <w:pPr>
              <w:rPr>
                <w:sz w:val="24"/>
                <w:szCs w:val="28"/>
              </w:rPr>
            </w:pPr>
            <w:r w:rsidRPr="001263B7">
              <w:rPr>
                <w:rFonts w:eastAsia="Garamond" w:cs="Garamond"/>
                <w:b/>
                <w:bCs/>
                <w:iCs/>
                <w:spacing w:val="-1"/>
                <w:sz w:val="24"/>
                <w:szCs w:val="28"/>
              </w:rPr>
              <w:t>o</w:t>
            </w:r>
            <w:r w:rsidRPr="001263B7">
              <w:rPr>
                <w:rFonts w:eastAsia="Garamond" w:cs="Garamond"/>
                <w:b/>
                <w:bCs/>
                <w:iCs/>
                <w:spacing w:val="1"/>
                <w:sz w:val="24"/>
                <w:szCs w:val="28"/>
              </w:rPr>
              <w:t>m</w:t>
            </w:r>
            <w:r w:rsidRPr="001263B7">
              <w:rPr>
                <w:rFonts w:eastAsia="Garamond" w:cs="Garamond"/>
                <w:b/>
                <w:bCs/>
                <w:iCs/>
                <w:spacing w:val="-1"/>
                <w:sz w:val="24"/>
                <w:szCs w:val="28"/>
              </w:rPr>
              <w:t>e</w:t>
            </w:r>
            <w:r w:rsidRPr="001263B7">
              <w:rPr>
                <w:rFonts w:eastAsia="Garamond" w:cs="Garamond"/>
                <w:b/>
                <w:bCs/>
                <w:iCs/>
                <w:sz w:val="24"/>
                <w:szCs w:val="28"/>
              </w:rPr>
              <w:t>p</w:t>
            </w:r>
            <w:r w:rsidRPr="001263B7">
              <w:rPr>
                <w:rFonts w:eastAsia="Garamond" w:cs="Garamond"/>
                <w:b/>
                <w:bCs/>
                <w:iCs/>
                <w:spacing w:val="-1"/>
                <w:sz w:val="24"/>
                <w:szCs w:val="28"/>
              </w:rPr>
              <w:t>r</w:t>
            </w:r>
            <w:r w:rsidRPr="001263B7">
              <w:rPr>
                <w:rFonts w:eastAsia="Garamond" w:cs="Garamond"/>
                <w:b/>
                <w:bCs/>
                <w:iCs/>
                <w:spacing w:val="-2"/>
                <w:sz w:val="24"/>
                <w:szCs w:val="28"/>
              </w:rPr>
              <w:t>a</w:t>
            </w:r>
            <w:r w:rsidRPr="001263B7">
              <w:rPr>
                <w:rFonts w:eastAsia="Garamond" w:cs="Garamond"/>
                <w:b/>
                <w:bCs/>
                <w:iCs/>
                <w:sz w:val="24"/>
                <w:szCs w:val="28"/>
              </w:rPr>
              <w:t>z</w:t>
            </w:r>
            <w:r w:rsidRPr="001263B7">
              <w:rPr>
                <w:rFonts w:eastAsia="Garamond" w:cs="Garamond"/>
                <w:b/>
                <w:bCs/>
                <w:iCs/>
                <w:spacing w:val="-4"/>
                <w:sz w:val="24"/>
                <w:szCs w:val="28"/>
              </w:rPr>
              <w:t>o</w:t>
            </w:r>
            <w:r w:rsidRPr="001263B7">
              <w:rPr>
                <w:rFonts w:eastAsia="Garamond" w:cs="Garamond"/>
                <w:b/>
                <w:bCs/>
                <w:iCs/>
                <w:sz w:val="24"/>
                <w:szCs w:val="28"/>
              </w:rPr>
              <w:t>l</w:t>
            </w:r>
            <w:r w:rsidRPr="001263B7">
              <w:rPr>
                <w:rFonts w:eastAsia="Garamond" w:cs="Garamond"/>
                <w:b/>
                <w:bCs/>
                <w:iCs/>
                <w:spacing w:val="-1"/>
                <w:sz w:val="24"/>
                <w:szCs w:val="28"/>
              </w:rPr>
              <w:t xml:space="preserve"> </w:t>
            </w:r>
            <w:r w:rsidRPr="001263B7">
              <w:rPr>
                <w:rFonts w:eastAsia="Garamond" w:cs="Garamond"/>
                <w:b/>
                <w:bCs/>
                <w:iCs/>
                <w:sz w:val="24"/>
                <w:szCs w:val="28"/>
              </w:rPr>
              <w:t>20</w:t>
            </w:r>
            <w:r w:rsidRPr="001263B7">
              <w:rPr>
                <w:rFonts w:eastAsia="Garamond" w:cs="Garamond"/>
                <w:b/>
                <w:bCs/>
                <w:iCs/>
                <w:spacing w:val="-8"/>
                <w:sz w:val="24"/>
                <w:szCs w:val="28"/>
              </w:rPr>
              <w:t xml:space="preserve"> </w:t>
            </w:r>
            <w:r w:rsidRPr="001263B7">
              <w:rPr>
                <w:rFonts w:eastAsia="Garamond" w:cs="Garamond"/>
                <w:b/>
                <w:bCs/>
                <w:iCs/>
                <w:spacing w:val="-3"/>
                <w:sz w:val="24"/>
                <w:szCs w:val="28"/>
              </w:rPr>
              <w:t>m</w:t>
            </w:r>
            <w:r w:rsidRPr="001263B7">
              <w:rPr>
                <w:rFonts w:eastAsia="Garamond" w:cs="Garamond"/>
                <w:b/>
                <w:bCs/>
                <w:iCs/>
                <w:sz w:val="24"/>
                <w:szCs w:val="28"/>
              </w:rPr>
              <w:t>g</w:t>
            </w:r>
          </w:p>
        </w:tc>
        <w:tc>
          <w:tcPr>
            <w:tcW w:w="4531" w:type="dxa"/>
          </w:tcPr>
          <w:p w14:paraId="1D6C9B4C" w14:textId="77777777" w:rsidR="00702564" w:rsidRPr="001263B7" w:rsidRDefault="00702564" w:rsidP="00632FCC">
            <w:pPr>
              <w:rPr>
                <w:sz w:val="24"/>
                <w:szCs w:val="28"/>
              </w:rPr>
            </w:pPr>
            <w:r w:rsidRPr="001263B7">
              <w:rPr>
                <w:rFonts w:eastAsia="Garamond" w:cs="Garamond"/>
                <w:spacing w:val="-1"/>
                <w:sz w:val="24"/>
                <w:szCs w:val="28"/>
              </w:rPr>
              <w:t>Om</w:t>
            </w:r>
            <w:r w:rsidRPr="001263B7">
              <w:rPr>
                <w:rFonts w:eastAsia="Garamond" w:cs="Garamond"/>
                <w:sz w:val="24"/>
                <w:szCs w:val="28"/>
              </w:rPr>
              <w:t>e</w:t>
            </w:r>
            <w:r w:rsidRPr="001263B7">
              <w:rPr>
                <w:rFonts w:eastAsia="Garamond" w:cs="Garamond"/>
                <w:spacing w:val="-1"/>
                <w:sz w:val="24"/>
                <w:szCs w:val="28"/>
              </w:rPr>
              <w:t>p</w:t>
            </w:r>
            <w:r w:rsidRPr="001263B7">
              <w:rPr>
                <w:rFonts w:eastAsia="Garamond" w:cs="Garamond"/>
                <w:spacing w:val="-5"/>
                <w:sz w:val="24"/>
                <w:szCs w:val="28"/>
              </w:rPr>
              <w:t>r</w:t>
            </w:r>
            <w:r w:rsidRPr="001263B7">
              <w:rPr>
                <w:rFonts w:eastAsia="Garamond" w:cs="Garamond"/>
                <w:sz w:val="24"/>
                <w:szCs w:val="28"/>
              </w:rPr>
              <w:t>az</w:t>
            </w:r>
            <w:r w:rsidRPr="001263B7">
              <w:rPr>
                <w:rFonts w:eastAsia="Garamond" w:cs="Garamond"/>
                <w:spacing w:val="-1"/>
                <w:sz w:val="24"/>
                <w:szCs w:val="28"/>
              </w:rPr>
              <w:t>o</w:t>
            </w:r>
            <w:r w:rsidRPr="001263B7">
              <w:rPr>
                <w:rFonts w:eastAsia="Garamond" w:cs="Garamond"/>
                <w:sz w:val="24"/>
                <w:szCs w:val="28"/>
              </w:rPr>
              <w:t>l</w:t>
            </w:r>
            <w:r w:rsidRPr="001263B7">
              <w:rPr>
                <w:rFonts w:eastAsia="Garamond" w:cs="Garamond"/>
                <w:sz w:val="24"/>
                <w:szCs w:val="28"/>
              </w:rPr>
              <w:br/>
            </w:r>
          </w:p>
        </w:tc>
      </w:tr>
    </w:tbl>
    <w:p w14:paraId="75761A13" w14:textId="77777777" w:rsidR="00702564" w:rsidRPr="0071138D" w:rsidRDefault="00702564" w:rsidP="00702564">
      <w:pPr>
        <w:rPr>
          <w:spacing w:val="-7"/>
        </w:rPr>
      </w:pPr>
    </w:p>
    <w:p w14:paraId="27BD54AB" w14:textId="669C3E8C" w:rsidR="00E87E0C" w:rsidRPr="00E87E0C" w:rsidRDefault="00702564" w:rsidP="00702564">
      <w:pPr>
        <w:rPr>
          <w:sz w:val="24"/>
          <w:szCs w:val="24"/>
        </w:rPr>
      </w:pPr>
      <w:r w:rsidRPr="001263B7">
        <w:rPr>
          <w:spacing w:val="-7"/>
          <w:sz w:val="24"/>
          <w:szCs w:val="24"/>
        </w:rPr>
        <w:t>T</w:t>
      </w:r>
      <w:r w:rsidRPr="001263B7">
        <w:rPr>
          <w:sz w:val="24"/>
          <w:szCs w:val="24"/>
        </w:rPr>
        <w:t>ill</w:t>
      </w:r>
      <w:r w:rsidRPr="001263B7">
        <w:rPr>
          <w:spacing w:val="-12"/>
          <w:sz w:val="24"/>
          <w:szCs w:val="24"/>
        </w:rPr>
        <w:t xml:space="preserve"> </w:t>
      </w:r>
      <w:r w:rsidRPr="001263B7">
        <w:rPr>
          <w:spacing w:val="-1"/>
          <w:sz w:val="24"/>
          <w:szCs w:val="24"/>
        </w:rPr>
        <w:t>p</w:t>
      </w:r>
      <w:r w:rsidRPr="001263B7">
        <w:rPr>
          <w:sz w:val="24"/>
          <w:szCs w:val="24"/>
        </w:rPr>
        <w:t>a</w:t>
      </w:r>
      <w:r w:rsidRPr="001263B7">
        <w:rPr>
          <w:spacing w:val="-3"/>
          <w:sz w:val="24"/>
          <w:szCs w:val="24"/>
        </w:rPr>
        <w:t>t</w:t>
      </w:r>
      <w:r w:rsidRPr="001263B7">
        <w:rPr>
          <w:sz w:val="24"/>
          <w:szCs w:val="24"/>
        </w:rPr>
        <w:t>i</w:t>
      </w:r>
      <w:r w:rsidRPr="001263B7">
        <w:rPr>
          <w:spacing w:val="-5"/>
          <w:sz w:val="24"/>
          <w:szCs w:val="24"/>
        </w:rPr>
        <w:t>e</w:t>
      </w:r>
      <w:r w:rsidRPr="001263B7">
        <w:rPr>
          <w:sz w:val="24"/>
          <w:szCs w:val="24"/>
        </w:rPr>
        <w:t>n</w:t>
      </w:r>
      <w:r w:rsidRPr="001263B7">
        <w:rPr>
          <w:spacing w:val="-1"/>
          <w:sz w:val="24"/>
          <w:szCs w:val="24"/>
        </w:rPr>
        <w:t>t</w:t>
      </w:r>
      <w:r w:rsidRPr="001263B7">
        <w:rPr>
          <w:sz w:val="24"/>
          <w:szCs w:val="24"/>
        </w:rPr>
        <w:t>er</w:t>
      </w:r>
      <w:r w:rsidRPr="001263B7">
        <w:rPr>
          <w:spacing w:val="-15"/>
          <w:sz w:val="24"/>
          <w:szCs w:val="24"/>
        </w:rPr>
        <w:t xml:space="preserve"> </w:t>
      </w:r>
      <w:r w:rsidRPr="00DB3871">
        <w:rPr>
          <w:spacing w:val="-3"/>
          <w:sz w:val="24"/>
          <w:szCs w:val="24"/>
        </w:rPr>
        <w:t>m</w:t>
      </w:r>
      <w:r w:rsidRPr="00DB3871">
        <w:rPr>
          <w:sz w:val="24"/>
          <w:szCs w:val="24"/>
        </w:rPr>
        <w:t>ed</w:t>
      </w:r>
      <w:r w:rsidRPr="00DB3871">
        <w:rPr>
          <w:spacing w:val="-12"/>
          <w:sz w:val="24"/>
          <w:szCs w:val="24"/>
        </w:rPr>
        <w:t xml:space="preserve"> </w:t>
      </w:r>
      <w:r w:rsidRPr="00DB3871">
        <w:rPr>
          <w:sz w:val="24"/>
          <w:szCs w:val="24"/>
        </w:rPr>
        <w:t>ö</w:t>
      </w:r>
      <w:r w:rsidRPr="00DB3871">
        <w:rPr>
          <w:spacing w:val="-3"/>
          <w:sz w:val="24"/>
          <w:szCs w:val="24"/>
        </w:rPr>
        <w:t>k</w:t>
      </w:r>
      <w:r w:rsidRPr="00DB3871">
        <w:rPr>
          <w:sz w:val="24"/>
          <w:szCs w:val="24"/>
        </w:rPr>
        <w:t>ad</w:t>
      </w:r>
      <w:r w:rsidRPr="00DB3871">
        <w:rPr>
          <w:spacing w:val="-11"/>
          <w:sz w:val="24"/>
          <w:szCs w:val="24"/>
        </w:rPr>
        <w:t xml:space="preserve"> </w:t>
      </w:r>
      <w:r w:rsidRPr="00DB3871">
        <w:rPr>
          <w:spacing w:val="-1"/>
          <w:sz w:val="24"/>
          <w:szCs w:val="24"/>
        </w:rPr>
        <w:t>r</w:t>
      </w:r>
      <w:r w:rsidRPr="00DB3871">
        <w:rPr>
          <w:sz w:val="24"/>
          <w:szCs w:val="24"/>
        </w:rPr>
        <w:t>i</w:t>
      </w:r>
      <w:r w:rsidRPr="00DB3871">
        <w:rPr>
          <w:spacing w:val="-15"/>
          <w:sz w:val="24"/>
          <w:szCs w:val="24"/>
        </w:rPr>
        <w:t>s</w:t>
      </w:r>
      <w:r w:rsidRPr="00DB3871">
        <w:rPr>
          <w:sz w:val="24"/>
          <w:szCs w:val="24"/>
        </w:rPr>
        <w:t>k</w:t>
      </w:r>
      <w:r w:rsidRPr="00DB3871">
        <w:rPr>
          <w:spacing w:val="-9"/>
          <w:sz w:val="24"/>
          <w:szCs w:val="24"/>
        </w:rPr>
        <w:t xml:space="preserve"> </w:t>
      </w:r>
      <w:r w:rsidRPr="00DB3871">
        <w:rPr>
          <w:spacing w:val="-1"/>
          <w:sz w:val="24"/>
          <w:szCs w:val="24"/>
        </w:rPr>
        <w:t>f</w:t>
      </w:r>
      <w:r w:rsidRPr="00DB3871">
        <w:rPr>
          <w:sz w:val="24"/>
          <w:szCs w:val="24"/>
        </w:rPr>
        <w:t>ör</w:t>
      </w:r>
      <w:r w:rsidRPr="001263B7">
        <w:rPr>
          <w:spacing w:val="-15"/>
          <w:sz w:val="24"/>
          <w:szCs w:val="24"/>
        </w:rPr>
        <w:t xml:space="preserve"> </w:t>
      </w:r>
      <w:r w:rsidRPr="001263B7">
        <w:rPr>
          <w:sz w:val="24"/>
          <w:szCs w:val="24"/>
        </w:rPr>
        <w:t>ga</w:t>
      </w:r>
      <w:r w:rsidRPr="001263B7">
        <w:rPr>
          <w:spacing w:val="-10"/>
          <w:sz w:val="24"/>
          <w:szCs w:val="24"/>
        </w:rPr>
        <w:t>s</w:t>
      </w:r>
      <w:r w:rsidRPr="001263B7">
        <w:rPr>
          <w:spacing w:val="-1"/>
          <w:sz w:val="24"/>
          <w:szCs w:val="24"/>
        </w:rPr>
        <w:t>t</w:t>
      </w:r>
      <w:r w:rsidRPr="001263B7">
        <w:rPr>
          <w:spacing w:val="-4"/>
          <w:sz w:val="24"/>
          <w:szCs w:val="24"/>
        </w:rPr>
        <w:t>r</w:t>
      </w:r>
      <w:r w:rsidRPr="001263B7">
        <w:rPr>
          <w:spacing w:val="-1"/>
          <w:sz w:val="24"/>
          <w:szCs w:val="24"/>
        </w:rPr>
        <w:t>o</w:t>
      </w:r>
      <w:r w:rsidRPr="001263B7">
        <w:rPr>
          <w:spacing w:val="-3"/>
          <w:sz w:val="24"/>
          <w:szCs w:val="24"/>
        </w:rPr>
        <w:t>in</w:t>
      </w:r>
      <w:r w:rsidRPr="001263B7">
        <w:rPr>
          <w:spacing w:val="-1"/>
          <w:sz w:val="24"/>
          <w:szCs w:val="24"/>
        </w:rPr>
        <w:t>t</w:t>
      </w:r>
      <w:r w:rsidRPr="001263B7">
        <w:rPr>
          <w:spacing w:val="-2"/>
          <w:sz w:val="24"/>
          <w:szCs w:val="24"/>
        </w:rPr>
        <w:t>e</w:t>
      </w:r>
      <w:r w:rsidRPr="001263B7">
        <w:rPr>
          <w:spacing w:val="-7"/>
          <w:sz w:val="24"/>
          <w:szCs w:val="24"/>
        </w:rPr>
        <w:t>s</w:t>
      </w:r>
      <w:r w:rsidRPr="001263B7">
        <w:rPr>
          <w:spacing w:val="-1"/>
          <w:sz w:val="24"/>
          <w:szCs w:val="24"/>
        </w:rPr>
        <w:t>t</w:t>
      </w:r>
      <w:r w:rsidRPr="001263B7">
        <w:rPr>
          <w:sz w:val="24"/>
          <w:szCs w:val="24"/>
        </w:rPr>
        <w:t>i</w:t>
      </w:r>
      <w:r w:rsidRPr="001263B7">
        <w:rPr>
          <w:spacing w:val="-3"/>
          <w:sz w:val="24"/>
          <w:szCs w:val="24"/>
        </w:rPr>
        <w:t>n</w:t>
      </w:r>
      <w:r w:rsidRPr="001263B7">
        <w:rPr>
          <w:spacing w:val="-2"/>
          <w:sz w:val="24"/>
          <w:szCs w:val="24"/>
        </w:rPr>
        <w:t>a</w:t>
      </w:r>
      <w:r w:rsidRPr="001263B7">
        <w:rPr>
          <w:sz w:val="24"/>
          <w:szCs w:val="24"/>
        </w:rPr>
        <w:t>la</w:t>
      </w:r>
      <w:r w:rsidRPr="001263B7">
        <w:rPr>
          <w:spacing w:val="-11"/>
          <w:sz w:val="24"/>
          <w:szCs w:val="24"/>
        </w:rPr>
        <w:t xml:space="preserve"> </w:t>
      </w:r>
      <w:r w:rsidRPr="001263B7">
        <w:rPr>
          <w:spacing w:val="-1"/>
          <w:sz w:val="24"/>
          <w:szCs w:val="24"/>
        </w:rPr>
        <w:t>b</w:t>
      </w:r>
      <w:r w:rsidRPr="001263B7">
        <w:rPr>
          <w:spacing w:val="-3"/>
          <w:sz w:val="24"/>
          <w:szCs w:val="24"/>
        </w:rPr>
        <w:t>iv</w:t>
      </w:r>
      <w:r w:rsidRPr="001263B7">
        <w:rPr>
          <w:spacing w:val="-8"/>
          <w:sz w:val="24"/>
          <w:szCs w:val="24"/>
        </w:rPr>
        <w:t>e</w:t>
      </w:r>
      <w:r w:rsidRPr="001263B7">
        <w:rPr>
          <w:spacing w:val="-1"/>
          <w:sz w:val="24"/>
          <w:szCs w:val="24"/>
        </w:rPr>
        <w:t>r</w:t>
      </w:r>
      <w:r w:rsidRPr="001263B7">
        <w:rPr>
          <w:sz w:val="24"/>
          <w:szCs w:val="24"/>
        </w:rPr>
        <w:t>k</w:t>
      </w:r>
      <w:r w:rsidRPr="001263B7">
        <w:rPr>
          <w:spacing w:val="-1"/>
          <w:sz w:val="24"/>
          <w:szCs w:val="24"/>
        </w:rPr>
        <w:t>n</w:t>
      </w:r>
      <w:r w:rsidRPr="001263B7">
        <w:rPr>
          <w:sz w:val="24"/>
          <w:szCs w:val="24"/>
        </w:rPr>
        <w:t>i</w:t>
      </w:r>
      <w:r w:rsidRPr="001263B7">
        <w:rPr>
          <w:spacing w:val="-1"/>
          <w:sz w:val="24"/>
          <w:szCs w:val="24"/>
        </w:rPr>
        <w:t>n</w:t>
      </w:r>
      <w:r w:rsidRPr="001263B7">
        <w:rPr>
          <w:spacing w:val="-2"/>
          <w:sz w:val="24"/>
          <w:szCs w:val="24"/>
        </w:rPr>
        <w:t>g</w:t>
      </w:r>
      <w:r w:rsidRPr="001263B7">
        <w:rPr>
          <w:sz w:val="24"/>
          <w:szCs w:val="24"/>
        </w:rPr>
        <w:t>ar</w:t>
      </w:r>
      <w:r w:rsidRPr="001263B7">
        <w:rPr>
          <w:spacing w:val="-15"/>
          <w:sz w:val="24"/>
          <w:szCs w:val="24"/>
        </w:rPr>
        <w:t xml:space="preserve"> </w:t>
      </w:r>
      <w:r w:rsidRPr="001263B7">
        <w:rPr>
          <w:spacing w:val="-7"/>
          <w:sz w:val="24"/>
          <w:szCs w:val="24"/>
        </w:rPr>
        <w:t>s</w:t>
      </w:r>
      <w:r w:rsidRPr="001263B7">
        <w:rPr>
          <w:spacing w:val="-3"/>
          <w:sz w:val="24"/>
          <w:szCs w:val="24"/>
        </w:rPr>
        <w:t>k</w:t>
      </w:r>
      <w:r w:rsidRPr="001263B7">
        <w:rPr>
          <w:sz w:val="24"/>
          <w:szCs w:val="24"/>
        </w:rPr>
        <w:t>a</w:t>
      </w:r>
      <w:r w:rsidRPr="001263B7">
        <w:rPr>
          <w:spacing w:val="-9"/>
          <w:sz w:val="24"/>
          <w:szCs w:val="24"/>
        </w:rPr>
        <w:t xml:space="preserve"> </w:t>
      </w:r>
      <w:r w:rsidRPr="001263B7">
        <w:rPr>
          <w:spacing w:val="-3"/>
          <w:sz w:val="24"/>
          <w:szCs w:val="24"/>
        </w:rPr>
        <w:t>m</w:t>
      </w:r>
      <w:r w:rsidRPr="001263B7">
        <w:rPr>
          <w:sz w:val="24"/>
          <w:szCs w:val="24"/>
        </w:rPr>
        <w:t>an</w:t>
      </w:r>
      <w:r w:rsidRPr="001263B7">
        <w:rPr>
          <w:spacing w:val="-9"/>
          <w:sz w:val="24"/>
          <w:szCs w:val="24"/>
        </w:rPr>
        <w:t xml:space="preserve"> </w:t>
      </w:r>
      <w:r w:rsidRPr="001263B7">
        <w:rPr>
          <w:spacing w:val="-5"/>
          <w:sz w:val="24"/>
          <w:szCs w:val="24"/>
        </w:rPr>
        <w:t>h</w:t>
      </w:r>
      <w:r w:rsidRPr="001263B7">
        <w:rPr>
          <w:sz w:val="24"/>
          <w:szCs w:val="24"/>
        </w:rPr>
        <w:t>a</w:t>
      </w:r>
      <w:r w:rsidRPr="001263B7">
        <w:rPr>
          <w:spacing w:val="-8"/>
          <w:sz w:val="24"/>
          <w:szCs w:val="24"/>
        </w:rPr>
        <w:t xml:space="preserve"> </w:t>
      </w:r>
      <w:r w:rsidRPr="001263B7">
        <w:rPr>
          <w:spacing w:val="-3"/>
          <w:sz w:val="24"/>
          <w:szCs w:val="24"/>
        </w:rPr>
        <w:t>p</w:t>
      </w:r>
      <w:r w:rsidRPr="001263B7">
        <w:rPr>
          <w:spacing w:val="-1"/>
          <w:sz w:val="24"/>
          <w:szCs w:val="24"/>
        </w:rPr>
        <w:t>ro</w:t>
      </w:r>
      <w:r w:rsidRPr="001263B7">
        <w:rPr>
          <w:spacing w:val="-5"/>
          <w:sz w:val="24"/>
          <w:szCs w:val="24"/>
        </w:rPr>
        <w:t>fy</w:t>
      </w:r>
      <w:r w:rsidRPr="001263B7">
        <w:rPr>
          <w:sz w:val="24"/>
          <w:szCs w:val="24"/>
        </w:rPr>
        <w:t>l</w:t>
      </w:r>
      <w:r w:rsidRPr="001263B7">
        <w:rPr>
          <w:spacing w:val="-2"/>
          <w:sz w:val="24"/>
          <w:szCs w:val="24"/>
        </w:rPr>
        <w:t>a</w:t>
      </w:r>
      <w:r w:rsidRPr="001263B7">
        <w:rPr>
          <w:sz w:val="24"/>
          <w:szCs w:val="24"/>
        </w:rPr>
        <w:t>x</w:t>
      </w:r>
      <w:r w:rsidRPr="001263B7">
        <w:rPr>
          <w:spacing w:val="-9"/>
          <w:sz w:val="24"/>
          <w:szCs w:val="24"/>
        </w:rPr>
        <w:t xml:space="preserve"> </w:t>
      </w:r>
      <w:r w:rsidRPr="001263B7">
        <w:rPr>
          <w:sz w:val="24"/>
          <w:szCs w:val="24"/>
        </w:rPr>
        <w:t>i</w:t>
      </w:r>
      <w:r w:rsidRPr="001263B7">
        <w:rPr>
          <w:spacing w:val="-8"/>
          <w:sz w:val="24"/>
          <w:szCs w:val="24"/>
        </w:rPr>
        <w:t xml:space="preserve"> </w:t>
      </w:r>
      <w:r w:rsidRPr="001263B7">
        <w:rPr>
          <w:spacing w:val="-2"/>
          <w:sz w:val="24"/>
          <w:szCs w:val="24"/>
        </w:rPr>
        <w:t>å</w:t>
      </w:r>
      <w:r w:rsidRPr="001263B7">
        <w:rPr>
          <w:spacing w:val="-9"/>
          <w:sz w:val="24"/>
          <w:szCs w:val="24"/>
        </w:rPr>
        <w:t>t</w:t>
      </w:r>
      <w:r w:rsidRPr="001263B7">
        <w:rPr>
          <w:sz w:val="24"/>
          <w:szCs w:val="24"/>
        </w:rPr>
        <w:t>a</w:t>
      </w:r>
      <w:r w:rsidRPr="001263B7">
        <w:rPr>
          <w:spacing w:val="-1"/>
          <w:sz w:val="24"/>
          <w:szCs w:val="24"/>
        </w:rPr>
        <w:t>n</w:t>
      </w:r>
      <w:r w:rsidRPr="001263B7">
        <w:rPr>
          <w:sz w:val="24"/>
          <w:szCs w:val="24"/>
        </w:rPr>
        <w:t>ke vid</w:t>
      </w:r>
      <w:r w:rsidRPr="001263B7">
        <w:rPr>
          <w:spacing w:val="-12"/>
          <w:sz w:val="24"/>
          <w:szCs w:val="24"/>
        </w:rPr>
        <w:t xml:space="preserve"> </w:t>
      </w:r>
      <w:r w:rsidRPr="001263B7">
        <w:rPr>
          <w:spacing w:val="-3"/>
          <w:sz w:val="24"/>
          <w:szCs w:val="24"/>
        </w:rPr>
        <w:t>N</w:t>
      </w:r>
      <w:r w:rsidRPr="001263B7">
        <w:rPr>
          <w:spacing w:val="-5"/>
          <w:sz w:val="24"/>
          <w:szCs w:val="24"/>
        </w:rPr>
        <w:t>S</w:t>
      </w:r>
      <w:r w:rsidRPr="001263B7">
        <w:rPr>
          <w:spacing w:val="-7"/>
          <w:sz w:val="24"/>
          <w:szCs w:val="24"/>
        </w:rPr>
        <w:t>A</w:t>
      </w:r>
      <w:r w:rsidRPr="001263B7">
        <w:rPr>
          <w:spacing w:val="-1"/>
          <w:sz w:val="24"/>
          <w:szCs w:val="24"/>
        </w:rPr>
        <w:t>I</w:t>
      </w:r>
      <w:r w:rsidRPr="001263B7">
        <w:rPr>
          <w:sz w:val="24"/>
          <w:szCs w:val="24"/>
        </w:rPr>
        <w:t>D</w:t>
      </w:r>
      <w:r w:rsidRPr="001263B7">
        <w:rPr>
          <w:spacing w:val="-12"/>
          <w:sz w:val="24"/>
          <w:szCs w:val="24"/>
        </w:rPr>
        <w:t xml:space="preserve"> </w:t>
      </w:r>
      <w:r w:rsidRPr="001263B7">
        <w:rPr>
          <w:spacing w:val="-1"/>
          <w:sz w:val="24"/>
          <w:szCs w:val="24"/>
        </w:rPr>
        <w:t>o</w:t>
      </w:r>
      <w:r w:rsidRPr="001263B7">
        <w:rPr>
          <w:sz w:val="24"/>
          <w:szCs w:val="24"/>
        </w:rPr>
        <w:t>c</w:t>
      </w:r>
      <w:r w:rsidRPr="001263B7">
        <w:rPr>
          <w:spacing w:val="-1"/>
          <w:sz w:val="24"/>
          <w:szCs w:val="24"/>
        </w:rPr>
        <w:t>h</w:t>
      </w:r>
      <w:r w:rsidRPr="001263B7">
        <w:rPr>
          <w:spacing w:val="-5"/>
          <w:sz w:val="24"/>
          <w:szCs w:val="24"/>
        </w:rPr>
        <w:t>/</w:t>
      </w:r>
      <w:r w:rsidRPr="001263B7">
        <w:rPr>
          <w:sz w:val="24"/>
          <w:szCs w:val="24"/>
        </w:rPr>
        <w:t>el</w:t>
      </w:r>
      <w:r w:rsidRPr="001263B7">
        <w:rPr>
          <w:spacing w:val="-3"/>
          <w:sz w:val="24"/>
          <w:szCs w:val="24"/>
        </w:rPr>
        <w:t>l</w:t>
      </w:r>
      <w:r w:rsidRPr="001263B7">
        <w:rPr>
          <w:sz w:val="24"/>
          <w:szCs w:val="24"/>
        </w:rPr>
        <w:t>er</w:t>
      </w:r>
      <w:r w:rsidRPr="001263B7">
        <w:rPr>
          <w:spacing w:val="-12"/>
          <w:sz w:val="24"/>
          <w:szCs w:val="24"/>
        </w:rPr>
        <w:t xml:space="preserve"> </w:t>
      </w:r>
      <w:r w:rsidRPr="001263B7">
        <w:rPr>
          <w:spacing w:val="-2"/>
          <w:sz w:val="24"/>
          <w:szCs w:val="24"/>
        </w:rPr>
        <w:t>A</w:t>
      </w:r>
      <w:r w:rsidRPr="001263B7">
        <w:rPr>
          <w:spacing w:val="-3"/>
          <w:sz w:val="24"/>
          <w:szCs w:val="24"/>
        </w:rPr>
        <w:t>S</w:t>
      </w:r>
      <w:r w:rsidRPr="001263B7">
        <w:rPr>
          <w:sz w:val="24"/>
          <w:szCs w:val="24"/>
        </w:rPr>
        <w:t>A-</w:t>
      </w:r>
      <w:r w:rsidRPr="001263B7">
        <w:rPr>
          <w:spacing w:val="-1"/>
          <w:sz w:val="24"/>
          <w:szCs w:val="24"/>
        </w:rPr>
        <w:t>b</w:t>
      </w:r>
      <w:r w:rsidRPr="001263B7">
        <w:rPr>
          <w:sz w:val="24"/>
          <w:szCs w:val="24"/>
        </w:rPr>
        <w:t>e</w:t>
      </w:r>
      <w:r w:rsidRPr="001263B7">
        <w:rPr>
          <w:spacing w:val="-1"/>
          <w:sz w:val="24"/>
          <w:szCs w:val="24"/>
        </w:rPr>
        <w:t>h</w:t>
      </w:r>
      <w:r w:rsidRPr="001263B7">
        <w:rPr>
          <w:spacing w:val="-7"/>
          <w:sz w:val="24"/>
          <w:szCs w:val="24"/>
        </w:rPr>
        <w:t>a</w:t>
      </w:r>
      <w:r w:rsidRPr="001263B7">
        <w:rPr>
          <w:spacing w:val="-1"/>
          <w:sz w:val="24"/>
          <w:szCs w:val="24"/>
        </w:rPr>
        <w:t>n</w:t>
      </w:r>
      <w:r w:rsidRPr="001263B7">
        <w:rPr>
          <w:sz w:val="24"/>
          <w:szCs w:val="24"/>
        </w:rPr>
        <w:t>dli</w:t>
      </w:r>
      <w:r w:rsidRPr="001263B7">
        <w:rPr>
          <w:spacing w:val="-3"/>
          <w:sz w:val="24"/>
          <w:szCs w:val="24"/>
        </w:rPr>
        <w:t>n</w:t>
      </w:r>
      <w:r w:rsidRPr="001263B7">
        <w:rPr>
          <w:sz w:val="24"/>
          <w:szCs w:val="24"/>
        </w:rPr>
        <w:t>g.</w:t>
      </w:r>
      <w:r w:rsidRPr="001263B7">
        <w:rPr>
          <w:spacing w:val="-16"/>
          <w:sz w:val="24"/>
          <w:szCs w:val="24"/>
        </w:rPr>
        <w:t xml:space="preserve"> </w:t>
      </w:r>
      <w:r w:rsidRPr="001263B7">
        <w:rPr>
          <w:spacing w:val="-1"/>
          <w:sz w:val="24"/>
          <w:szCs w:val="24"/>
        </w:rPr>
        <w:t>H</w:t>
      </w:r>
      <w:r w:rsidRPr="001263B7">
        <w:rPr>
          <w:sz w:val="24"/>
          <w:szCs w:val="24"/>
        </w:rPr>
        <w:t>ar</w:t>
      </w:r>
      <w:r w:rsidRPr="001263B7">
        <w:rPr>
          <w:spacing w:val="-12"/>
          <w:sz w:val="24"/>
          <w:szCs w:val="24"/>
        </w:rPr>
        <w:t xml:space="preserve"> </w:t>
      </w:r>
      <w:r w:rsidRPr="001263B7">
        <w:rPr>
          <w:spacing w:val="-5"/>
          <w:sz w:val="24"/>
          <w:szCs w:val="24"/>
        </w:rPr>
        <w:t>p</w:t>
      </w:r>
      <w:r w:rsidRPr="001263B7">
        <w:rPr>
          <w:sz w:val="24"/>
          <w:szCs w:val="24"/>
        </w:rPr>
        <w:t>a</w:t>
      </w:r>
      <w:r w:rsidRPr="001263B7">
        <w:rPr>
          <w:spacing w:val="-1"/>
          <w:sz w:val="24"/>
          <w:szCs w:val="24"/>
        </w:rPr>
        <w:t>t</w:t>
      </w:r>
      <w:r w:rsidRPr="001263B7">
        <w:rPr>
          <w:sz w:val="24"/>
          <w:szCs w:val="24"/>
        </w:rPr>
        <w:t>i</w:t>
      </w:r>
      <w:r w:rsidRPr="001263B7">
        <w:rPr>
          <w:spacing w:val="-5"/>
          <w:sz w:val="24"/>
          <w:szCs w:val="24"/>
        </w:rPr>
        <w:t>e</w:t>
      </w:r>
      <w:r w:rsidRPr="001263B7">
        <w:rPr>
          <w:sz w:val="24"/>
          <w:szCs w:val="24"/>
        </w:rPr>
        <w:t>n</w:t>
      </w:r>
      <w:r w:rsidRPr="001263B7">
        <w:rPr>
          <w:spacing w:val="-7"/>
          <w:sz w:val="24"/>
          <w:szCs w:val="24"/>
        </w:rPr>
        <w:t>t</w:t>
      </w:r>
      <w:r w:rsidRPr="001263B7">
        <w:rPr>
          <w:sz w:val="24"/>
          <w:szCs w:val="24"/>
        </w:rPr>
        <w:t>en</w:t>
      </w:r>
      <w:r w:rsidRPr="001263B7">
        <w:rPr>
          <w:spacing w:val="-12"/>
          <w:sz w:val="24"/>
          <w:szCs w:val="24"/>
        </w:rPr>
        <w:t xml:space="preserve"> </w:t>
      </w:r>
      <w:r w:rsidRPr="001263B7">
        <w:rPr>
          <w:spacing w:val="-1"/>
          <w:sz w:val="24"/>
          <w:szCs w:val="24"/>
        </w:rPr>
        <w:t>n</w:t>
      </w:r>
      <w:r w:rsidRPr="001263B7">
        <w:rPr>
          <w:spacing w:val="-4"/>
          <w:sz w:val="24"/>
          <w:szCs w:val="24"/>
        </w:rPr>
        <w:t>å</w:t>
      </w:r>
      <w:r w:rsidRPr="001263B7">
        <w:rPr>
          <w:sz w:val="24"/>
          <w:szCs w:val="24"/>
        </w:rPr>
        <w:t>g</w:t>
      </w:r>
      <w:r w:rsidRPr="001263B7">
        <w:rPr>
          <w:spacing w:val="-11"/>
          <w:sz w:val="24"/>
          <w:szCs w:val="24"/>
        </w:rPr>
        <w:t>r</w:t>
      </w:r>
      <w:r w:rsidRPr="001263B7">
        <w:rPr>
          <w:sz w:val="24"/>
          <w:szCs w:val="24"/>
        </w:rPr>
        <w:t>a</w:t>
      </w:r>
      <w:r w:rsidRPr="001263B7">
        <w:rPr>
          <w:spacing w:val="-10"/>
          <w:sz w:val="24"/>
          <w:szCs w:val="24"/>
        </w:rPr>
        <w:t xml:space="preserve"> </w:t>
      </w:r>
      <w:r w:rsidRPr="001263B7">
        <w:rPr>
          <w:sz w:val="24"/>
          <w:szCs w:val="24"/>
        </w:rPr>
        <w:t>av</w:t>
      </w:r>
      <w:r w:rsidRPr="001263B7">
        <w:rPr>
          <w:spacing w:val="-8"/>
          <w:sz w:val="24"/>
          <w:szCs w:val="24"/>
        </w:rPr>
        <w:t xml:space="preserve"> </w:t>
      </w:r>
      <w:r w:rsidRPr="001263B7">
        <w:rPr>
          <w:spacing w:val="-1"/>
          <w:sz w:val="24"/>
          <w:szCs w:val="24"/>
        </w:rPr>
        <w:t>f</w:t>
      </w:r>
      <w:r w:rsidRPr="001263B7">
        <w:rPr>
          <w:sz w:val="24"/>
          <w:szCs w:val="24"/>
        </w:rPr>
        <w:t>ölj</w:t>
      </w:r>
      <w:r w:rsidRPr="001263B7">
        <w:rPr>
          <w:spacing w:val="-2"/>
          <w:sz w:val="24"/>
          <w:szCs w:val="24"/>
        </w:rPr>
        <w:t>a</w:t>
      </w:r>
      <w:r w:rsidRPr="001263B7">
        <w:rPr>
          <w:spacing w:val="-3"/>
          <w:sz w:val="24"/>
          <w:szCs w:val="24"/>
        </w:rPr>
        <w:t>nd</w:t>
      </w:r>
      <w:r w:rsidRPr="001263B7">
        <w:rPr>
          <w:sz w:val="24"/>
          <w:szCs w:val="24"/>
        </w:rPr>
        <w:t>e</w:t>
      </w:r>
      <w:r w:rsidRPr="001263B7">
        <w:rPr>
          <w:spacing w:val="-6"/>
          <w:sz w:val="24"/>
          <w:szCs w:val="24"/>
        </w:rPr>
        <w:t xml:space="preserve"> </w:t>
      </w:r>
      <w:r w:rsidRPr="001263B7">
        <w:rPr>
          <w:spacing w:val="-1"/>
          <w:sz w:val="24"/>
          <w:szCs w:val="24"/>
        </w:rPr>
        <w:t>r</w:t>
      </w:r>
      <w:r w:rsidRPr="001263B7">
        <w:rPr>
          <w:spacing w:val="-3"/>
          <w:sz w:val="24"/>
          <w:szCs w:val="24"/>
        </w:rPr>
        <w:t>is</w:t>
      </w:r>
      <w:r w:rsidRPr="001263B7">
        <w:rPr>
          <w:sz w:val="24"/>
          <w:szCs w:val="24"/>
        </w:rPr>
        <w:t>k</w:t>
      </w:r>
      <w:r w:rsidRPr="001263B7">
        <w:rPr>
          <w:spacing w:val="-1"/>
          <w:sz w:val="24"/>
          <w:szCs w:val="24"/>
        </w:rPr>
        <w:t>f</w:t>
      </w:r>
      <w:r w:rsidRPr="001263B7">
        <w:rPr>
          <w:spacing w:val="-4"/>
          <w:sz w:val="24"/>
          <w:szCs w:val="24"/>
        </w:rPr>
        <w:t>a</w:t>
      </w:r>
      <w:r w:rsidRPr="001263B7">
        <w:rPr>
          <w:spacing w:val="-3"/>
          <w:sz w:val="24"/>
          <w:szCs w:val="24"/>
        </w:rPr>
        <w:t>k</w:t>
      </w:r>
      <w:r w:rsidRPr="001263B7">
        <w:rPr>
          <w:spacing w:val="-1"/>
          <w:sz w:val="24"/>
          <w:szCs w:val="24"/>
        </w:rPr>
        <w:t>t</w:t>
      </w:r>
      <w:r w:rsidRPr="001263B7">
        <w:rPr>
          <w:spacing w:val="-3"/>
          <w:sz w:val="24"/>
          <w:szCs w:val="24"/>
        </w:rPr>
        <w:t>o</w:t>
      </w:r>
      <w:r w:rsidRPr="001263B7">
        <w:rPr>
          <w:spacing w:val="-1"/>
          <w:sz w:val="24"/>
          <w:szCs w:val="24"/>
        </w:rPr>
        <w:t>r</w:t>
      </w:r>
      <w:r w:rsidRPr="001263B7">
        <w:rPr>
          <w:sz w:val="24"/>
          <w:szCs w:val="24"/>
        </w:rPr>
        <w:t>er</w:t>
      </w:r>
      <w:r w:rsidRPr="001263B7">
        <w:rPr>
          <w:spacing w:val="-12"/>
          <w:sz w:val="24"/>
          <w:szCs w:val="24"/>
        </w:rPr>
        <w:t xml:space="preserve"> </w:t>
      </w:r>
      <w:r w:rsidRPr="001263B7">
        <w:rPr>
          <w:spacing w:val="-7"/>
          <w:sz w:val="24"/>
          <w:szCs w:val="24"/>
        </w:rPr>
        <w:t>s</w:t>
      </w:r>
      <w:r w:rsidRPr="001263B7">
        <w:rPr>
          <w:spacing w:val="-8"/>
          <w:sz w:val="24"/>
          <w:szCs w:val="24"/>
        </w:rPr>
        <w:t>k</w:t>
      </w:r>
      <w:r w:rsidRPr="001263B7">
        <w:rPr>
          <w:sz w:val="24"/>
          <w:szCs w:val="24"/>
        </w:rPr>
        <w:t>all</w:t>
      </w:r>
      <w:r w:rsidRPr="001263B7">
        <w:rPr>
          <w:spacing w:val="-9"/>
          <w:sz w:val="24"/>
          <w:szCs w:val="24"/>
        </w:rPr>
        <w:t xml:space="preserve"> </w:t>
      </w:r>
      <w:r w:rsidRPr="001263B7">
        <w:rPr>
          <w:spacing w:val="-1"/>
          <w:sz w:val="24"/>
          <w:szCs w:val="24"/>
        </w:rPr>
        <w:t>m</w:t>
      </w:r>
      <w:r w:rsidRPr="001263B7">
        <w:rPr>
          <w:sz w:val="24"/>
          <w:szCs w:val="24"/>
        </w:rPr>
        <w:t>an</w:t>
      </w:r>
      <w:r w:rsidRPr="001263B7">
        <w:rPr>
          <w:spacing w:val="-9"/>
          <w:sz w:val="24"/>
          <w:szCs w:val="24"/>
        </w:rPr>
        <w:t xml:space="preserve"> </w:t>
      </w:r>
      <w:r w:rsidRPr="001263B7">
        <w:rPr>
          <w:spacing w:val="-3"/>
          <w:sz w:val="24"/>
          <w:szCs w:val="24"/>
        </w:rPr>
        <w:t>öv</w:t>
      </w:r>
      <w:r w:rsidRPr="001263B7">
        <w:rPr>
          <w:spacing w:val="1"/>
          <w:sz w:val="24"/>
          <w:szCs w:val="24"/>
        </w:rPr>
        <w:t>e</w:t>
      </w:r>
      <w:r w:rsidRPr="001263B7">
        <w:rPr>
          <w:spacing w:val="-4"/>
          <w:sz w:val="24"/>
          <w:szCs w:val="24"/>
        </w:rPr>
        <w:t>r</w:t>
      </w:r>
      <w:r w:rsidRPr="001263B7">
        <w:rPr>
          <w:spacing w:val="-3"/>
          <w:sz w:val="24"/>
          <w:szCs w:val="24"/>
        </w:rPr>
        <w:t>v</w:t>
      </w:r>
      <w:r w:rsidRPr="001263B7">
        <w:rPr>
          <w:spacing w:val="-2"/>
          <w:sz w:val="24"/>
          <w:szCs w:val="24"/>
        </w:rPr>
        <w:t>ä</w:t>
      </w:r>
      <w:r w:rsidRPr="001263B7">
        <w:rPr>
          <w:spacing w:val="-8"/>
          <w:sz w:val="24"/>
          <w:szCs w:val="24"/>
        </w:rPr>
        <w:t>g</w:t>
      </w:r>
      <w:r w:rsidRPr="001263B7">
        <w:rPr>
          <w:sz w:val="24"/>
          <w:szCs w:val="24"/>
        </w:rPr>
        <w:t>a p</w:t>
      </w:r>
      <w:r w:rsidRPr="001263B7">
        <w:rPr>
          <w:spacing w:val="-1"/>
          <w:sz w:val="24"/>
          <w:szCs w:val="24"/>
        </w:rPr>
        <w:t>r</w:t>
      </w:r>
      <w:r w:rsidRPr="001263B7">
        <w:rPr>
          <w:sz w:val="24"/>
          <w:szCs w:val="24"/>
        </w:rPr>
        <w:t>o</w:t>
      </w:r>
      <w:r w:rsidRPr="001263B7">
        <w:rPr>
          <w:spacing w:val="-1"/>
          <w:sz w:val="24"/>
          <w:szCs w:val="24"/>
        </w:rPr>
        <w:t>f</w:t>
      </w:r>
      <w:r w:rsidRPr="001263B7">
        <w:rPr>
          <w:spacing w:val="-2"/>
          <w:sz w:val="24"/>
          <w:szCs w:val="24"/>
        </w:rPr>
        <w:t>y</w:t>
      </w:r>
      <w:r w:rsidRPr="001263B7">
        <w:rPr>
          <w:spacing w:val="-3"/>
          <w:sz w:val="24"/>
          <w:szCs w:val="24"/>
        </w:rPr>
        <w:t>l</w:t>
      </w:r>
      <w:r w:rsidRPr="001263B7">
        <w:rPr>
          <w:sz w:val="24"/>
          <w:szCs w:val="24"/>
        </w:rPr>
        <w:t>ax.</w:t>
      </w:r>
      <w:r w:rsidRPr="001263B7">
        <w:rPr>
          <w:spacing w:val="-11"/>
          <w:sz w:val="24"/>
          <w:szCs w:val="24"/>
        </w:rPr>
        <w:t xml:space="preserve"> </w:t>
      </w:r>
      <w:r w:rsidRPr="001263B7">
        <w:rPr>
          <w:spacing w:val="-11"/>
          <w:sz w:val="24"/>
          <w:szCs w:val="24"/>
        </w:rPr>
        <w:br/>
      </w:r>
      <w:r w:rsidRPr="001263B7">
        <w:rPr>
          <w:sz w:val="24"/>
          <w:szCs w:val="24"/>
        </w:rPr>
        <w:t>Ju</w:t>
      </w:r>
      <w:r w:rsidRPr="001263B7">
        <w:rPr>
          <w:spacing w:val="-12"/>
          <w:sz w:val="24"/>
          <w:szCs w:val="24"/>
        </w:rPr>
        <w:t xml:space="preserve"> </w:t>
      </w:r>
      <w:r w:rsidRPr="001263B7">
        <w:rPr>
          <w:spacing w:val="-5"/>
          <w:sz w:val="24"/>
          <w:szCs w:val="24"/>
        </w:rPr>
        <w:t>f</w:t>
      </w:r>
      <w:r w:rsidRPr="001263B7">
        <w:rPr>
          <w:sz w:val="24"/>
          <w:szCs w:val="24"/>
        </w:rPr>
        <w:t>ler</w:t>
      </w:r>
      <w:r w:rsidRPr="001263B7">
        <w:rPr>
          <w:spacing w:val="-13"/>
          <w:sz w:val="24"/>
          <w:szCs w:val="24"/>
        </w:rPr>
        <w:t xml:space="preserve"> </w:t>
      </w:r>
      <w:r w:rsidRPr="001263B7">
        <w:rPr>
          <w:spacing w:val="-1"/>
          <w:sz w:val="24"/>
          <w:szCs w:val="24"/>
        </w:rPr>
        <w:t>r</w:t>
      </w:r>
      <w:r w:rsidRPr="001263B7">
        <w:rPr>
          <w:sz w:val="24"/>
          <w:szCs w:val="24"/>
        </w:rPr>
        <w:t>i</w:t>
      </w:r>
      <w:r w:rsidRPr="001263B7">
        <w:rPr>
          <w:spacing w:val="-7"/>
          <w:sz w:val="24"/>
          <w:szCs w:val="24"/>
        </w:rPr>
        <w:t>s</w:t>
      </w:r>
      <w:r w:rsidRPr="001263B7">
        <w:rPr>
          <w:sz w:val="24"/>
          <w:szCs w:val="24"/>
        </w:rPr>
        <w:t>k</w:t>
      </w:r>
      <w:r w:rsidRPr="001263B7">
        <w:rPr>
          <w:spacing w:val="-6"/>
          <w:sz w:val="24"/>
          <w:szCs w:val="24"/>
        </w:rPr>
        <w:t>f</w:t>
      </w:r>
      <w:r w:rsidRPr="001263B7">
        <w:rPr>
          <w:sz w:val="24"/>
          <w:szCs w:val="24"/>
        </w:rPr>
        <w:t>a</w:t>
      </w:r>
      <w:r w:rsidRPr="001263B7">
        <w:rPr>
          <w:spacing w:val="-3"/>
          <w:sz w:val="24"/>
          <w:szCs w:val="24"/>
        </w:rPr>
        <w:t>kt</w:t>
      </w:r>
      <w:r w:rsidRPr="001263B7">
        <w:rPr>
          <w:spacing w:val="-1"/>
          <w:sz w:val="24"/>
          <w:szCs w:val="24"/>
        </w:rPr>
        <w:t>or</w:t>
      </w:r>
      <w:r w:rsidRPr="001263B7">
        <w:rPr>
          <w:spacing w:val="-5"/>
          <w:sz w:val="24"/>
          <w:szCs w:val="24"/>
        </w:rPr>
        <w:t>e</w:t>
      </w:r>
      <w:r w:rsidRPr="001263B7">
        <w:rPr>
          <w:sz w:val="24"/>
          <w:szCs w:val="24"/>
        </w:rPr>
        <w:t>r</w:t>
      </w:r>
      <w:r w:rsidRPr="001263B7">
        <w:rPr>
          <w:spacing w:val="-12"/>
          <w:sz w:val="24"/>
          <w:szCs w:val="24"/>
        </w:rPr>
        <w:t xml:space="preserve"> </w:t>
      </w:r>
      <w:r w:rsidRPr="001263B7">
        <w:rPr>
          <w:sz w:val="24"/>
          <w:szCs w:val="24"/>
        </w:rPr>
        <w:t>desto</w:t>
      </w:r>
      <w:r w:rsidRPr="001263B7">
        <w:rPr>
          <w:spacing w:val="-10"/>
          <w:sz w:val="24"/>
          <w:szCs w:val="24"/>
        </w:rPr>
        <w:t xml:space="preserve"> </w:t>
      </w:r>
      <w:r w:rsidRPr="001263B7">
        <w:rPr>
          <w:spacing w:val="-7"/>
          <w:sz w:val="24"/>
          <w:szCs w:val="24"/>
        </w:rPr>
        <w:t>s</w:t>
      </w:r>
      <w:r w:rsidRPr="001263B7">
        <w:rPr>
          <w:spacing w:val="-1"/>
          <w:sz w:val="24"/>
          <w:szCs w:val="24"/>
        </w:rPr>
        <w:t>t</w:t>
      </w:r>
      <w:r w:rsidRPr="001263B7">
        <w:rPr>
          <w:sz w:val="24"/>
          <w:szCs w:val="24"/>
        </w:rPr>
        <w:t>a</w:t>
      </w:r>
      <w:r w:rsidRPr="001263B7">
        <w:rPr>
          <w:spacing w:val="-6"/>
          <w:sz w:val="24"/>
          <w:szCs w:val="24"/>
        </w:rPr>
        <w:t>r</w:t>
      </w:r>
      <w:r w:rsidRPr="001263B7">
        <w:rPr>
          <w:sz w:val="24"/>
          <w:szCs w:val="24"/>
        </w:rPr>
        <w:t>ka</w:t>
      </w:r>
      <w:r w:rsidRPr="001263B7">
        <w:rPr>
          <w:spacing w:val="-1"/>
          <w:sz w:val="24"/>
          <w:szCs w:val="24"/>
        </w:rPr>
        <w:t>r</w:t>
      </w:r>
      <w:r w:rsidRPr="001263B7">
        <w:rPr>
          <w:sz w:val="24"/>
          <w:szCs w:val="24"/>
        </w:rPr>
        <w:t>e</w:t>
      </w:r>
      <w:r w:rsidRPr="001263B7">
        <w:rPr>
          <w:spacing w:val="-11"/>
          <w:sz w:val="24"/>
          <w:szCs w:val="24"/>
        </w:rPr>
        <w:t xml:space="preserve"> </w:t>
      </w:r>
      <w:r w:rsidRPr="001263B7">
        <w:rPr>
          <w:spacing w:val="-7"/>
          <w:sz w:val="24"/>
          <w:szCs w:val="24"/>
        </w:rPr>
        <w:t>s</w:t>
      </w:r>
      <w:r w:rsidRPr="001263B7">
        <w:rPr>
          <w:sz w:val="24"/>
          <w:szCs w:val="24"/>
        </w:rPr>
        <w:t>käl</w:t>
      </w:r>
      <w:r w:rsidRPr="001263B7">
        <w:rPr>
          <w:spacing w:val="-10"/>
          <w:sz w:val="24"/>
          <w:szCs w:val="24"/>
        </w:rPr>
        <w:t xml:space="preserve"> </w:t>
      </w:r>
      <w:r w:rsidRPr="001263B7">
        <w:rPr>
          <w:spacing w:val="-2"/>
          <w:sz w:val="24"/>
          <w:szCs w:val="24"/>
        </w:rPr>
        <w:t>a</w:t>
      </w:r>
      <w:r w:rsidRPr="001263B7">
        <w:rPr>
          <w:spacing w:val="-1"/>
          <w:sz w:val="24"/>
          <w:szCs w:val="24"/>
        </w:rPr>
        <w:t>t</w:t>
      </w:r>
      <w:r w:rsidRPr="001263B7">
        <w:rPr>
          <w:sz w:val="24"/>
          <w:szCs w:val="24"/>
        </w:rPr>
        <w:t>t</w:t>
      </w:r>
      <w:r w:rsidRPr="001263B7">
        <w:rPr>
          <w:spacing w:val="-10"/>
          <w:sz w:val="24"/>
          <w:szCs w:val="24"/>
        </w:rPr>
        <w:t xml:space="preserve"> </w:t>
      </w:r>
      <w:r w:rsidRPr="001263B7">
        <w:rPr>
          <w:sz w:val="24"/>
          <w:szCs w:val="24"/>
        </w:rPr>
        <w:t>ge</w:t>
      </w:r>
      <w:r w:rsidRPr="001263B7">
        <w:rPr>
          <w:spacing w:val="-11"/>
          <w:sz w:val="24"/>
          <w:szCs w:val="24"/>
        </w:rPr>
        <w:t xml:space="preserve"> </w:t>
      </w:r>
      <w:r w:rsidRPr="001263B7">
        <w:rPr>
          <w:spacing w:val="-1"/>
          <w:sz w:val="24"/>
          <w:szCs w:val="24"/>
        </w:rPr>
        <w:t>p</w:t>
      </w:r>
      <w:r w:rsidRPr="001263B7">
        <w:rPr>
          <w:spacing w:val="-9"/>
          <w:sz w:val="24"/>
          <w:szCs w:val="24"/>
        </w:rPr>
        <w:t>r</w:t>
      </w:r>
      <w:r w:rsidRPr="001263B7">
        <w:rPr>
          <w:spacing w:val="-3"/>
          <w:sz w:val="24"/>
          <w:szCs w:val="24"/>
        </w:rPr>
        <w:t>o</w:t>
      </w:r>
      <w:r w:rsidRPr="001263B7">
        <w:rPr>
          <w:spacing w:val="-1"/>
          <w:sz w:val="24"/>
          <w:szCs w:val="24"/>
        </w:rPr>
        <w:t>f</w:t>
      </w:r>
      <w:r w:rsidRPr="001263B7">
        <w:rPr>
          <w:sz w:val="24"/>
          <w:szCs w:val="24"/>
        </w:rPr>
        <w:t>yla</w:t>
      </w:r>
      <w:r w:rsidRPr="001263B7">
        <w:rPr>
          <w:spacing w:val="-3"/>
          <w:sz w:val="24"/>
          <w:szCs w:val="24"/>
        </w:rPr>
        <w:t>x</w:t>
      </w:r>
      <w:r w:rsidRPr="001263B7">
        <w:rPr>
          <w:sz w:val="24"/>
          <w:szCs w:val="24"/>
        </w:rPr>
        <w:t>.</w:t>
      </w:r>
    </w:p>
    <w:p w14:paraId="53C14411" w14:textId="77777777" w:rsidR="00E87E0C" w:rsidRDefault="00E87E0C" w:rsidP="00702564">
      <w:pPr>
        <w:rPr>
          <w:b/>
          <w:bCs/>
          <w:sz w:val="24"/>
          <w:szCs w:val="24"/>
        </w:rPr>
      </w:pPr>
    </w:p>
    <w:p w14:paraId="4CDDCAB6" w14:textId="2565F6FE" w:rsidR="00702564" w:rsidRPr="001263B7" w:rsidRDefault="00702564" w:rsidP="00702564">
      <w:pPr>
        <w:rPr>
          <w:b/>
          <w:bCs/>
          <w:sz w:val="24"/>
          <w:szCs w:val="24"/>
        </w:rPr>
      </w:pPr>
      <w:r w:rsidRPr="001263B7">
        <w:rPr>
          <w:b/>
          <w:bCs/>
          <w:sz w:val="24"/>
          <w:szCs w:val="24"/>
        </w:rPr>
        <w:t xml:space="preserve">Riskfaktorer för magsårsblödning: </w:t>
      </w:r>
    </w:p>
    <w:p w14:paraId="73B69489" w14:textId="77777777" w:rsidR="00702564" w:rsidRPr="001263B7" w:rsidRDefault="00702564" w:rsidP="00702564">
      <w:pPr>
        <w:pStyle w:val="Liststycke"/>
        <w:numPr>
          <w:ilvl w:val="0"/>
          <w:numId w:val="48"/>
        </w:numPr>
        <w:contextualSpacing/>
        <w:rPr>
          <w:sz w:val="24"/>
          <w:szCs w:val="24"/>
        </w:rPr>
      </w:pPr>
      <w:r w:rsidRPr="001263B7">
        <w:rPr>
          <w:sz w:val="24"/>
          <w:szCs w:val="24"/>
        </w:rPr>
        <w:t>tidigare magsårssjukdom med eller utan blödning</w:t>
      </w:r>
    </w:p>
    <w:p w14:paraId="3E6D459A" w14:textId="77777777" w:rsidR="00702564" w:rsidRPr="001263B7" w:rsidRDefault="00702564" w:rsidP="00702564">
      <w:pPr>
        <w:pStyle w:val="Liststycke"/>
        <w:numPr>
          <w:ilvl w:val="0"/>
          <w:numId w:val="48"/>
        </w:numPr>
        <w:contextualSpacing/>
        <w:rPr>
          <w:sz w:val="24"/>
          <w:szCs w:val="24"/>
        </w:rPr>
      </w:pPr>
      <w:r w:rsidRPr="001263B7">
        <w:rPr>
          <w:sz w:val="24"/>
          <w:szCs w:val="24"/>
        </w:rPr>
        <w:t xml:space="preserve">infektion med </w:t>
      </w:r>
      <w:r w:rsidRPr="001263B7">
        <w:rPr>
          <w:i/>
          <w:iCs/>
          <w:sz w:val="24"/>
          <w:szCs w:val="24"/>
        </w:rPr>
        <w:t>H. pylori</w:t>
      </w:r>
    </w:p>
    <w:p w14:paraId="01140C47" w14:textId="77777777" w:rsidR="00702564" w:rsidRPr="001263B7" w:rsidRDefault="00702564" w:rsidP="00702564">
      <w:pPr>
        <w:pStyle w:val="Liststycke"/>
        <w:numPr>
          <w:ilvl w:val="0"/>
          <w:numId w:val="48"/>
        </w:numPr>
        <w:contextualSpacing/>
        <w:rPr>
          <w:sz w:val="24"/>
          <w:szCs w:val="24"/>
        </w:rPr>
      </w:pPr>
      <w:r w:rsidRPr="001263B7">
        <w:rPr>
          <w:sz w:val="24"/>
          <w:szCs w:val="24"/>
        </w:rPr>
        <w:lastRenderedPageBreak/>
        <w:t>hög ålder – särskilt vid användning av NSAID/ASA (även i lågdos) hos personer över 65 år</w:t>
      </w:r>
    </w:p>
    <w:p w14:paraId="79279F69" w14:textId="77777777" w:rsidR="00702564" w:rsidRPr="006A371B" w:rsidRDefault="00702564" w:rsidP="00702564">
      <w:pPr>
        <w:pStyle w:val="Liststycke"/>
        <w:numPr>
          <w:ilvl w:val="0"/>
          <w:numId w:val="48"/>
        </w:numPr>
        <w:tabs>
          <w:tab w:val="clear" w:pos="284"/>
        </w:tabs>
        <w:spacing w:after="120" w:line="260" w:lineRule="atLeast"/>
        <w:contextualSpacing/>
        <w:rPr>
          <w:sz w:val="28"/>
          <w:szCs w:val="28"/>
        </w:rPr>
      </w:pPr>
      <w:r w:rsidRPr="006A371B">
        <w:rPr>
          <w:sz w:val="24"/>
          <w:szCs w:val="24"/>
        </w:rPr>
        <w:t>allvarlig sjukdom (till exempel hjärt-kärlsjukdom, kronisk obstruktiv lungsjukdom eller cancer)</w:t>
      </w:r>
    </w:p>
    <w:p w14:paraId="001B7204" w14:textId="77777777" w:rsidR="00702564" w:rsidRPr="001263B7" w:rsidRDefault="00702564" w:rsidP="00702564">
      <w:pPr>
        <w:rPr>
          <w:sz w:val="24"/>
          <w:szCs w:val="24"/>
        </w:rPr>
      </w:pPr>
      <w:r w:rsidRPr="001263B7">
        <w:rPr>
          <w:sz w:val="24"/>
          <w:szCs w:val="24"/>
        </w:rPr>
        <w:t>Antikoagulantia, kortikosteroider och SSRI i kombination med andra riskläkemedel (NSAID/ASA) eller till riskpatienter kan ge en ökad risk för magsårsblödning. Även rökning och riskbruk av alkohol kan ge ökad risk för magsår. Som</w:t>
      </w:r>
      <w:r w:rsidRPr="001263B7">
        <w:rPr>
          <w:spacing w:val="-11"/>
          <w:sz w:val="24"/>
          <w:szCs w:val="24"/>
        </w:rPr>
        <w:t xml:space="preserve"> </w:t>
      </w:r>
      <w:r w:rsidRPr="001263B7">
        <w:rPr>
          <w:spacing w:val="-1"/>
          <w:sz w:val="24"/>
          <w:szCs w:val="24"/>
        </w:rPr>
        <w:t>prof</w:t>
      </w:r>
      <w:r w:rsidRPr="001263B7">
        <w:rPr>
          <w:sz w:val="24"/>
          <w:szCs w:val="24"/>
        </w:rPr>
        <w:t>y</w:t>
      </w:r>
      <w:r w:rsidRPr="001263B7">
        <w:rPr>
          <w:spacing w:val="-3"/>
          <w:sz w:val="24"/>
          <w:szCs w:val="24"/>
        </w:rPr>
        <w:t>l</w:t>
      </w:r>
      <w:r w:rsidRPr="001263B7">
        <w:rPr>
          <w:sz w:val="24"/>
          <w:szCs w:val="24"/>
        </w:rPr>
        <w:t>ax</w:t>
      </w:r>
      <w:r w:rsidRPr="001263B7">
        <w:rPr>
          <w:spacing w:val="-9"/>
          <w:sz w:val="24"/>
          <w:szCs w:val="24"/>
        </w:rPr>
        <w:t xml:space="preserve"> </w:t>
      </w:r>
      <w:r w:rsidRPr="001263B7">
        <w:rPr>
          <w:sz w:val="24"/>
          <w:szCs w:val="24"/>
        </w:rPr>
        <w:t>bör</w:t>
      </w:r>
      <w:r w:rsidRPr="001263B7">
        <w:rPr>
          <w:spacing w:val="-11"/>
          <w:sz w:val="24"/>
          <w:szCs w:val="24"/>
        </w:rPr>
        <w:t xml:space="preserve"> </w:t>
      </w:r>
      <w:r w:rsidRPr="001263B7">
        <w:rPr>
          <w:spacing w:val="-3"/>
          <w:sz w:val="24"/>
          <w:szCs w:val="24"/>
        </w:rPr>
        <w:t>m</w:t>
      </w:r>
      <w:r w:rsidRPr="001263B7">
        <w:rPr>
          <w:sz w:val="24"/>
          <w:szCs w:val="24"/>
        </w:rPr>
        <w:t>an</w:t>
      </w:r>
      <w:r w:rsidRPr="001263B7">
        <w:rPr>
          <w:spacing w:val="-10"/>
          <w:sz w:val="24"/>
          <w:szCs w:val="24"/>
        </w:rPr>
        <w:t xml:space="preserve"> </w:t>
      </w:r>
      <w:r w:rsidRPr="001263B7">
        <w:rPr>
          <w:spacing w:val="-3"/>
          <w:sz w:val="24"/>
          <w:szCs w:val="24"/>
        </w:rPr>
        <w:t>v</w:t>
      </w:r>
      <w:r w:rsidRPr="001263B7">
        <w:rPr>
          <w:spacing w:val="-2"/>
          <w:sz w:val="24"/>
          <w:szCs w:val="24"/>
        </w:rPr>
        <w:t>ä</w:t>
      </w:r>
      <w:r w:rsidRPr="001263B7">
        <w:rPr>
          <w:spacing w:val="-5"/>
          <w:sz w:val="24"/>
          <w:szCs w:val="24"/>
        </w:rPr>
        <w:t>lj</w:t>
      </w:r>
      <w:r w:rsidRPr="001263B7">
        <w:rPr>
          <w:sz w:val="24"/>
          <w:szCs w:val="24"/>
        </w:rPr>
        <w:t>a</w:t>
      </w:r>
      <w:r w:rsidRPr="001263B7">
        <w:rPr>
          <w:spacing w:val="-6"/>
          <w:sz w:val="24"/>
          <w:szCs w:val="24"/>
        </w:rPr>
        <w:t xml:space="preserve"> </w:t>
      </w:r>
      <w:r w:rsidRPr="001263B7">
        <w:rPr>
          <w:spacing w:val="-1"/>
          <w:sz w:val="24"/>
          <w:szCs w:val="24"/>
        </w:rPr>
        <w:t>o</w:t>
      </w:r>
      <w:r w:rsidRPr="001263B7">
        <w:rPr>
          <w:spacing w:val="-3"/>
          <w:sz w:val="24"/>
          <w:szCs w:val="24"/>
        </w:rPr>
        <w:t>m</w:t>
      </w:r>
      <w:r w:rsidRPr="001263B7">
        <w:rPr>
          <w:sz w:val="24"/>
          <w:szCs w:val="24"/>
        </w:rPr>
        <w:t>e</w:t>
      </w:r>
      <w:r w:rsidRPr="001263B7">
        <w:rPr>
          <w:spacing w:val="-1"/>
          <w:sz w:val="24"/>
          <w:szCs w:val="24"/>
        </w:rPr>
        <w:t>p</w:t>
      </w:r>
      <w:r w:rsidRPr="001263B7">
        <w:rPr>
          <w:spacing w:val="-9"/>
          <w:sz w:val="24"/>
          <w:szCs w:val="24"/>
        </w:rPr>
        <w:t>r</w:t>
      </w:r>
      <w:r w:rsidRPr="001263B7">
        <w:rPr>
          <w:sz w:val="24"/>
          <w:szCs w:val="24"/>
        </w:rPr>
        <w:t>az</w:t>
      </w:r>
      <w:r w:rsidRPr="001263B7">
        <w:rPr>
          <w:spacing w:val="-1"/>
          <w:sz w:val="24"/>
          <w:szCs w:val="24"/>
        </w:rPr>
        <w:t>o</w:t>
      </w:r>
      <w:r w:rsidRPr="001263B7">
        <w:rPr>
          <w:sz w:val="24"/>
          <w:szCs w:val="24"/>
        </w:rPr>
        <w:t>l</w:t>
      </w:r>
      <w:r w:rsidRPr="001263B7">
        <w:rPr>
          <w:spacing w:val="-12"/>
          <w:sz w:val="24"/>
          <w:szCs w:val="24"/>
        </w:rPr>
        <w:t xml:space="preserve"> </w:t>
      </w:r>
      <w:r w:rsidRPr="001263B7">
        <w:rPr>
          <w:sz w:val="24"/>
          <w:szCs w:val="24"/>
        </w:rPr>
        <w:t>20</w:t>
      </w:r>
      <w:r w:rsidRPr="001263B7">
        <w:rPr>
          <w:spacing w:val="-11"/>
          <w:sz w:val="24"/>
          <w:szCs w:val="24"/>
        </w:rPr>
        <w:t xml:space="preserve"> </w:t>
      </w:r>
      <w:r w:rsidRPr="001263B7">
        <w:rPr>
          <w:spacing w:val="-1"/>
          <w:sz w:val="24"/>
          <w:szCs w:val="24"/>
        </w:rPr>
        <w:t>m</w:t>
      </w:r>
      <w:r w:rsidRPr="001263B7">
        <w:rPr>
          <w:sz w:val="24"/>
          <w:szCs w:val="24"/>
        </w:rPr>
        <w:t>g</w:t>
      </w:r>
      <w:r w:rsidRPr="001263B7">
        <w:rPr>
          <w:spacing w:val="-9"/>
          <w:sz w:val="24"/>
          <w:szCs w:val="24"/>
        </w:rPr>
        <w:t xml:space="preserve"> </w:t>
      </w:r>
      <w:r w:rsidRPr="001263B7">
        <w:rPr>
          <w:sz w:val="24"/>
          <w:szCs w:val="24"/>
        </w:rPr>
        <w:t>1</w:t>
      </w:r>
      <w:r w:rsidRPr="001263B7">
        <w:rPr>
          <w:spacing w:val="-12"/>
          <w:sz w:val="24"/>
          <w:szCs w:val="24"/>
        </w:rPr>
        <w:t xml:space="preserve"> </w:t>
      </w:r>
      <w:r w:rsidRPr="001263B7">
        <w:rPr>
          <w:sz w:val="24"/>
          <w:szCs w:val="24"/>
        </w:rPr>
        <w:t>k</w:t>
      </w:r>
      <w:r w:rsidRPr="001263B7">
        <w:rPr>
          <w:spacing w:val="-4"/>
          <w:sz w:val="24"/>
          <w:szCs w:val="24"/>
        </w:rPr>
        <w:t>a</w:t>
      </w:r>
      <w:r w:rsidRPr="001263B7">
        <w:rPr>
          <w:spacing w:val="-5"/>
          <w:sz w:val="24"/>
          <w:szCs w:val="24"/>
        </w:rPr>
        <w:t>p</w:t>
      </w:r>
      <w:r w:rsidRPr="001263B7">
        <w:rPr>
          <w:spacing w:val="-6"/>
          <w:sz w:val="24"/>
          <w:szCs w:val="24"/>
        </w:rPr>
        <w:t>s</w:t>
      </w:r>
      <w:r w:rsidRPr="001263B7">
        <w:rPr>
          <w:sz w:val="24"/>
          <w:szCs w:val="24"/>
        </w:rPr>
        <w:t>el</w:t>
      </w:r>
      <w:r w:rsidRPr="001263B7">
        <w:rPr>
          <w:spacing w:val="-9"/>
          <w:sz w:val="24"/>
          <w:szCs w:val="24"/>
        </w:rPr>
        <w:t xml:space="preserve"> </w:t>
      </w:r>
      <w:r w:rsidRPr="001263B7">
        <w:rPr>
          <w:sz w:val="24"/>
          <w:szCs w:val="24"/>
        </w:rPr>
        <w:t>d</w:t>
      </w:r>
      <w:r w:rsidRPr="001263B7">
        <w:rPr>
          <w:spacing w:val="-2"/>
          <w:sz w:val="24"/>
          <w:szCs w:val="24"/>
        </w:rPr>
        <w:t>a</w:t>
      </w:r>
      <w:r w:rsidRPr="001263B7">
        <w:rPr>
          <w:sz w:val="24"/>
          <w:szCs w:val="24"/>
        </w:rPr>
        <w:t>glige</w:t>
      </w:r>
      <w:r w:rsidRPr="001263B7">
        <w:rPr>
          <w:spacing w:val="-3"/>
          <w:sz w:val="24"/>
          <w:szCs w:val="24"/>
        </w:rPr>
        <w:t>n</w:t>
      </w:r>
      <w:r w:rsidRPr="001263B7">
        <w:rPr>
          <w:sz w:val="24"/>
          <w:szCs w:val="24"/>
        </w:rPr>
        <w:t>.</w:t>
      </w:r>
      <w:r w:rsidRPr="001263B7">
        <w:rPr>
          <w:spacing w:val="-12"/>
          <w:sz w:val="24"/>
          <w:szCs w:val="24"/>
        </w:rPr>
        <w:t xml:space="preserve"> </w:t>
      </w:r>
      <w:r w:rsidRPr="001263B7">
        <w:rPr>
          <w:spacing w:val="2"/>
          <w:sz w:val="24"/>
          <w:szCs w:val="24"/>
        </w:rPr>
        <w:t>L</w:t>
      </w:r>
      <w:r w:rsidRPr="001263B7">
        <w:rPr>
          <w:spacing w:val="-2"/>
          <w:sz w:val="24"/>
          <w:szCs w:val="24"/>
        </w:rPr>
        <w:t>ä</w:t>
      </w:r>
      <w:r w:rsidRPr="001263B7">
        <w:rPr>
          <w:sz w:val="24"/>
          <w:szCs w:val="24"/>
        </w:rPr>
        <w:t>g</w:t>
      </w:r>
      <w:r w:rsidRPr="001263B7">
        <w:rPr>
          <w:spacing w:val="-6"/>
          <w:sz w:val="24"/>
          <w:szCs w:val="24"/>
        </w:rPr>
        <w:t>r</w:t>
      </w:r>
      <w:r w:rsidRPr="001263B7">
        <w:rPr>
          <w:sz w:val="24"/>
          <w:szCs w:val="24"/>
        </w:rPr>
        <w:t>e</w:t>
      </w:r>
      <w:r w:rsidRPr="001263B7">
        <w:rPr>
          <w:spacing w:val="-6"/>
          <w:sz w:val="24"/>
          <w:szCs w:val="24"/>
        </w:rPr>
        <w:t xml:space="preserve"> </w:t>
      </w:r>
      <w:r w:rsidRPr="001263B7">
        <w:rPr>
          <w:sz w:val="24"/>
          <w:szCs w:val="24"/>
        </w:rPr>
        <w:t>dos</w:t>
      </w:r>
      <w:r w:rsidRPr="001263B7">
        <w:rPr>
          <w:spacing w:val="-16"/>
          <w:sz w:val="24"/>
          <w:szCs w:val="24"/>
        </w:rPr>
        <w:t xml:space="preserve"> </w:t>
      </w:r>
      <w:r w:rsidRPr="001263B7">
        <w:rPr>
          <w:sz w:val="24"/>
          <w:szCs w:val="24"/>
        </w:rPr>
        <w:t>har</w:t>
      </w:r>
      <w:r w:rsidRPr="001263B7">
        <w:rPr>
          <w:spacing w:val="-13"/>
          <w:sz w:val="24"/>
          <w:szCs w:val="24"/>
        </w:rPr>
        <w:t xml:space="preserve"> </w:t>
      </w:r>
      <w:r w:rsidRPr="001263B7">
        <w:rPr>
          <w:spacing w:val="2"/>
          <w:sz w:val="24"/>
          <w:szCs w:val="24"/>
        </w:rPr>
        <w:t>i</w:t>
      </w:r>
      <w:r w:rsidRPr="001263B7">
        <w:rPr>
          <w:sz w:val="24"/>
          <w:szCs w:val="24"/>
        </w:rPr>
        <w:t>ng</w:t>
      </w:r>
      <w:r w:rsidRPr="001263B7">
        <w:rPr>
          <w:spacing w:val="1"/>
          <w:sz w:val="24"/>
          <w:szCs w:val="24"/>
        </w:rPr>
        <w:t>e</w:t>
      </w:r>
      <w:r w:rsidRPr="001263B7">
        <w:rPr>
          <w:sz w:val="24"/>
          <w:szCs w:val="24"/>
        </w:rPr>
        <w:t>n</w:t>
      </w:r>
      <w:r w:rsidRPr="001263B7">
        <w:rPr>
          <w:spacing w:val="-9"/>
          <w:sz w:val="24"/>
          <w:szCs w:val="24"/>
        </w:rPr>
        <w:t xml:space="preserve"> </w:t>
      </w:r>
      <w:r w:rsidRPr="001263B7">
        <w:rPr>
          <w:spacing w:val="-10"/>
          <w:sz w:val="24"/>
          <w:szCs w:val="24"/>
        </w:rPr>
        <w:t>s</w:t>
      </w:r>
      <w:r w:rsidRPr="001263B7">
        <w:rPr>
          <w:sz w:val="24"/>
          <w:szCs w:val="24"/>
        </w:rPr>
        <w:t>äker p</w:t>
      </w:r>
      <w:r w:rsidRPr="001263B7">
        <w:rPr>
          <w:spacing w:val="-1"/>
          <w:sz w:val="24"/>
          <w:szCs w:val="24"/>
        </w:rPr>
        <w:t>r</w:t>
      </w:r>
      <w:r w:rsidRPr="001263B7">
        <w:rPr>
          <w:sz w:val="24"/>
          <w:szCs w:val="24"/>
        </w:rPr>
        <w:t>o</w:t>
      </w:r>
      <w:r w:rsidRPr="001263B7">
        <w:rPr>
          <w:spacing w:val="-1"/>
          <w:sz w:val="24"/>
          <w:szCs w:val="24"/>
        </w:rPr>
        <w:t>f</w:t>
      </w:r>
      <w:r w:rsidRPr="001263B7">
        <w:rPr>
          <w:spacing w:val="-2"/>
          <w:sz w:val="24"/>
          <w:szCs w:val="24"/>
        </w:rPr>
        <w:t>y</w:t>
      </w:r>
      <w:r w:rsidRPr="001263B7">
        <w:rPr>
          <w:spacing w:val="-3"/>
          <w:sz w:val="24"/>
          <w:szCs w:val="24"/>
        </w:rPr>
        <w:t>l</w:t>
      </w:r>
      <w:r w:rsidRPr="001263B7">
        <w:rPr>
          <w:sz w:val="24"/>
          <w:szCs w:val="24"/>
        </w:rPr>
        <w:t>a</w:t>
      </w:r>
      <w:r w:rsidRPr="001263B7">
        <w:rPr>
          <w:spacing w:val="-6"/>
          <w:sz w:val="24"/>
          <w:szCs w:val="24"/>
        </w:rPr>
        <w:t>k</w:t>
      </w:r>
      <w:r w:rsidRPr="001263B7">
        <w:rPr>
          <w:spacing w:val="-1"/>
          <w:sz w:val="24"/>
          <w:szCs w:val="24"/>
        </w:rPr>
        <w:t>t</w:t>
      </w:r>
      <w:r w:rsidRPr="001263B7">
        <w:rPr>
          <w:sz w:val="24"/>
          <w:szCs w:val="24"/>
        </w:rPr>
        <w:t>i</w:t>
      </w:r>
      <w:r w:rsidRPr="001263B7">
        <w:rPr>
          <w:spacing w:val="-7"/>
          <w:sz w:val="24"/>
          <w:szCs w:val="24"/>
        </w:rPr>
        <w:t>s</w:t>
      </w:r>
      <w:r w:rsidRPr="001263B7">
        <w:rPr>
          <w:sz w:val="24"/>
          <w:szCs w:val="24"/>
        </w:rPr>
        <w:t>k</w:t>
      </w:r>
      <w:r w:rsidRPr="001263B7">
        <w:rPr>
          <w:spacing w:val="-15"/>
          <w:sz w:val="24"/>
          <w:szCs w:val="24"/>
        </w:rPr>
        <w:t xml:space="preserve"> </w:t>
      </w:r>
      <w:r w:rsidRPr="001263B7">
        <w:rPr>
          <w:sz w:val="24"/>
          <w:szCs w:val="24"/>
        </w:rPr>
        <w:t>e</w:t>
      </w:r>
      <w:r w:rsidRPr="001263B7">
        <w:rPr>
          <w:spacing w:val="-1"/>
          <w:sz w:val="24"/>
          <w:szCs w:val="24"/>
        </w:rPr>
        <w:t>f</w:t>
      </w:r>
      <w:r w:rsidRPr="001263B7">
        <w:rPr>
          <w:spacing w:val="-7"/>
          <w:sz w:val="24"/>
          <w:szCs w:val="24"/>
        </w:rPr>
        <w:t>f</w:t>
      </w:r>
      <w:r w:rsidRPr="001263B7">
        <w:rPr>
          <w:spacing w:val="-2"/>
          <w:sz w:val="24"/>
          <w:szCs w:val="24"/>
        </w:rPr>
        <w:t>e</w:t>
      </w:r>
      <w:r w:rsidRPr="001263B7">
        <w:rPr>
          <w:sz w:val="24"/>
          <w:szCs w:val="24"/>
        </w:rPr>
        <w:t>kt</w:t>
      </w:r>
      <w:r w:rsidRPr="001263B7">
        <w:rPr>
          <w:spacing w:val="-15"/>
          <w:sz w:val="24"/>
          <w:szCs w:val="24"/>
        </w:rPr>
        <w:t>.</w:t>
      </w:r>
    </w:p>
    <w:p w14:paraId="37F1ADA3" w14:textId="77777777" w:rsidR="00702564" w:rsidRPr="001263B7" w:rsidRDefault="00702564" w:rsidP="00702564">
      <w:pPr>
        <w:autoSpaceDE w:val="0"/>
        <w:autoSpaceDN w:val="0"/>
        <w:adjustRightInd w:val="0"/>
        <w:rPr>
          <w:rFonts w:cs="GaramondBerthBQ-Regular"/>
          <w:szCs w:val="24"/>
        </w:rPr>
      </w:pPr>
      <w:r w:rsidRPr="001263B7">
        <w:rPr>
          <w:rFonts w:cs="GaramondBerthBQ-Regular"/>
          <w:sz w:val="24"/>
          <w:szCs w:val="24"/>
        </w:rPr>
        <w:t>Icke farmakologiska åtgärder inkluderar livsstilsförändringar samt ändrade kostvanor.</w:t>
      </w:r>
    </w:p>
    <w:p w14:paraId="4D9F2A2C" w14:textId="77777777" w:rsidR="00702564" w:rsidRPr="00E0523D" w:rsidRDefault="00702564" w:rsidP="00702564">
      <w:pPr>
        <w:pStyle w:val="Rubrik2"/>
      </w:pPr>
      <w:r w:rsidRPr="00E0523D">
        <w:t>Magsår</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1263B7" w14:paraId="30EB8241" w14:textId="77777777" w:rsidTr="00632FCC">
        <w:trPr>
          <w:trHeight w:val="504"/>
        </w:trPr>
        <w:tc>
          <w:tcPr>
            <w:tcW w:w="4531" w:type="dxa"/>
          </w:tcPr>
          <w:p w14:paraId="6E21A7AF" w14:textId="77777777" w:rsidR="00702564" w:rsidRPr="001263B7" w:rsidRDefault="00702564" w:rsidP="00632FCC">
            <w:pPr>
              <w:rPr>
                <w:sz w:val="24"/>
                <w:szCs w:val="28"/>
              </w:rPr>
            </w:pPr>
            <w:r w:rsidRPr="001263B7">
              <w:rPr>
                <w:rFonts w:cs="Arial"/>
                <w:b/>
                <w:bCs/>
                <w:iCs/>
                <w:sz w:val="24"/>
                <w:szCs w:val="28"/>
              </w:rPr>
              <w:t>omeprazol</w:t>
            </w:r>
          </w:p>
        </w:tc>
        <w:tc>
          <w:tcPr>
            <w:tcW w:w="4531" w:type="dxa"/>
          </w:tcPr>
          <w:p w14:paraId="1C2ACC47" w14:textId="77777777" w:rsidR="00702564" w:rsidRPr="001263B7" w:rsidRDefault="00702564" w:rsidP="00632FCC">
            <w:pPr>
              <w:rPr>
                <w:sz w:val="24"/>
                <w:szCs w:val="28"/>
              </w:rPr>
            </w:pPr>
            <w:r w:rsidRPr="001263B7">
              <w:rPr>
                <w:rFonts w:cs="Arial"/>
                <w:bCs/>
                <w:sz w:val="24"/>
                <w:szCs w:val="28"/>
              </w:rPr>
              <w:t>Omeprazol</w:t>
            </w:r>
          </w:p>
        </w:tc>
      </w:tr>
    </w:tbl>
    <w:p w14:paraId="55F0D5DF" w14:textId="77777777" w:rsidR="00702564" w:rsidRDefault="00702564" w:rsidP="00702564">
      <w:pPr>
        <w:rPr>
          <w:rFonts w:cs="Myriad Pro"/>
          <w:color w:val="000000"/>
          <w:szCs w:val="24"/>
        </w:rPr>
      </w:pPr>
    </w:p>
    <w:p w14:paraId="1349B92F" w14:textId="77777777" w:rsidR="00702564" w:rsidRPr="001263B7" w:rsidRDefault="00702564" w:rsidP="00702564">
      <w:pPr>
        <w:rPr>
          <w:rFonts w:cs="Myriad Pro"/>
          <w:color w:val="000000"/>
          <w:sz w:val="24"/>
          <w:szCs w:val="24"/>
        </w:rPr>
      </w:pPr>
      <w:r w:rsidRPr="001263B7">
        <w:rPr>
          <w:rFonts w:cs="Myriad Pro"/>
          <w:color w:val="000000"/>
          <w:sz w:val="24"/>
          <w:szCs w:val="24"/>
        </w:rPr>
        <w:t>Avser H. pylori-negativa ulcus.</w:t>
      </w:r>
    </w:p>
    <w:p w14:paraId="0E520C81" w14:textId="77777777" w:rsidR="00702564" w:rsidRDefault="00702564" w:rsidP="00702564">
      <w:pPr>
        <w:rPr>
          <w:rFonts w:cs="Arial"/>
          <w:sz w:val="24"/>
          <w:szCs w:val="24"/>
        </w:rPr>
      </w:pPr>
      <w:r w:rsidRPr="001263B7">
        <w:rPr>
          <w:rFonts w:cs="Arial"/>
          <w:sz w:val="24"/>
          <w:szCs w:val="24"/>
        </w:rPr>
        <w:t>Om möjligt, sätt ut NSAID/ASA-behandling.</w:t>
      </w:r>
    </w:p>
    <w:p w14:paraId="7CB66ED3" w14:textId="77777777" w:rsidR="00702564" w:rsidRPr="001958A5" w:rsidRDefault="00702564" w:rsidP="00702564">
      <w:pPr>
        <w:pStyle w:val="Rubrik2"/>
      </w:pPr>
      <w:r w:rsidRPr="001958A5">
        <w:t>Helicobakterinfektion</w:t>
      </w:r>
    </w:p>
    <w:p w14:paraId="7DC69D2B" w14:textId="77777777" w:rsidR="00702564" w:rsidRPr="001263B7" w:rsidRDefault="00702564" w:rsidP="00702564">
      <w:pPr>
        <w:pStyle w:val="Liststycke"/>
        <w:numPr>
          <w:ilvl w:val="0"/>
          <w:numId w:val="49"/>
        </w:numPr>
        <w:contextualSpacing/>
        <w:rPr>
          <w:rFonts w:cs="Arial"/>
          <w:b/>
          <w:bCs/>
          <w:sz w:val="24"/>
          <w:szCs w:val="24"/>
        </w:rPr>
      </w:pPr>
      <w:r w:rsidRPr="001263B7">
        <w:rPr>
          <w:rFonts w:eastAsia="Garamond" w:cs="Garamond"/>
          <w:bCs/>
          <w:spacing w:val="-1"/>
          <w:sz w:val="24"/>
          <w:szCs w:val="24"/>
        </w:rPr>
        <w:t>Akut eller kronisk duodenalt ulcus (orsakas i praktiken alltid av Helicobacter pylori)</w:t>
      </w:r>
    </w:p>
    <w:p w14:paraId="47887906" w14:textId="77777777" w:rsidR="00702564" w:rsidRPr="001263B7" w:rsidRDefault="00702564" w:rsidP="00702564">
      <w:pPr>
        <w:pStyle w:val="Liststycke"/>
        <w:numPr>
          <w:ilvl w:val="0"/>
          <w:numId w:val="49"/>
        </w:numPr>
        <w:contextualSpacing/>
        <w:rPr>
          <w:rFonts w:eastAsia="Garamond" w:cs="Garamond"/>
          <w:b/>
          <w:bCs/>
          <w:spacing w:val="-1"/>
          <w:sz w:val="24"/>
          <w:szCs w:val="24"/>
        </w:rPr>
      </w:pPr>
      <w:r w:rsidRPr="001263B7">
        <w:rPr>
          <w:rFonts w:eastAsia="Garamond" w:cs="Garamond"/>
          <w:bCs/>
          <w:spacing w:val="-1"/>
          <w:sz w:val="24"/>
          <w:szCs w:val="24"/>
        </w:rPr>
        <w:t>H</w:t>
      </w:r>
      <w:r>
        <w:rPr>
          <w:rFonts w:eastAsia="Garamond" w:cs="Garamond"/>
          <w:bCs/>
          <w:spacing w:val="-1"/>
          <w:sz w:val="24"/>
          <w:szCs w:val="24"/>
        </w:rPr>
        <w:t>elicobacter</w:t>
      </w:r>
      <w:r w:rsidRPr="001263B7">
        <w:rPr>
          <w:rFonts w:eastAsia="Garamond" w:cs="Garamond"/>
          <w:bCs/>
          <w:spacing w:val="-1"/>
          <w:sz w:val="24"/>
          <w:szCs w:val="24"/>
        </w:rPr>
        <w:t xml:space="preserve"> pylori-positivt ventrikelulcus</w:t>
      </w:r>
    </w:p>
    <w:p w14:paraId="5997C580" w14:textId="77777777" w:rsidR="00702564" w:rsidRPr="004D5D27" w:rsidRDefault="00702564" w:rsidP="00702564">
      <w:pPr>
        <w:pStyle w:val="Rubrik3"/>
      </w:pPr>
      <w:r w:rsidRPr="004D5D27">
        <w:t>Eradikeringsterapi:</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4D5D27" w14:paraId="6043994E" w14:textId="77777777" w:rsidTr="00632FCC">
        <w:tc>
          <w:tcPr>
            <w:tcW w:w="4531" w:type="dxa"/>
          </w:tcPr>
          <w:p w14:paraId="2E80B60A" w14:textId="77777777" w:rsidR="00702564" w:rsidRPr="004D5D27" w:rsidRDefault="00702564" w:rsidP="00632FCC">
            <w:pPr>
              <w:rPr>
                <w:rFonts w:eastAsia="Garamond" w:cs="Garamond"/>
                <w:bCs/>
                <w:spacing w:val="-1"/>
                <w:sz w:val="24"/>
                <w:szCs w:val="24"/>
              </w:rPr>
            </w:pPr>
            <w:r>
              <w:rPr>
                <w:sz w:val="24"/>
                <w:szCs w:val="24"/>
              </w:rPr>
              <w:t>O</w:t>
            </w:r>
            <w:r w:rsidRPr="004D5D27">
              <w:rPr>
                <w:sz w:val="24"/>
                <w:szCs w:val="24"/>
              </w:rPr>
              <w:t>meprazol enterotablett 20 mg</w:t>
            </w:r>
          </w:p>
        </w:tc>
        <w:tc>
          <w:tcPr>
            <w:tcW w:w="4531" w:type="dxa"/>
          </w:tcPr>
          <w:p w14:paraId="1AD45EC0" w14:textId="77777777" w:rsidR="00702564" w:rsidRPr="004D5D27" w:rsidRDefault="00702564" w:rsidP="00632FCC">
            <w:pPr>
              <w:rPr>
                <w:rFonts w:eastAsia="Garamond" w:cs="Garamond"/>
                <w:bCs/>
                <w:spacing w:val="-1"/>
                <w:sz w:val="24"/>
                <w:szCs w:val="24"/>
              </w:rPr>
            </w:pPr>
            <w:r w:rsidRPr="004D5D27">
              <w:rPr>
                <w:sz w:val="24"/>
                <w:szCs w:val="24"/>
              </w:rPr>
              <w:t>1 tablett 2 gånger dagligen i 7 dagar</w:t>
            </w:r>
          </w:p>
        </w:tc>
      </w:tr>
      <w:tr w:rsidR="00702564" w:rsidRPr="004D5D27" w14:paraId="7C25E7B6" w14:textId="77777777" w:rsidTr="00632FCC">
        <w:tc>
          <w:tcPr>
            <w:tcW w:w="4531" w:type="dxa"/>
          </w:tcPr>
          <w:p w14:paraId="1C5D2FF6" w14:textId="77777777" w:rsidR="00702564" w:rsidRPr="004D5D27" w:rsidRDefault="00702564" w:rsidP="00632FCC">
            <w:pPr>
              <w:rPr>
                <w:rFonts w:eastAsia="Garamond" w:cs="Garamond"/>
                <w:bCs/>
                <w:spacing w:val="-1"/>
                <w:sz w:val="24"/>
                <w:szCs w:val="24"/>
              </w:rPr>
            </w:pPr>
            <w:r w:rsidRPr="004D5D27">
              <w:rPr>
                <w:sz w:val="24"/>
                <w:szCs w:val="24"/>
              </w:rPr>
              <w:t>Amoxicillin tablett 500 mg</w:t>
            </w:r>
          </w:p>
        </w:tc>
        <w:tc>
          <w:tcPr>
            <w:tcW w:w="4531" w:type="dxa"/>
          </w:tcPr>
          <w:p w14:paraId="3E05B60D" w14:textId="77777777" w:rsidR="00702564" w:rsidRPr="004D5D27" w:rsidRDefault="00702564" w:rsidP="00632FCC">
            <w:pPr>
              <w:rPr>
                <w:rFonts w:eastAsia="Garamond" w:cs="Garamond"/>
                <w:bCs/>
                <w:spacing w:val="-1"/>
                <w:sz w:val="24"/>
                <w:szCs w:val="24"/>
              </w:rPr>
            </w:pPr>
            <w:r>
              <w:rPr>
                <w:sz w:val="24"/>
                <w:szCs w:val="24"/>
              </w:rPr>
              <w:t>2</w:t>
            </w:r>
            <w:r w:rsidRPr="004D5D27">
              <w:rPr>
                <w:sz w:val="24"/>
                <w:szCs w:val="24"/>
              </w:rPr>
              <w:t xml:space="preserve"> tablett</w:t>
            </w:r>
            <w:r>
              <w:rPr>
                <w:sz w:val="24"/>
                <w:szCs w:val="24"/>
              </w:rPr>
              <w:t>er</w:t>
            </w:r>
            <w:r w:rsidRPr="004D5D27">
              <w:rPr>
                <w:sz w:val="24"/>
                <w:szCs w:val="24"/>
              </w:rPr>
              <w:t xml:space="preserve"> 2 gånger dagligen i 7 dagar</w:t>
            </w:r>
          </w:p>
        </w:tc>
      </w:tr>
      <w:tr w:rsidR="00702564" w:rsidRPr="004D5D27" w14:paraId="798768B4" w14:textId="77777777" w:rsidTr="00632FCC">
        <w:tc>
          <w:tcPr>
            <w:tcW w:w="4531" w:type="dxa"/>
          </w:tcPr>
          <w:p w14:paraId="55372CE6" w14:textId="77777777" w:rsidR="00702564" w:rsidRPr="004D5D27" w:rsidRDefault="00702564" w:rsidP="00632FCC">
            <w:pPr>
              <w:rPr>
                <w:rFonts w:eastAsia="Garamond" w:cs="Garamond"/>
                <w:bCs/>
                <w:spacing w:val="-1"/>
                <w:sz w:val="24"/>
                <w:szCs w:val="24"/>
              </w:rPr>
            </w:pPr>
            <w:r w:rsidRPr="004D5D27">
              <w:rPr>
                <w:sz w:val="24"/>
                <w:szCs w:val="24"/>
              </w:rPr>
              <w:t>Klaritromycin tabletter 500 mg</w:t>
            </w:r>
          </w:p>
        </w:tc>
        <w:tc>
          <w:tcPr>
            <w:tcW w:w="4531" w:type="dxa"/>
          </w:tcPr>
          <w:p w14:paraId="40C25017" w14:textId="77777777" w:rsidR="00702564" w:rsidRPr="004D5D27" w:rsidRDefault="00702564" w:rsidP="00632FCC">
            <w:pPr>
              <w:rPr>
                <w:rFonts w:eastAsia="Garamond" w:cs="Garamond"/>
                <w:bCs/>
                <w:spacing w:val="-1"/>
                <w:sz w:val="24"/>
                <w:szCs w:val="24"/>
              </w:rPr>
            </w:pPr>
            <w:r w:rsidRPr="004D5D27">
              <w:rPr>
                <w:sz w:val="24"/>
                <w:szCs w:val="24"/>
              </w:rPr>
              <w:t>1 tablett 2 gånger dagligen i 7 dagar</w:t>
            </w:r>
          </w:p>
        </w:tc>
      </w:tr>
    </w:tbl>
    <w:p w14:paraId="5AC8C63D" w14:textId="77777777" w:rsidR="00702564" w:rsidRPr="004D5D27" w:rsidRDefault="00702564" w:rsidP="00702564">
      <w:pPr>
        <w:rPr>
          <w:sz w:val="24"/>
          <w:szCs w:val="24"/>
        </w:rPr>
      </w:pPr>
      <w:r w:rsidRPr="004D5D27">
        <w:rPr>
          <w:i/>
          <w:iCs/>
          <w:sz w:val="24"/>
          <w:szCs w:val="24"/>
        </w:rPr>
        <w:t>Ovanstående kombination av läkemedel finns som favoriten ”Nexium HP-paket” i journalsystemet.</w:t>
      </w:r>
    </w:p>
    <w:p w14:paraId="6369EDF2" w14:textId="77777777" w:rsidR="00702564" w:rsidRPr="004D5D27" w:rsidRDefault="00702564" w:rsidP="00702564">
      <w:pPr>
        <w:pStyle w:val="Rubrik3"/>
      </w:pPr>
      <w:r w:rsidRPr="004D5D27">
        <w:t>V</w:t>
      </w:r>
      <w:r w:rsidRPr="004D5D27">
        <w:rPr>
          <w:spacing w:val="-1"/>
        </w:rPr>
        <w:t>i</w:t>
      </w:r>
      <w:r w:rsidRPr="004D5D27">
        <w:t>d</w:t>
      </w:r>
      <w:r w:rsidRPr="004D5D27">
        <w:rPr>
          <w:spacing w:val="-18"/>
        </w:rPr>
        <w:t xml:space="preserve"> </w:t>
      </w:r>
      <w:r w:rsidRPr="004D5D27">
        <w:rPr>
          <w:spacing w:val="-1"/>
        </w:rPr>
        <w:t>p</w:t>
      </w:r>
      <w:r w:rsidRPr="004D5D27">
        <w:t>e</w:t>
      </w:r>
      <w:r w:rsidRPr="004D5D27">
        <w:rPr>
          <w:spacing w:val="-1"/>
        </w:rPr>
        <w:t>n</w:t>
      </w:r>
      <w:r w:rsidRPr="004D5D27">
        <w:t>ici</w:t>
      </w:r>
      <w:r w:rsidRPr="004D5D27">
        <w:rPr>
          <w:spacing w:val="-1"/>
        </w:rPr>
        <w:t>l</w:t>
      </w:r>
      <w:r w:rsidRPr="004D5D27">
        <w:t>l</w:t>
      </w:r>
      <w:r w:rsidRPr="004D5D27">
        <w:rPr>
          <w:spacing w:val="-1"/>
        </w:rPr>
        <w:t>i</w:t>
      </w:r>
      <w:r w:rsidRPr="004D5D27">
        <w:t>nalle</w:t>
      </w:r>
      <w:r w:rsidRPr="004D5D27">
        <w:rPr>
          <w:spacing w:val="-1"/>
        </w:rPr>
        <w:t>r</w:t>
      </w:r>
      <w:r w:rsidRPr="004D5D27">
        <w:t>gi:</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4D5D27" w14:paraId="615EFCF2" w14:textId="77777777" w:rsidTr="00632FCC">
        <w:tc>
          <w:tcPr>
            <w:tcW w:w="4531" w:type="dxa"/>
          </w:tcPr>
          <w:p w14:paraId="71DA4A4F" w14:textId="77777777" w:rsidR="00702564" w:rsidRPr="004D5D27" w:rsidRDefault="00702564" w:rsidP="00632FCC">
            <w:pPr>
              <w:rPr>
                <w:rFonts w:eastAsia="Garamond" w:cs="Garamond"/>
                <w:sz w:val="24"/>
                <w:szCs w:val="24"/>
              </w:rPr>
            </w:pPr>
            <w:r>
              <w:rPr>
                <w:sz w:val="24"/>
                <w:szCs w:val="24"/>
              </w:rPr>
              <w:t>O</w:t>
            </w:r>
            <w:r w:rsidRPr="004D5D27">
              <w:rPr>
                <w:sz w:val="24"/>
                <w:szCs w:val="24"/>
              </w:rPr>
              <w:t>meprazol enterotablett 20 mg</w:t>
            </w:r>
          </w:p>
        </w:tc>
        <w:tc>
          <w:tcPr>
            <w:tcW w:w="4531" w:type="dxa"/>
          </w:tcPr>
          <w:p w14:paraId="5E619A08" w14:textId="77777777" w:rsidR="00702564" w:rsidRPr="004D5D27" w:rsidRDefault="00702564" w:rsidP="00632FCC">
            <w:pPr>
              <w:rPr>
                <w:rFonts w:eastAsia="Garamond" w:cs="Garamond"/>
                <w:sz w:val="24"/>
                <w:szCs w:val="24"/>
              </w:rPr>
            </w:pPr>
            <w:r w:rsidRPr="004D5D27">
              <w:rPr>
                <w:sz w:val="24"/>
                <w:szCs w:val="24"/>
              </w:rPr>
              <w:t>1 tablett 2 gånger dagligen i 7 dagar</w:t>
            </w:r>
          </w:p>
        </w:tc>
      </w:tr>
      <w:tr w:rsidR="00702564" w:rsidRPr="004D5D27" w14:paraId="1052E878" w14:textId="77777777" w:rsidTr="00632FCC">
        <w:tc>
          <w:tcPr>
            <w:tcW w:w="4531" w:type="dxa"/>
          </w:tcPr>
          <w:p w14:paraId="141ABA2A" w14:textId="77777777" w:rsidR="00702564" w:rsidRPr="004D5D27" w:rsidRDefault="00702564" w:rsidP="00632FCC">
            <w:pPr>
              <w:rPr>
                <w:rFonts w:eastAsia="Garamond" w:cs="Garamond"/>
                <w:sz w:val="24"/>
                <w:szCs w:val="24"/>
              </w:rPr>
            </w:pPr>
            <w:r w:rsidRPr="004D5D27">
              <w:rPr>
                <w:rFonts w:cs="Garamond"/>
                <w:bCs/>
                <w:sz w:val="24"/>
                <w:szCs w:val="24"/>
              </w:rPr>
              <w:t>Me</w:t>
            </w:r>
            <w:r w:rsidRPr="004D5D27">
              <w:rPr>
                <w:rFonts w:cs="Garamond"/>
                <w:bCs/>
                <w:spacing w:val="-1"/>
                <w:sz w:val="24"/>
                <w:szCs w:val="24"/>
              </w:rPr>
              <w:t>t</w:t>
            </w:r>
            <w:r w:rsidRPr="004D5D27">
              <w:rPr>
                <w:rFonts w:cs="Garamond"/>
                <w:bCs/>
                <w:spacing w:val="-5"/>
                <w:sz w:val="24"/>
                <w:szCs w:val="24"/>
              </w:rPr>
              <w:t>r</w:t>
            </w:r>
            <w:r w:rsidRPr="004D5D27">
              <w:rPr>
                <w:rFonts w:cs="Garamond"/>
                <w:bCs/>
                <w:spacing w:val="-1"/>
                <w:sz w:val="24"/>
                <w:szCs w:val="24"/>
              </w:rPr>
              <w:t>on</w:t>
            </w:r>
            <w:r w:rsidRPr="004D5D27">
              <w:rPr>
                <w:rFonts w:cs="Garamond"/>
                <w:bCs/>
                <w:spacing w:val="-3"/>
                <w:sz w:val="24"/>
                <w:szCs w:val="24"/>
              </w:rPr>
              <w:t>id</w:t>
            </w:r>
            <w:r w:rsidRPr="004D5D27">
              <w:rPr>
                <w:rFonts w:cs="Garamond"/>
                <w:bCs/>
                <w:sz w:val="24"/>
                <w:szCs w:val="24"/>
              </w:rPr>
              <w:t>az</w:t>
            </w:r>
            <w:r w:rsidRPr="004D5D27">
              <w:rPr>
                <w:rFonts w:cs="Garamond"/>
                <w:bCs/>
                <w:spacing w:val="-1"/>
                <w:sz w:val="24"/>
                <w:szCs w:val="24"/>
              </w:rPr>
              <w:t>o</w:t>
            </w:r>
            <w:r w:rsidRPr="004D5D27">
              <w:rPr>
                <w:rFonts w:cs="Garamond"/>
                <w:bCs/>
                <w:sz w:val="24"/>
                <w:szCs w:val="24"/>
              </w:rPr>
              <w:t>l</w:t>
            </w:r>
            <w:r w:rsidRPr="004D5D27">
              <w:rPr>
                <w:rFonts w:cs="Garamond"/>
                <w:b/>
                <w:bCs/>
                <w:spacing w:val="33"/>
                <w:sz w:val="24"/>
                <w:szCs w:val="24"/>
              </w:rPr>
              <w:t xml:space="preserve"> </w:t>
            </w:r>
            <w:r w:rsidRPr="004D5D27">
              <w:rPr>
                <w:spacing w:val="-3"/>
                <w:sz w:val="24"/>
                <w:szCs w:val="24"/>
              </w:rPr>
              <w:t>t</w:t>
            </w:r>
            <w:r w:rsidRPr="004D5D27">
              <w:rPr>
                <w:spacing w:val="-2"/>
                <w:sz w:val="24"/>
                <w:szCs w:val="24"/>
              </w:rPr>
              <w:t>a</w:t>
            </w:r>
            <w:r w:rsidRPr="004D5D27">
              <w:rPr>
                <w:spacing w:val="-1"/>
                <w:sz w:val="24"/>
                <w:szCs w:val="24"/>
              </w:rPr>
              <w:t>b</w:t>
            </w:r>
            <w:r w:rsidRPr="004D5D27">
              <w:rPr>
                <w:spacing w:val="-5"/>
                <w:sz w:val="24"/>
                <w:szCs w:val="24"/>
              </w:rPr>
              <w:t>l</w:t>
            </w:r>
            <w:r w:rsidRPr="004D5D27">
              <w:rPr>
                <w:sz w:val="24"/>
                <w:szCs w:val="24"/>
              </w:rPr>
              <w:t>et</w:t>
            </w:r>
            <w:r w:rsidRPr="004D5D27">
              <w:rPr>
                <w:spacing w:val="-2"/>
                <w:sz w:val="24"/>
                <w:szCs w:val="24"/>
              </w:rPr>
              <w:t>t</w:t>
            </w:r>
            <w:r w:rsidRPr="004D5D27">
              <w:rPr>
                <w:sz w:val="24"/>
                <w:szCs w:val="24"/>
              </w:rPr>
              <w:t>er</w:t>
            </w:r>
            <w:r w:rsidRPr="004D5D27">
              <w:rPr>
                <w:spacing w:val="-16"/>
                <w:sz w:val="24"/>
                <w:szCs w:val="24"/>
              </w:rPr>
              <w:t xml:space="preserve"> </w:t>
            </w:r>
            <w:r>
              <w:rPr>
                <w:spacing w:val="-16"/>
                <w:sz w:val="24"/>
                <w:szCs w:val="24"/>
              </w:rPr>
              <w:t>400</w:t>
            </w:r>
            <w:r w:rsidRPr="004D5D27">
              <w:rPr>
                <w:spacing w:val="-12"/>
                <w:sz w:val="24"/>
                <w:szCs w:val="24"/>
              </w:rPr>
              <w:t xml:space="preserve"> </w:t>
            </w:r>
            <w:r w:rsidRPr="004D5D27">
              <w:rPr>
                <w:spacing w:val="-1"/>
                <w:sz w:val="24"/>
                <w:szCs w:val="24"/>
              </w:rPr>
              <w:t>m</w:t>
            </w:r>
            <w:r w:rsidRPr="004D5D27">
              <w:rPr>
                <w:sz w:val="24"/>
                <w:szCs w:val="24"/>
              </w:rPr>
              <w:t>g</w:t>
            </w:r>
          </w:p>
        </w:tc>
        <w:tc>
          <w:tcPr>
            <w:tcW w:w="4531" w:type="dxa"/>
          </w:tcPr>
          <w:p w14:paraId="6064A676" w14:textId="77777777" w:rsidR="00702564" w:rsidRPr="004D5D27" w:rsidRDefault="00702564" w:rsidP="00632FCC">
            <w:pPr>
              <w:rPr>
                <w:rFonts w:eastAsia="Garamond" w:cs="Garamond"/>
                <w:sz w:val="24"/>
                <w:szCs w:val="24"/>
              </w:rPr>
            </w:pPr>
            <w:r w:rsidRPr="004D5D27">
              <w:rPr>
                <w:sz w:val="24"/>
                <w:szCs w:val="24"/>
              </w:rPr>
              <w:t>1</w:t>
            </w:r>
            <w:r w:rsidRPr="004D5D27">
              <w:rPr>
                <w:spacing w:val="-13"/>
                <w:sz w:val="24"/>
                <w:szCs w:val="24"/>
              </w:rPr>
              <w:t xml:space="preserve"> </w:t>
            </w:r>
            <w:r w:rsidRPr="004D5D27">
              <w:rPr>
                <w:spacing w:val="-3"/>
                <w:sz w:val="24"/>
                <w:szCs w:val="24"/>
              </w:rPr>
              <w:t>t</w:t>
            </w:r>
            <w:r w:rsidRPr="004D5D27">
              <w:rPr>
                <w:spacing w:val="-2"/>
                <w:sz w:val="24"/>
                <w:szCs w:val="24"/>
              </w:rPr>
              <w:t>a</w:t>
            </w:r>
            <w:r w:rsidRPr="004D5D27">
              <w:rPr>
                <w:spacing w:val="-1"/>
                <w:sz w:val="24"/>
                <w:szCs w:val="24"/>
              </w:rPr>
              <w:t>b</w:t>
            </w:r>
            <w:r w:rsidRPr="004D5D27">
              <w:rPr>
                <w:spacing w:val="-5"/>
                <w:sz w:val="24"/>
                <w:szCs w:val="24"/>
              </w:rPr>
              <w:t>l</w:t>
            </w:r>
            <w:r w:rsidRPr="004D5D27">
              <w:rPr>
                <w:sz w:val="24"/>
                <w:szCs w:val="24"/>
              </w:rPr>
              <w:t>e</w:t>
            </w:r>
            <w:r w:rsidRPr="004D5D27">
              <w:rPr>
                <w:spacing w:val="-1"/>
                <w:sz w:val="24"/>
                <w:szCs w:val="24"/>
              </w:rPr>
              <w:t>t</w:t>
            </w:r>
            <w:r w:rsidRPr="004D5D27">
              <w:rPr>
                <w:sz w:val="24"/>
                <w:szCs w:val="24"/>
              </w:rPr>
              <w:t>t</w:t>
            </w:r>
            <w:r w:rsidRPr="004D5D27">
              <w:rPr>
                <w:spacing w:val="-15"/>
                <w:sz w:val="24"/>
                <w:szCs w:val="24"/>
              </w:rPr>
              <w:t xml:space="preserve"> </w:t>
            </w:r>
            <w:r w:rsidRPr="004D5D27">
              <w:rPr>
                <w:sz w:val="24"/>
                <w:szCs w:val="24"/>
              </w:rPr>
              <w:t>2</w:t>
            </w:r>
            <w:r w:rsidRPr="004D5D27">
              <w:rPr>
                <w:spacing w:val="-14"/>
                <w:sz w:val="24"/>
                <w:szCs w:val="24"/>
              </w:rPr>
              <w:t xml:space="preserve"> </w:t>
            </w:r>
            <w:r w:rsidRPr="004D5D27">
              <w:rPr>
                <w:spacing w:val="-8"/>
                <w:sz w:val="24"/>
                <w:szCs w:val="24"/>
              </w:rPr>
              <w:t>g</w:t>
            </w:r>
            <w:r w:rsidRPr="004D5D27">
              <w:rPr>
                <w:sz w:val="24"/>
                <w:szCs w:val="24"/>
              </w:rPr>
              <w:t>å</w:t>
            </w:r>
            <w:r w:rsidRPr="004D5D27">
              <w:rPr>
                <w:spacing w:val="-1"/>
                <w:sz w:val="24"/>
                <w:szCs w:val="24"/>
              </w:rPr>
              <w:t>n</w:t>
            </w:r>
            <w:r w:rsidRPr="004D5D27">
              <w:rPr>
                <w:spacing w:val="-6"/>
                <w:sz w:val="24"/>
                <w:szCs w:val="24"/>
              </w:rPr>
              <w:t>g</w:t>
            </w:r>
            <w:r w:rsidRPr="004D5D27">
              <w:rPr>
                <w:sz w:val="24"/>
                <w:szCs w:val="24"/>
              </w:rPr>
              <w:t>er</w:t>
            </w:r>
            <w:r w:rsidRPr="004D5D27">
              <w:rPr>
                <w:spacing w:val="-19"/>
                <w:sz w:val="24"/>
                <w:szCs w:val="24"/>
              </w:rPr>
              <w:t xml:space="preserve"> </w:t>
            </w:r>
            <w:r w:rsidRPr="004D5D27">
              <w:rPr>
                <w:spacing w:val="-3"/>
                <w:sz w:val="24"/>
                <w:szCs w:val="24"/>
              </w:rPr>
              <w:t>d</w:t>
            </w:r>
            <w:r w:rsidRPr="004D5D27">
              <w:rPr>
                <w:sz w:val="24"/>
                <w:szCs w:val="24"/>
              </w:rPr>
              <w:t>agli</w:t>
            </w:r>
            <w:r w:rsidRPr="004D5D27">
              <w:rPr>
                <w:spacing w:val="1"/>
                <w:sz w:val="24"/>
                <w:szCs w:val="24"/>
              </w:rPr>
              <w:t>g</w:t>
            </w:r>
            <w:r w:rsidRPr="004D5D27">
              <w:rPr>
                <w:sz w:val="24"/>
                <w:szCs w:val="24"/>
              </w:rPr>
              <w:t>en</w:t>
            </w:r>
            <w:r w:rsidRPr="004D5D27">
              <w:rPr>
                <w:spacing w:val="-15"/>
                <w:sz w:val="24"/>
                <w:szCs w:val="24"/>
              </w:rPr>
              <w:t xml:space="preserve"> </w:t>
            </w:r>
            <w:r w:rsidRPr="004D5D27">
              <w:rPr>
                <w:sz w:val="24"/>
                <w:szCs w:val="24"/>
              </w:rPr>
              <w:t>i</w:t>
            </w:r>
            <w:r w:rsidRPr="004D5D27">
              <w:rPr>
                <w:spacing w:val="-14"/>
                <w:sz w:val="24"/>
                <w:szCs w:val="24"/>
              </w:rPr>
              <w:t xml:space="preserve"> </w:t>
            </w:r>
            <w:r w:rsidRPr="004D5D27">
              <w:rPr>
                <w:sz w:val="24"/>
                <w:szCs w:val="24"/>
              </w:rPr>
              <w:t>7</w:t>
            </w:r>
            <w:r w:rsidRPr="004D5D27">
              <w:rPr>
                <w:spacing w:val="-13"/>
                <w:sz w:val="24"/>
                <w:szCs w:val="24"/>
              </w:rPr>
              <w:t xml:space="preserve"> </w:t>
            </w:r>
            <w:r w:rsidRPr="004D5D27">
              <w:rPr>
                <w:sz w:val="24"/>
                <w:szCs w:val="24"/>
              </w:rPr>
              <w:t>d</w:t>
            </w:r>
            <w:r w:rsidRPr="004D5D27">
              <w:rPr>
                <w:spacing w:val="-2"/>
                <w:sz w:val="24"/>
                <w:szCs w:val="24"/>
              </w:rPr>
              <w:t>a</w:t>
            </w:r>
            <w:r w:rsidRPr="004D5D27">
              <w:rPr>
                <w:sz w:val="24"/>
                <w:szCs w:val="24"/>
              </w:rPr>
              <w:t>g</w:t>
            </w:r>
            <w:r w:rsidRPr="004D5D27">
              <w:rPr>
                <w:spacing w:val="1"/>
                <w:sz w:val="24"/>
                <w:szCs w:val="24"/>
              </w:rPr>
              <w:t>a</w:t>
            </w:r>
            <w:r w:rsidRPr="004D5D27">
              <w:rPr>
                <w:sz w:val="24"/>
                <w:szCs w:val="24"/>
              </w:rPr>
              <w:t>r</w:t>
            </w:r>
          </w:p>
        </w:tc>
      </w:tr>
      <w:tr w:rsidR="00702564" w:rsidRPr="004D5D27" w14:paraId="605E1530" w14:textId="77777777" w:rsidTr="00632FCC">
        <w:tc>
          <w:tcPr>
            <w:tcW w:w="4531" w:type="dxa"/>
          </w:tcPr>
          <w:p w14:paraId="57ACF0C6" w14:textId="77777777" w:rsidR="00702564" w:rsidRPr="004D5D27" w:rsidRDefault="00702564" w:rsidP="00632FCC">
            <w:pPr>
              <w:rPr>
                <w:rFonts w:eastAsia="Garamond" w:cs="Garamond"/>
                <w:sz w:val="24"/>
                <w:szCs w:val="24"/>
              </w:rPr>
            </w:pPr>
            <w:r w:rsidRPr="004D5D27">
              <w:rPr>
                <w:rFonts w:cs="Garamond"/>
                <w:bCs/>
                <w:sz w:val="24"/>
                <w:szCs w:val="24"/>
              </w:rPr>
              <w:t>K</w:t>
            </w:r>
            <w:r w:rsidRPr="004D5D27">
              <w:rPr>
                <w:rFonts w:cs="Garamond"/>
                <w:bCs/>
                <w:spacing w:val="-1"/>
                <w:sz w:val="24"/>
                <w:szCs w:val="24"/>
              </w:rPr>
              <w:t>l</w:t>
            </w:r>
            <w:r w:rsidRPr="004D5D27">
              <w:rPr>
                <w:rFonts w:cs="Garamond"/>
                <w:bCs/>
                <w:sz w:val="24"/>
                <w:szCs w:val="24"/>
              </w:rPr>
              <w:t>aritromycin</w:t>
            </w:r>
            <w:r w:rsidRPr="004D5D27">
              <w:rPr>
                <w:rFonts w:cs="Garamond"/>
                <w:b/>
                <w:bCs/>
                <w:sz w:val="24"/>
                <w:szCs w:val="24"/>
              </w:rPr>
              <w:t xml:space="preserve"> </w:t>
            </w:r>
            <w:r w:rsidRPr="004D5D27">
              <w:rPr>
                <w:rFonts w:cs="Garamond"/>
                <w:bCs/>
                <w:sz w:val="24"/>
                <w:szCs w:val="24"/>
              </w:rPr>
              <w:t>(Klacid)</w:t>
            </w:r>
            <w:r w:rsidRPr="004D5D27">
              <w:rPr>
                <w:rFonts w:cs="Garamond"/>
                <w:b/>
                <w:bCs/>
                <w:spacing w:val="-18"/>
                <w:sz w:val="24"/>
                <w:szCs w:val="24"/>
              </w:rPr>
              <w:t xml:space="preserve"> </w:t>
            </w:r>
            <w:r w:rsidRPr="004D5D27">
              <w:rPr>
                <w:spacing w:val="-1"/>
                <w:sz w:val="24"/>
                <w:szCs w:val="24"/>
              </w:rPr>
              <w:t>t</w:t>
            </w:r>
            <w:r w:rsidRPr="004D5D27">
              <w:rPr>
                <w:spacing w:val="-4"/>
                <w:sz w:val="24"/>
                <w:szCs w:val="24"/>
              </w:rPr>
              <w:t>a</w:t>
            </w:r>
            <w:r w:rsidRPr="004D5D27">
              <w:rPr>
                <w:spacing w:val="-3"/>
                <w:sz w:val="24"/>
                <w:szCs w:val="24"/>
              </w:rPr>
              <w:t>b</w:t>
            </w:r>
            <w:r w:rsidRPr="004D5D27">
              <w:rPr>
                <w:sz w:val="24"/>
                <w:szCs w:val="24"/>
              </w:rPr>
              <w:t>le</w:t>
            </w:r>
            <w:r w:rsidRPr="004D5D27">
              <w:rPr>
                <w:spacing w:val="-3"/>
                <w:sz w:val="24"/>
                <w:szCs w:val="24"/>
              </w:rPr>
              <w:t>tt</w:t>
            </w:r>
            <w:r w:rsidRPr="004D5D27">
              <w:rPr>
                <w:sz w:val="24"/>
                <w:szCs w:val="24"/>
              </w:rPr>
              <w:t>er</w:t>
            </w:r>
            <w:r w:rsidRPr="004D5D27">
              <w:rPr>
                <w:spacing w:val="-13"/>
                <w:sz w:val="24"/>
                <w:szCs w:val="24"/>
              </w:rPr>
              <w:t xml:space="preserve"> </w:t>
            </w:r>
            <w:r w:rsidRPr="004D5D27">
              <w:rPr>
                <w:sz w:val="24"/>
                <w:szCs w:val="24"/>
              </w:rPr>
              <w:t>5</w:t>
            </w:r>
            <w:r w:rsidRPr="004D5D27">
              <w:rPr>
                <w:spacing w:val="-2"/>
                <w:sz w:val="24"/>
                <w:szCs w:val="24"/>
              </w:rPr>
              <w:t>0</w:t>
            </w:r>
            <w:r w:rsidRPr="004D5D27">
              <w:rPr>
                <w:sz w:val="24"/>
                <w:szCs w:val="24"/>
              </w:rPr>
              <w:t>0</w:t>
            </w:r>
            <w:r w:rsidRPr="004D5D27">
              <w:rPr>
                <w:spacing w:val="-10"/>
                <w:sz w:val="24"/>
                <w:szCs w:val="24"/>
              </w:rPr>
              <w:t xml:space="preserve"> </w:t>
            </w:r>
            <w:r w:rsidRPr="004D5D27">
              <w:rPr>
                <w:spacing w:val="-3"/>
                <w:sz w:val="24"/>
                <w:szCs w:val="24"/>
              </w:rPr>
              <w:t>m</w:t>
            </w:r>
            <w:r w:rsidRPr="004D5D27">
              <w:rPr>
                <w:sz w:val="24"/>
                <w:szCs w:val="24"/>
              </w:rPr>
              <w:t>g</w:t>
            </w:r>
          </w:p>
        </w:tc>
        <w:tc>
          <w:tcPr>
            <w:tcW w:w="4531" w:type="dxa"/>
          </w:tcPr>
          <w:p w14:paraId="209DCA14" w14:textId="77777777" w:rsidR="00702564" w:rsidRPr="004D5D27" w:rsidRDefault="00702564" w:rsidP="00632FCC">
            <w:pPr>
              <w:rPr>
                <w:rFonts w:eastAsia="Garamond" w:cs="Garamond"/>
                <w:sz w:val="24"/>
                <w:szCs w:val="24"/>
              </w:rPr>
            </w:pPr>
            <w:r w:rsidRPr="004D5D27">
              <w:rPr>
                <w:sz w:val="24"/>
                <w:szCs w:val="24"/>
              </w:rPr>
              <w:t>1</w:t>
            </w:r>
            <w:r w:rsidRPr="004D5D27">
              <w:rPr>
                <w:spacing w:val="-20"/>
                <w:sz w:val="24"/>
                <w:szCs w:val="24"/>
              </w:rPr>
              <w:t xml:space="preserve"> </w:t>
            </w:r>
            <w:r w:rsidRPr="004D5D27">
              <w:rPr>
                <w:spacing w:val="-1"/>
                <w:sz w:val="24"/>
                <w:szCs w:val="24"/>
              </w:rPr>
              <w:t>t</w:t>
            </w:r>
            <w:r w:rsidRPr="004D5D27">
              <w:rPr>
                <w:sz w:val="24"/>
                <w:szCs w:val="24"/>
              </w:rPr>
              <w:t>a</w:t>
            </w:r>
            <w:r w:rsidRPr="004D5D27">
              <w:rPr>
                <w:spacing w:val="-1"/>
                <w:sz w:val="24"/>
                <w:szCs w:val="24"/>
              </w:rPr>
              <w:t>b</w:t>
            </w:r>
            <w:r w:rsidRPr="004D5D27">
              <w:rPr>
                <w:spacing w:val="-5"/>
                <w:sz w:val="24"/>
                <w:szCs w:val="24"/>
              </w:rPr>
              <w:t>l</w:t>
            </w:r>
            <w:r w:rsidRPr="004D5D27">
              <w:rPr>
                <w:spacing w:val="-2"/>
                <w:sz w:val="24"/>
                <w:szCs w:val="24"/>
              </w:rPr>
              <w:t>e</w:t>
            </w:r>
            <w:r w:rsidRPr="004D5D27">
              <w:rPr>
                <w:spacing w:val="-1"/>
                <w:sz w:val="24"/>
                <w:szCs w:val="24"/>
              </w:rPr>
              <w:t>t</w:t>
            </w:r>
            <w:r w:rsidRPr="004D5D27">
              <w:rPr>
                <w:sz w:val="24"/>
                <w:szCs w:val="24"/>
              </w:rPr>
              <w:t>t</w:t>
            </w:r>
            <w:r w:rsidRPr="004D5D27">
              <w:rPr>
                <w:spacing w:val="-12"/>
                <w:sz w:val="24"/>
                <w:szCs w:val="24"/>
              </w:rPr>
              <w:t xml:space="preserve"> </w:t>
            </w:r>
            <w:r w:rsidRPr="004D5D27">
              <w:rPr>
                <w:sz w:val="24"/>
                <w:szCs w:val="24"/>
              </w:rPr>
              <w:t>2</w:t>
            </w:r>
            <w:r w:rsidRPr="004D5D27">
              <w:rPr>
                <w:spacing w:val="-13"/>
                <w:sz w:val="24"/>
                <w:szCs w:val="24"/>
              </w:rPr>
              <w:t xml:space="preserve"> </w:t>
            </w:r>
            <w:r w:rsidRPr="004D5D27">
              <w:rPr>
                <w:sz w:val="24"/>
                <w:szCs w:val="24"/>
              </w:rPr>
              <w:t>g</w:t>
            </w:r>
            <w:r w:rsidRPr="004D5D27">
              <w:rPr>
                <w:spacing w:val="-2"/>
                <w:sz w:val="24"/>
                <w:szCs w:val="24"/>
              </w:rPr>
              <w:t>å</w:t>
            </w:r>
            <w:r w:rsidRPr="004D5D27">
              <w:rPr>
                <w:spacing w:val="-1"/>
                <w:sz w:val="24"/>
                <w:szCs w:val="24"/>
              </w:rPr>
              <w:t>n</w:t>
            </w:r>
            <w:r w:rsidRPr="004D5D27">
              <w:rPr>
                <w:spacing w:val="-2"/>
                <w:sz w:val="24"/>
                <w:szCs w:val="24"/>
              </w:rPr>
              <w:t>g</w:t>
            </w:r>
            <w:r w:rsidRPr="004D5D27">
              <w:rPr>
                <w:sz w:val="24"/>
                <w:szCs w:val="24"/>
              </w:rPr>
              <w:t>er</w:t>
            </w:r>
            <w:r w:rsidRPr="004D5D27">
              <w:rPr>
                <w:spacing w:val="-13"/>
                <w:sz w:val="24"/>
                <w:szCs w:val="24"/>
              </w:rPr>
              <w:t xml:space="preserve"> </w:t>
            </w:r>
            <w:r w:rsidRPr="004D5D27">
              <w:rPr>
                <w:spacing w:val="-5"/>
                <w:sz w:val="24"/>
                <w:szCs w:val="24"/>
              </w:rPr>
              <w:t>d</w:t>
            </w:r>
            <w:r w:rsidRPr="004D5D27">
              <w:rPr>
                <w:sz w:val="24"/>
                <w:szCs w:val="24"/>
              </w:rPr>
              <w:t>a</w:t>
            </w:r>
            <w:r w:rsidRPr="004D5D27">
              <w:rPr>
                <w:spacing w:val="-2"/>
                <w:sz w:val="24"/>
                <w:szCs w:val="24"/>
              </w:rPr>
              <w:t>g</w:t>
            </w:r>
            <w:r w:rsidRPr="004D5D27">
              <w:rPr>
                <w:sz w:val="24"/>
                <w:szCs w:val="24"/>
              </w:rPr>
              <w:t>li</w:t>
            </w:r>
            <w:r w:rsidRPr="004D5D27">
              <w:rPr>
                <w:spacing w:val="-2"/>
                <w:sz w:val="24"/>
                <w:szCs w:val="24"/>
              </w:rPr>
              <w:t>g</w:t>
            </w:r>
            <w:r w:rsidRPr="004D5D27">
              <w:rPr>
                <w:sz w:val="24"/>
                <w:szCs w:val="24"/>
              </w:rPr>
              <w:t>en</w:t>
            </w:r>
            <w:r w:rsidRPr="004D5D27">
              <w:rPr>
                <w:spacing w:val="-15"/>
                <w:sz w:val="24"/>
                <w:szCs w:val="24"/>
              </w:rPr>
              <w:t xml:space="preserve"> </w:t>
            </w:r>
            <w:r w:rsidRPr="004D5D27">
              <w:rPr>
                <w:sz w:val="24"/>
                <w:szCs w:val="24"/>
              </w:rPr>
              <w:t>i</w:t>
            </w:r>
            <w:r w:rsidRPr="004D5D27">
              <w:rPr>
                <w:spacing w:val="-19"/>
                <w:sz w:val="24"/>
                <w:szCs w:val="24"/>
              </w:rPr>
              <w:t xml:space="preserve"> </w:t>
            </w:r>
            <w:r w:rsidRPr="004D5D27">
              <w:rPr>
                <w:sz w:val="24"/>
                <w:szCs w:val="24"/>
              </w:rPr>
              <w:t>7</w:t>
            </w:r>
            <w:r w:rsidRPr="004D5D27">
              <w:rPr>
                <w:spacing w:val="-9"/>
                <w:sz w:val="24"/>
                <w:szCs w:val="24"/>
              </w:rPr>
              <w:t xml:space="preserve"> </w:t>
            </w:r>
            <w:r w:rsidRPr="004D5D27">
              <w:rPr>
                <w:sz w:val="24"/>
                <w:szCs w:val="24"/>
              </w:rPr>
              <w:t>dagar</w:t>
            </w:r>
          </w:p>
        </w:tc>
      </w:tr>
    </w:tbl>
    <w:p w14:paraId="145FCDEC" w14:textId="77777777" w:rsidR="00702564" w:rsidRPr="004D5D27" w:rsidRDefault="00702564" w:rsidP="00702564">
      <w:pPr>
        <w:rPr>
          <w:rFonts w:eastAsia="Garamond" w:cs="Garamond"/>
          <w:sz w:val="24"/>
          <w:szCs w:val="24"/>
        </w:rPr>
      </w:pPr>
    </w:p>
    <w:p w14:paraId="3A6B9766" w14:textId="77777777" w:rsidR="00702564" w:rsidRPr="001263B7" w:rsidRDefault="00702564" w:rsidP="00702564">
      <w:pPr>
        <w:rPr>
          <w:sz w:val="24"/>
          <w:szCs w:val="24"/>
        </w:rPr>
      </w:pPr>
      <w:r w:rsidRPr="001263B7">
        <w:rPr>
          <w:sz w:val="24"/>
          <w:szCs w:val="24"/>
        </w:rPr>
        <w:t xml:space="preserve">Behandling med PPI pågår till sårläkning konstaterats efter 4–8 veckor. </w:t>
      </w:r>
    </w:p>
    <w:p w14:paraId="4C9BF487" w14:textId="77777777" w:rsidR="00702564" w:rsidRDefault="00702564" w:rsidP="00702564">
      <w:pPr>
        <w:rPr>
          <w:sz w:val="24"/>
          <w:szCs w:val="24"/>
        </w:rPr>
      </w:pPr>
      <w:r w:rsidRPr="001263B7">
        <w:rPr>
          <w:sz w:val="24"/>
          <w:szCs w:val="24"/>
        </w:rPr>
        <w:t>Patienter med manifest ulcus eller tidigare verifierat ulcus och samtidig Helicobacter pylori-infektion bör få eradikationsbehandling i form av trippelbehandling enligt aktuellt PM.</w:t>
      </w:r>
      <w:r>
        <w:rPr>
          <w:sz w:val="24"/>
          <w:szCs w:val="24"/>
        </w:rPr>
        <w:t xml:space="preserve"> </w:t>
      </w:r>
      <w:r w:rsidRPr="001263B7">
        <w:rPr>
          <w:sz w:val="24"/>
          <w:szCs w:val="24"/>
        </w:rPr>
        <w:t xml:space="preserve">Ventrikelsår bör gastroskopikontrolleras. Vid terapisvikt bör en andra behandling föregås av odling och resistensbestämning. Patienter som av något skäl ej ges eradikationsbehandling bör ha recidivprofylax med omeprazol 20 mg dagligen. Vid komplicerad ulcussjukdom såsom sår vid flera tillfällen, blödande eller perforerade sår, skall recidivprofylax med omeprazol 20 mg dagligen övervägas. Detta gäller inte minst äldre patienter och ibland även efter genomgången </w:t>
      </w:r>
      <w:r>
        <w:rPr>
          <w:sz w:val="24"/>
          <w:szCs w:val="24"/>
        </w:rPr>
        <w:br/>
      </w:r>
      <w:r w:rsidRPr="001263B7">
        <w:rPr>
          <w:sz w:val="24"/>
          <w:szCs w:val="24"/>
        </w:rPr>
        <w:t>Hp-eradikering.</w:t>
      </w:r>
    </w:p>
    <w:p w14:paraId="1600BC08" w14:textId="77777777" w:rsidR="00702564" w:rsidRDefault="00702564" w:rsidP="00702564">
      <w:pPr>
        <w:tabs>
          <w:tab w:val="clear" w:pos="284"/>
        </w:tabs>
        <w:spacing w:after="120" w:line="260" w:lineRule="atLeast"/>
        <w:rPr>
          <w:sz w:val="24"/>
          <w:szCs w:val="24"/>
        </w:rPr>
      </w:pPr>
      <w:r>
        <w:rPr>
          <w:sz w:val="24"/>
          <w:szCs w:val="24"/>
        </w:rPr>
        <w:br w:type="page"/>
      </w:r>
    </w:p>
    <w:p w14:paraId="353A4258" w14:textId="77777777" w:rsidR="00702564" w:rsidRPr="004D5D27" w:rsidRDefault="00702564" w:rsidP="00702564">
      <w:pPr>
        <w:pStyle w:val="Rubrik2"/>
      </w:pPr>
      <w:r w:rsidRPr="004D5D27">
        <w:lastRenderedPageBreak/>
        <w:t>Illamående</w:t>
      </w:r>
    </w:p>
    <w:tbl>
      <w:tblPr>
        <w:tblStyle w:val="Tabellrutnt"/>
        <w:tblW w:w="7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379"/>
      </w:tblGrid>
      <w:tr w:rsidR="00702564" w:rsidRPr="001263B7" w14:paraId="34F182B4" w14:textId="77777777" w:rsidTr="00632FCC">
        <w:trPr>
          <w:trHeight w:val="459"/>
        </w:trPr>
        <w:tc>
          <w:tcPr>
            <w:tcW w:w="3581" w:type="dxa"/>
          </w:tcPr>
          <w:p w14:paraId="170FEFBB" w14:textId="77777777" w:rsidR="00702564" w:rsidRPr="001263B7" w:rsidRDefault="00702564" w:rsidP="00632FCC">
            <w:pPr>
              <w:rPr>
                <w:sz w:val="24"/>
                <w:szCs w:val="24"/>
              </w:rPr>
            </w:pPr>
            <w:r w:rsidRPr="001263B7">
              <w:rPr>
                <w:rFonts w:eastAsia="Garamond" w:cs="Garamond"/>
                <w:b/>
                <w:bCs/>
                <w:iCs/>
                <w:spacing w:val="1"/>
                <w:sz w:val="24"/>
                <w:szCs w:val="28"/>
              </w:rPr>
              <w:t>m</w:t>
            </w:r>
            <w:r w:rsidRPr="001263B7">
              <w:rPr>
                <w:rFonts w:eastAsia="Garamond" w:cs="Garamond"/>
                <w:b/>
                <w:bCs/>
                <w:iCs/>
                <w:spacing w:val="-1"/>
                <w:sz w:val="24"/>
                <w:szCs w:val="28"/>
              </w:rPr>
              <w:t>ek</w:t>
            </w:r>
            <w:r w:rsidRPr="001263B7">
              <w:rPr>
                <w:rFonts w:eastAsia="Garamond" w:cs="Garamond"/>
                <w:b/>
                <w:bCs/>
                <w:iCs/>
                <w:sz w:val="24"/>
                <w:szCs w:val="28"/>
              </w:rPr>
              <w:t>l</w:t>
            </w:r>
            <w:r w:rsidRPr="001263B7">
              <w:rPr>
                <w:rFonts w:eastAsia="Garamond" w:cs="Garamond"/>
                <w:b/>
                <w:bCs/>
                <w:iCs/>
                <w:spacing w:val="-1"/>
                <w:sz w:val="24"/>
                <w:szCs w:val="28"/>
              </w:rPr>
              <w:t>o</w:t>
            </w:r>
            <w:r w:rsidRPr="001263B7">
              <w:rPr>
                <w:rFonts w:eastAsia="Garamond" w:cs="Garamond"/>
                <w:b/>
                <w:bCs/>
                <w:iCs/>
                <w:sz w:val="24"/>
                <w:szCs w:val="28"/>
              </w:rPr>
              <w:t>z</w:t>
            </w:r>
            <w:r w:rsidRPr="001263B7">
              <w:rPr>
                <w:rFonts w:eastAsia="Garamond" w:cs="Garamond"/>
                <w:b/>
                <w:bCs/>
                <w:iCs/>
                <w:spacing w:val="-7"/>
                <w:sz w:val="24"/>
                <w:szCs w:val="28"/>
              </w:rPr>
              <w:t>in</w:t>
            </w:r>
          </w:p>
        </w:tc>
        <w:tc>
          <w:tcPr>
            <w:tcW w:w="4379" w:type="dxa"/>
          </w:tcPr>
          <w:p w14:paraId="596C9087" w14:textId="77777777" w:rsidR="00702564" w:rsidRPr="001263B7" w:rsidRDefault="00702564" w:rsidP="00632FCC">
            <w:pPr>
              <w:rPr>
                <w:sz w:val="24"/>
                <w:szCs w:val="24"/>
              </w:rPr>
            </w:pPr>
            <w:r w:rsidRPr="001263B7">
              <w:rPr>
                <w:rFonts w:eastAsia="Garamond" w:cs="Garamond"/>
                <w:spacing w:val="-10"/>
                <w:sz w:val="24"/>
                <w:szCs w:val="28"/>
              </w:rPr>
              <w:t>P</w:t>
            </w:r>
            <w:r w:rsidRPr="001263B7">
              <w:rPr>
                <w:rFonts w:eastAsia="Garamond" w:cs="Garamond"/>
                <w:spacing w:val="-1"/>
                <w:sz w:val="24"/>
                <w:szCs w:val="28"/>
              </w:rPr>
              <w:t>o</w:t>
            </w:r>
            <w:r w:rsidRPr="001263B7">
              <w:rPr>
                <w:rFonts w:eastAsia="Garamond" w:cs="Garamond"/>
                <w:sz w:val="24"/>
                <w:szCs w:val="28"/>
              </w:rPr>
              <w:t>s</w:t>
            </w:r>
            <w:r w:rsidRPr="001263B7">
              <w:rPr>
                <w:rFonts w:eastAsia="Garamond" w:cs="Garamond"/>
                <w:spacing w:val="-1"/>
                <w:sz w:val="24"/>
                <w:szCs w:val="28"/>
              </w:rPr>
              <w:t>t</w:t>
            </w:r>
            <w:r w:rsidRPr="001263B7">
              <w:rPr>
                <w:rFonts w:eastAsia="Garamond" w:cs="Garamond"/>
                <w:sz w:val="24"/>
                <w:szCs w:val="28"/>
              </w:rPr>
              <w:t>a</w:t>
            </w:r>
            <w:r w:rsidRPr="001263B7">
              <w:rPr>
                <w:rFonts w:eastAsia="Garamond" w:cs="Garamond"/>
                <w:spacing w:val="-1"/>
                <w:sz w:val="24"/>
                <w:szCs w:val="28"/>
              </w:rPr>
              <w:t>f</w:t>
            </w:r>
            <w:r w:rsidRPr="001263B7">
              <w:rPr>
                <w:rFonts w:eastAsia="Garamond" w:cs="Garamond"/>
                <w:sz w:val="24"/>
                <w:szCs w:val="28"/>
              </w:rPr>
              <w:t>en</w:t>
            </w:r>
          </w:p>
        </w:tc>
      </w:tr>
      <w:tr w:rsidR="00702564" w:rsidRPr="001263B7" w14:paraId="549F74B7" w14:textId="77777777" w:rsidTr="00632FCC">
        <w:trPr>
          <w:trHeight w:val="466"/>
        </w:trPr>
        <w:tc>
          <w:tcPr>
            <w:tcW w:w="3581" w:type="dxa"/>
          </w:tcPr>
          <w:p w14:paraId="3030104E" w14:textId="77777777" w:rsidR="00702564" w:rsidRPr="001263B7" w:rsidRDefault="00702564" w:rsidP="00632FCC">
            <w:pPr>
              <w:rPr>
                <w:sz w:val="24"/>
                <w:szCs w:val="24"/>
              </w:rPr>
            </w:pPr>
            <w:r w:rsidRPr="001263B7">
              <w:rPr>
                <w:rFonts w:eastAsia="Garamond" w:cs="Garamond"/>
                <w:b/>
                <w:bCs/>
                <w:iCs/>
                <w:spacing w:val="1"/>
                <w:sz w:val="24"/>
                <w:szCs w:val="28"/>
              </w:rPr>
              <w:t>m</w:t>
            </w:r>
            <w:r w:rsidRPr="001263B7">
              <w:rPr>
                <w:rFonts w:eastAsia="Garamond" w:cs="Garamond"/>
                <w:b/>
                <w:bCs/>
                <w:iCs/>
                <w:spacing w:val="-1"/>
                <w:sz w:val="24"/>
                <w:szCs w:val="28"/>
              </w:rPr>
              <w:t>e</w:t>
            </w:r>
            <w:r w:rsidRPr="001263B7">
              <w:rPr>
                <w:rFonts w:eastAsia="Garamond" w:cs="Garamond"/>
                <w:b/>
                <w:bCs/>
                <w:iCs/>
                <w:spacing w:val="2"/>
                <w:sz w:val="24"/>
                <w:szCs w:val="28"/>
              </w:rPr>
              <w:t>t</w:t>
            </w:r>
            <w:r w:rsidRPr="001263B7">
              <w:rPr>
                <w:rFonts w:eastAsia="Garamond" w:cs="Garamond"/>
                <w:b/>
                <w:bCs/>
                <w:iCs/>
                <w:spacing w:val="-1"/>
                <w:sz w:val="24"/>
                <w:szCs w:val="28"/>
              </w:rPr>
              <w:t>ok</w:t>
            </w:r>
            <w:r w:rsidRPr="001263B7">
              <w:rPr>
                <w:rFonts w:eastAsia="Garamond" w:cs="Garamond"/>
                <w:b/>
                <w:bCs/>
                <w:iCs/>
                <w:sz w:val="24"/>
                <w:szCs w:val="28"/>
              </w:rPr>
              <w:t>l</w:t>
            </w:r>
            <w:r w:rsidRPr="001263B7">
              <w:rPr>
                <w:rFonts w:eastAsia="Garamond" w:cs="Garamond"/>
                <w:b/>
                <w:bCs/>
                <w:iCs/>
                <w:spacing w:val="-1"/>
                <w:sz w:val="24"/>
                <w:szCs w:val="28"/>
              </w:rPr>
              <w:t>o</w:t>
            </w:r>
            <w:r w:rsidRPr="001263B7">
              <w:rPr>
                <w:rFonts w:eastAsia="Garamond" w:cs="Garamond"/>
                <w:b/>
                <w:bCs/>
                <w:iCs/>
                <w:spacing w:val="-2"/>
                <w:sz w:val="24"/>
                <w:szCs w:val="28"/>
              </w:rPr>
              <w:t>p</w:t>
            </w:r>
            <w:r w:rsidRPr="001263B7">
              <w:rPr>
                <w:rFonts w:eastAsia="Garamond" w:cs="Garamond"/>
                <w:b/>
                <w:bCs/>
                <w:iCs/>
                <w:spacing w:val="-6"/>
                <w:sz w:val="24"/>
                <w:szCs w:val="28"/>
              </w:rPr>
              <w:t>r</w:t>
            </w:r>
            <w:r w:rsidRPr="001263B7">
              <w:rPr>
                <w:rFonts w:eastAsia="Garamond" w:cs="Garamond"/>
                <w:b/>
                <w:bCs/>
                <w:iCs/>
                <w:sz w:val="24"/>
                <w:szCs w:val="28"/>
              </w:rPr>
              <w:t>a</w:t>
            </w:r>
            <w:r w:rsidRPr="001263B7">
              <w:rPr>
                <w:rFonts w:eastAsia="Garamond" w:cs="Garamond"/>
                <w:b/>
                <w:bCs/>
                <w:iCs/>
                <w:spacing w:val="1"/>
                <w:sz w:val="24"/>
                <w:szCs w:val="28"/>
              </w:rPr>
              <w:t>m</w:t>
            </w:r>
            <w:r w:rsidRPr="001263B7">
              <w:rPr>
                <w:rFonts w:eastAsia="Garamond" w:cs="Garamond"/>
                <w:b/>
                <w:bCs/>
                <w:iCs/>
                <w:sz w:val="24"/>
                <w:szCs w:val="28"/>
              </w:rPr>
              <w:t>id</w:t>
            </w:r>
          </w:p>
        </w:tc>
        <w:tc>
          <w:tcPr>
            <w:tcW w:w="4379" w:type="dxa"/>
          </w:tcPr>
          <w:p w14:paraId="3EEE3CCE" w14:textId="77777777" w:rsidR="00702564" w:rsidRPr="001263B7" w:rsidRDefault="00702564" w:rsidP="00632FCC">
            <w:pPr>
              <w:rPr>
                <w:sz w:val="24"/>
                <w:szCs w:val="24"/>
              </w:rPr>
            </w:pPr>
            <w:r>
              <w:rPr>
                <w:rFonts w:eastAsia="Garamond" w:cs="Garamond"/>
                <w:spacing w:val="-10"/>
                <w:sz w:val="24"/>
                <w:szCs w:val="28"/>
              </w:rPr>
              <w:t>Metoklopramid</w:t>
            </w:r>
          </w:p>
        </w:tc>
      </w:tr>
      <w:tr w:rsidR="00702564" w:rsidRPr="001263B7" w14:paraId="550A3FCA" w14:textId="77777777" w:rsidTr="00632FCC">
        <w:trPr>
          <w:trHeight w:val="457"/>
        </w:trPr>
        <w:tc>
          <w:tcPr>
            <w:tcW w:w="3581" w:type="dxa"/>
          </w:tcPr>
          <w:p w14:paraId="044D6E12" w14:textId="77777777" w:rsidR="00702564" w:rsidRPr="001263B7" w:rsidRDefault="00702564" w:rsidP="00632FCC">
            <w:pPr>
              <w:rPr>
                <w:sz w:val="24"/>
                <w:szCs w:val="24"/>
              </w:rPr>
            </w:pPr>
            <w:r w:rsidRPr="001263B7">
              <w:rPr>
                <w:rFonts w:eastAsia="Garamond" w:cs="Garamond"/>
                <w:b/>
                <w:bCs/>
                <w:iCs/>
                <w:spacing w:val="-1"/>
                <w:sz w:val="24"/>
                <w:szCs w:val="28"/>
              </w:rPr>
              <w:t>o</w:t>
            </w:r>
            <w:r w:rsidRPr="001263B7">
              <w:rPr>
                <w:rFonts w:eastAsia="Garamond" w:cs="Garamond"/>
                <w:b/>
                <w:bCs/>
                <w:iCs/>
                <w:sz w:val="24"/>
                <w:szCs w:val="28"/>
              </w:rPr>
              <w:t>nda</w:t>
            </w:r>
            <w:r w:rsidRPr="001263B7">
              <w:rPr>
                <w:rFonts w:eastAsia="Garamond" w:cs="Garamond"/>
                <w:b/>
                <w:bCs/>
                <w:iCs/>
                <w:spacing w:val="-2"/>
                <w:sz w:val="24"/>
                <w:szCs w:val="28"/>
              </w:rPr>
              <w:t>n</w:t>
            </w:r>
            <w:r w:rsidRPr="001263B7">
              <w:rPr>
                <w:rFonts w:eastAsia="Garamond" w:cs="Garamond"/>
                <w:b/>
                <w:bCs/>
                <w:iCs/>
                <w:spacing w:val="-3"/>
                <w:sz w:val="24"/>
                <w:szCs w:val="28"/>
              </w:rPr>
              <w:t>s</w:t>
            </w:r>
            <w:r w:rsidRPr="001263B7">
              <w:rPr>
                <w:rFonts w:eastAsia="Garamond" w:cs="Garamond"/>
                <w:b/>
                <w:bCs/>
                <w:iCs/>
                <w:spacing w:val="-1"/>
                <w:sz w:val="24"/>
                <w:szCs w:val="28"/>
              </w:rPr>
              <w:t>e</w:t>
            </w:r>
            <w:r w:rsidRPr="001263B7">
              <w:rPr>
                <w:rFonts w:eastAsia="Garamond" w:cs="Garamond"/>
                <w:b/>
                <w:bCs/>
                <w:iCs/>
                <w:sz w:val="24"/>
                <w:szCs w:val="28"/>
              </w:rPr>
              <w:t>t</w:t>
            </w:r>
            <w:r w:rsidRPr="001263B7">
              <w:rPr>
                <w:rFonts w:eastAsia="Garamond" w:cs="Garamond"/>
                <w:b/>
                <w:bCs/>
                <w:iCs/>
                <w:spacing w:val="-1"/>
                <w:sz w:val="24"/>
                <w:szCs w:val="28"/>
              </w:rPr>
              <w:t>r</w:t>
            </w:r>
            <w:r w:rsidRPr="001263B7">
              <w:rPr>
                <w:rFonts w:eastAsia="Garamond" w:cs="Garamond"/>
                <w:b/>
                <w:bCs/>
                <w:iCs/>
                <w:spacing w:val="-9"/>
                <w:sz w:val="24"/>
                <w:szCs w:val="28"/>
              </w:rPr>
              <w:t>on</w:t>
            </w:r>
          </w:p>
        </w:tc>
        <w:tc>
          <w:tcPr>
            <w:tcW w:w="4379" w:type="dxa"/>
          </w:tcPr>
          <w:p w14:paraId="298456FF" w14:textId="77777777" w:rsidR="00702564" w:rsidRPr="001263B7" w:rsidRDefault="00702564" w:rsidP="00632FCC">
            <w:pPr>
              <w:rPr>
                <w:sz w:val="24"/>
                <w:szCs w:val="24"/>
              </w:rPr>
            </w:pPr>
            <w:r w:rsidRPr="001263B7">
              <w:rPr>
                <w:rFonts w:eastAsia="Garamond" w:cs="Garamond"/>
                <w:spacing w:val="-1"/>
                <w:sz w:val="24"/>
                <w:szCs w:val="28"/>
              </w:rPr>
              <w:t>Ond</w:t>
            </w:r>
            <w:r w:rsidRPr="001263B7">
              <w:rPr>
                <w:rFonts w:eastAsia="Garamond" w:cs="Garamond"/>
                <w:sz w:val="24"/>
                <w:szCs w:val="28"/>
              </w:rPr>
              <w:t>a</w:t>
            </w:r>
            <w:r w:rsidRPr="001263B7">
              <w:rPr>
                <w:rFonts w:eastAsia="Garamond" w:cs="Garamond"/>
                <w:spacing w:val="-1"/>
                <w:sz w:val="24"/>
                <w:szCs w:val="28"/>
              </w:rPr>
              <w:t>n</w:t>
            </w:r>
            <w:r w:rsidRPr="001263B7">
              <w:rPr>
                <w:rFonts w:eastAsia="Garamond" w:cs="Garamond"/>
                <w:spacing w:val="-2"/>
                <w:sz w:val="24"/>
                <w:szCs w:val="28"/>
              </w:rPr>
              <w:t>s</w:t>
            </w:r>
            <w:r w:rsidRPr="001263B7">
              <w:rPr>
                <w:rFonts w:eastAsia="Garamond" w:cs="Garamond"/>
                <w:spacing w:val="-3"/>
                <w:sz w:val="24"/>
                <w:szCs w:val="28"/>
              </w:rPr>
              <w:t>e</w:t>
            </w:r>
            <w:r w:rsidRPr="001263B7">
              <w:rPr>
                <w:rFonts w:eastAsia="Garamond" w:cs="Garamond"/>
                <w:spacing w:val="-1"/>
                <w:sz w:val="24"/>
                <w:szCs w:val="28"/>
              </w:rPr>
              <w:t>t</w:t>
            </w:r>
            <w:r w:rsidRPr="001263B7">
              <w:rPr>
                <w:rFonts w:eastAsia="Garamond" w:cs="Garamond"/>
                <w:spacing w:val="-5"/>
                <w:sz w:val="24"/>
                <w:szCs w:val="28"/>
              </w:rPr>
              <w:t>r</w:t>
            </w:r>
            <w:r w:rsidRPr="001263B7">
              <w:rPr>
                <w:rFonts w:eastAsia="Garamond" w:cs="Garamond"/>
                <w:spacing w:val="-1"/>
                <w:sz w:val="24"/>
                <w:szCs w:val="28"/>
              </w:rPr>
              <w:t>o</w:t>
            </w:r>
            <w:r w:rsidRPr="001263B7">
              <w:rPr>
                <w:rFonts w:eastAsia="Garamond" w:cs="Garamond"/>
                <w:sz w:val="24"/>
                <w:szCs w:val="28"/>
              </w:rPr>
              <w:t>n</w:t>
            </w:r>
          </w:p>
        </w:tc>
      </w:tr>
    </w:tbl>
    <w:p w14:paraId="053E0958" w14:textId="77777777" w:rsidR="00702564" w:rsidRDefault="00702564" w:rsidP="00702564">
      <w:pPr>
        <w:rPr>
          <w:sz w:val="24"/>
          <w:szCs w:val="28"/>
        </w:rPr>
      </w:pPr>
    </w:p>
    <w:p w14:paraId="37F92A18" w14:textId="77777777" w:rsidR="00702564" w:rsidRDefault="00702564" w:rsidP="00702564">
      <w:pPr>
        <w:tabs>
          <w:tab w:val="clear" w:pos="284"/>
        </w:tabs>
        <w:spacing w:after="120" w:line="260" w:lineRule="atLeast"/>
        <w:rPr>
          <w:sz w:val="24"/>
          <w:szCs w:val="28"/>
        </w:rPr>
      </w:pPr>
    </w:p>
    <w:tbl>
      <w:tblPr>
        <w:tblStyle w:val="Professionelltabell2"/>
        <w:tblW w:w="5123" w:type="pct"/>
        <w:tblInd w:w="-116" w:type="dxa"/>
        <w:tblLook w:val="0480" w:firstRow="0" w:lastRow="0" w:firstColumn="1" w:lastColumn="0" w:noHBand="0" w:noVBand="1"/>
      </w:tblPr>
      <w:tblGrid>
        <w:gridCol w:w="2582"/>
        <w:gridCol w:w="2070"/>
        <w:gridCol w:w="2541"/>
        <w:gridCol w:w="2259"/>
      </w:tblGrid>
      <w:tr w:rsidR="00702564" w:rsidRPr="001263B7" w14:paraId="3F464860" w14:textId="77777777" w:rsidTr="00632FCC">
        <w:trPr>
          <w:trHeight w:val="301"/>
          <w:tblHeader/>
        </w:trPr>
        <w:tc>
          <w:tcPr>
            <w:tcW w:w="1366" w:type="pct"/>
          </w:tcPr>
          <w:p w14:paraId="6CD0AC3D" w14:textId="77777777" w:rsidR="00702564" w:rsidRPr="001263B7" w:rsidRDefault="00702564" w:rsidP="00632FCC">
            <w:pPr>
              <w:rPr>
                <w:rFonts w:cs="Arial"/>
                <w:b/>
                <w:bCs/>
                <w:sz w:val="22"/>
                <w:szCs w:val="22"/>
              </w:rPr>
            </w:pPr>
            <w:r w:rsidRPr="001263B7">
              <w:rPr>
                <w:rFonts w:cs="Arial"/>
                <w:b/>
                <w:bCs/>
                <w:sz w:val="22"/>
                <w:szCs w:val="22"/>
              </w:rPr>
              <w:t>Läkemedel</w:t>
            </w:r>
          </w:p>
        </w:tc>
        <w:tc>
          <w:tcPr>
            <w:tcW w:w="1095" w:type="pct"/>
          </w:tcPr>
          <w:p w14:paraId="1C6C91FB" w14:textId="77777777" w:rsidR="00702564" w:rsidRPr="001263B7" w:rsidRDefault="00702564" w:rsidP="00632FCC">
            <w:pPr>
              <w:rPr>
                <w:rFonts w:cs="Arial"/>
                <w:b/>
                <w:bCs/>
                <w:sz w:val="22"/>
                <w:szCs w:val="22"/>
              </w:rPr>
            </w:pPr>
            <w:r w:rsidRPr="001263B7">
              <w:rPr>
                <w:rFonts w:cs="Arial"/>
                <w:b/>
                <w:bCs/>
                <w:sz w:val="22"/>
                <w:szCs w:val="22"/>
              </w:rPr>
              <w:t>Form, Styrka</w:t>
            </w:r>
          </w:p>
        </w:tc>
        <w:tc>
          <w:tcPr>
            <w:tcW w:w="1344" w:type="pct"/>
          </w:tcPr>
          <w:p w14:paraId="0C28FA5E" w14:textId="77777777" w:rsidR="00702564" w:rsidRPr="001263B7" w:rsidRDefault="00702564" w:rsidP="00632FCC">
            <w:pPr>
              <w:rPr>
                <w:rFonts w:cs="Arial"/>
                <w:b/>
                <w:bCs/>
                <w:sz w:val="22"/>
                <w:szCs w:val="22"/>
              </w:rPr>
            </w:pPr>
            <w:r w:rsidRPr="001263B7">
              <w:rPr>
                <w:rFonts w:cs="Arial"/>
                <w:b/>
                <w:bCs/>
                <w:sz w:val="22"/>
                <w:szCs w:val="22"/>
              </w:rPr>
              <w:t>Indikation</w:t>
            </w:r>
          </w:p>
        </w:tc>
        <w:tc>
          <w:tcPr>
            <w:tcW w:w="1195" w:type="pct"/>
          </w:tcPr>
          <w:p w14:paraId="1B1993C2" w14:textId="77777777" w:rsidR="00702564" w:rsidRPr="001263B7" w:rsidRDefault="00702564" w:rsidP="00632FCC">
            <w:pPr>
              <w:rPr>
                <w:rFonts w:cs="Arial"/>
                <w:b/>
                <w:bCs/>
                <w:sz w:val="22"/>
                <w:szCs w:val="22"/>
              </w:rPr>
            </w:pPr>
            <w:r>
              <w:rPr>
                <w:rFonts w:cs="Arial"/>
                <w:b/>
                <w:bCs/>
                <w:sz w:val="22"/>
                <w:szCs w:val="22"/>
              </w:rPr>
              <w:t>Vanliga b</w:t>
            </w:r>
            <w:r w:rsidRPr="001263B7">
              <w:rPr>
                <w:rFonts w:cs="Arial"/>
                <w:b/>
                <w:bCs/>
                <w:sz w:val="22"/>
                <w:szCs w:val="22"/>
              </w:rPr>
              <w:t>iverkningar</w:t>
            </w:r>
          </w:p>
        </w:tc>
      </w:tr>
      <w:tr w:rsidR="00702564" w:rsidRPr="001263B7" w14:paraId="20A2649B" w14:textId="77777777" w:rsidTr="00632FCC">
        <w:trPr>
          <w:trHeight w:val="913"/>
        </w:trPr>
        <w:tc>
          <w:tcPr>
            <w:tcW w:w="1366" w:type="pct"/>
          </w:tcPr>
          <w:p w14:paraId="06536EFC" w14:textId="77777777" w:rsidR="00702564" w:rsidRPr="001263B7" w:rsidRDefault="00702564" w:rsidP="00632FCC">
            <w:pPr>
              <w:spacing w:before="20" w:after="20" w:line="240" w:lineRule="auto"/>
              <w:rPr>
                <w:rFonts w:cs="Arial"/>
                <w:sz w:val="22"/>
                <w:szCs w:val="22"/>
              </w:rPr>
            </w:pPr>
            <w:r w:rsidRPr="001263B7">
              <w:rPr>
                <w:rFonts w:cs="Arial"/>
                <w:b/>
                <w:bCs/>
                <w:sz w:val="22"/>
                <w:szCs w:val="22"/>
              </w:rPr>
              <w:t xml:space="preserve">meklozin </w:t>
            </w:r>
            <w:r w:rsidRPr="001263B7">
              <w:rPr>
                <w:rFonts w:cs="Arial"/>
                <w:sz w:val="22"/>
                <w:szCs w:val="22"/>
              </w:rPr>
              <w:t>(</w:t>
            </w:r>
            <w:r w:rsidRPr="001263B7">
              <w:rPr>
                <w:rFonts w:cs="Arial"/>
                <w:bCs/>
                <w:sz w:val="22"/>
                <w:szCs w:val="22"/>
              </w:rPr>
              <w:t>Postafen</w:t>
            </w:r>
            <w:r w:rsidRPr="001263B7">
              <w:rPr>
                <w:rFonts w:cs="Arial"/>
                <w:sz w:val="22"/>
                <w:szCs w:val="22"/>
              </w:rPr>
              <w:t>) antihistamin</w:t>
            </w:r>
          </w:p>
        </w:tc>
        <w:tc>
          <w:tcPr>
            <w:tcW w:w="1095" w:type="pct"/>
          </w:tcPr>
          <w:p w14:paraId="49D5606F" w14:textId="77777777" w:rsidR="00702564" w:rsidRPr="001263B7" w:rsidRDefault="00702564" w:rsidP="00632FCC">
            <w:pPr>
              <w:rPr>
                <w:rFonts w:cs="Arial"/>
                <w:sz w:val="22"/>
                <w:szCs w:val="22"/>
              </w:rPr>
            </w:pPr>
            <w:r w:rsidRPr="001263B7">
              <w:rPr>
                <w:rFonts w:cs="Arial"/>
                <w:sz w:val="22"/>
                <w:szCs w:val="22"/>
              </w:rPr>
              <w:t>Tablett 25 mg</w:t>
            </w:r>
          </w:p>
          <w:p w14:paraId="19E16695" w14:textId="77777777" w:rsidR="00702564" w:rsidRPr="001263B7" w:rsidRDefault="00702564" w:rsidP="00632FCC">
            <w:pPr>
              <w:rPr>
                <w:rFonts w:cs="Arial"/>
                <w:sz w:val="22"/>
                <w:szCs w:val="22"/>
              </w:rPr>
            </w:pPr>
          </w:p>
        </w:tc>
        <w:tc>
          <w:tcPr>
            <w:tcW w:w="1344" w:type="pct"/>
          </w:tcPr>
          <w:p w14:paraId="772916F3" w14:textId="77777777" w:rsidR="00702564" w:rsidRPr="001263B7" w:rsidRDefault="00702564" w:rsidP="00632FCC">
            <w:pPr>
              <w:rPr>
                <w:rFonts w:cs="Arial"/>
                <w:sz w:val="22"/>
                <w:szCs w:val="22"/>
              </w:rPr>
            </w:pPr>
            <w:r w:rsidRPr="001263B7">
              <w:rPr>
                <w:rFonts w:cs="Arial"/>
                <w:sz w:val="22"/>
                <w:szCs w:val="22"/>
              </w:rPr>
              <w:t xml:space="preserve">Postoperativt illamående, illamående vid rörelsesjuka och graviditet. </w:t>
            </w:r>
          </w:p>
        </w:tc>
        <w:tc>
          <w:tcPr>
            <w:tcW w:w="1195" w:type="pct"/>
          </w:tcPr>
          <w:p w14:paraId="7E626AA6" w14:textId="77777777" w:rsidR="00702564" w:rsidRPr="001263B7" w:rsidRDefault="00702564" w:rsidP="00632FCC">
            <w:pPr>
              <w:rPr>
                <w:rFonts w:cs="Arial"/>
                <w:sz w:val="22"/>
                <w:szCs w:val="22"/>
              </w:rPr>
            </w:pPr>
            <w:r w:rsidRPr="001263B7">
              <w:rPr>
                <w:rFonts w:cs="Arial"/>
                <w:sz w:val="22"/>
                <w:szCs w:val="22"/>
              </w:rPr>
              <w:t xml:space="preserve">Sedering, muntorrhet. Torrhet i svalg och näsa. </w:t>
            </w:r>
          </w:p>
        </w:tc>
      </w:tr>
      <w:tr w:rsidR="00702564" w:rsidRPr="001263B7" w14:paraId="70540ED0" w14:textId="77777777" w:rsidTr="00632FCC">
        <w:trPr>
          <w:trHeight w:val="1225"/>
        </w:trPr>
        <w:tc>
          <w:tcPr>
            <w:tcW w:w="1366" w:type="pct"/>
          </w:tcPr>
          <w:p w14:paraId="10FA635B" w14:textId="77777777" w:rsidR="00702564" w:rsidRPr="001263B7" w:rsidRDefault="00702564" w:rsidP="00632FCC">
            <w:pPr>
              <w:rPr>
                <w:rFonts w:cs="Arial"/>
                <w:sz w:val="22"/>
                <w:szCs w:val="22"/>
              </w:rPr>
            </w:pPr>
            <w:r w:rsidRPr="001263B7">
              <w:rPr>
                <w:rFonts w:cs="Arial"/>
                <w:b/>
                <w:bCs/>
                <w:sz w:val="22"/>
                <w:szCs w:val="22"/>
              </w:rPr>
              <w:t xml:space="preserve">metoklopramid </w:t>
            </w:r>
            <w:r w:rsidRPr="001263B7">
              <w:rPr>
                <w:rFonts w:cs="Arial"/>
                <w:sz w:val="22"/>
                <w:szCs w:val="22"/>
              </w:rPr>
              <w:t>dopaminreceptorantagonist</w:t>
            </w:r>
          </w:p>
          <w:p w14:paraId="70C253C0" w14:textId="77777777" w:rsidR="00702564" w:rsidRPr="001263B7" w:rsidRDefault="00702564" w:rsidP="00632FCC">
            <w:pPr>
              <w:rPr>
                <w:rFonts w:cs="Arial"/>
                <w:sz w:val="22"/>
                <w:szCs w:val="22"/>
              </w:rPr>
            </w:pPr>
            <w:r w:rsidRPr="001263B7">
              <w:rPr>
                <w:rFonts w:cs="Arial"/>
                <w:sz w:val="22"/>
                <w:szCs w:val="22"/>
              </w:rPr>
              <w:t>Obs! maxdos 10 mgx3</w:t>
            </w:r>
          </w:p>
        </w:tc>
        <w:tc>
          <w:tcPr>
            <w:tcW w:w="1095" w:type="pct"/>
          </w:tcPr>
          <w:p w14:paraId="6A13E7B5" w14:textId="77777777" w:rsidR="00702564" w:rsidRPr="001263B7" w:rsidRDefault="00702564" w:rsidP="00632FCC">
            <w:pPr>
              <w:rPr>
                <w:rFonts w:cs="Arial"/>
                <w:sz w:val="22"/>
                <w:szCs w:val="22"/>
              </w:rPr>
            </w:pPr>
            <w:r w:rsidRPr="001263B7">
              <w:rPr>
                <w:rFonts w:cs="Arial"/>
                <w:sz w:val="22"/>
                <w:szCs w:val="22"/>
              </w:rPr>
              <w:t>Tablett 10 mg</w:t>
            </w:r>
          </w:p>
        </w:tc>
        <w:tc>
          <w:tcPr>
            <w:tcW w:w="1344" w:type="pct"/>
          </w:tcPr>
          <w:p w14:paraId="18ACE771" w14:textId="77777777" w:rsidR="00702564" w:rsidRPr="001263B7" w:rsidRDefault="00702564" w:rsidP="00632FCC">
            <w:pPr>
              <w:rPr>
                <w:rFonts w:cs="Arial"/>
                <w:sz w:val="22"/>
                <w:szCs w:val="22"/>
              </w:rPr>
            </w:pPr>
            <w:r w:rsidRPr="001263B7">
              <w:rPr>
                <w:rFonts w:cs="Arial"/>
                <w:sz w:val="22"/>
                <w:szCs w:val="22"/>
              </w:rPr>
              <w:t>Nedsatt motilitet i gastrointestinalkanalen</w:t>
            </w:r>
          </w:p>
          <w:p w14:paraId="3C37A7FA" w14:textId="77777777" w:rsidR="00702564" w:rsidRPr="001263B7" w:rsidRDefault="00702564" w:rsidP="00632FCC">
            <w:pPr>
              <w:rPr>
                <w:rFonts w:cs="Arial"/>
                <w:sz w:val="22"/>
                <w:szCs w:val="22"/>
              </w:rPr>
            </w:pPr>
            <w:r w:rsidRPr="001263B7">
              <w:rPr>
                <w:rFonts w:cs="Arial"/>
                <w:sz w:val="22"/>
                <w:szCs w:val="22"/>
              </w:rPr>
              <w:t>Illamående vid akut migrän</w:t>
            </w:r>
          </w:p>
          <w:p w14:paraId="3E33F810" w14:textId="77777777" w:rsidR="00702564" w:rsidRPr="001263B7" w:rsidRDefault="00702564" w:rsidP="00632FCC">
            <w:pPr>
              <w:rPr>
                <w:rFonts w:cs="Arial"/>
                <w:sz w:val="22"/>
                <w:szCs w:val="22"/>
              </w:rPr>
            </w:pPr>
            <w:r w:rsidRPr="001263B7">
              <w:rPr>
                <w:rFonts w:cs="Arial"/>
                <w:sz w:val="22"/>
                <w:szCs w:val="22"/>
              </w:rPr>
              <w:t>Cytostatikakomplikation</w:t>
            </w:r>
          </w:p>
        </w:tc>
        <w:tc>
          <w:tcPr>
            <w:tcW w:w="1195" w:type="pct"/>
          </w:tcPr>
          <w:p w14:paraId="6AC05A46" w14:textId="77777777" w:rsidR="00702564" w:rsidRPr="001263B7" w:rsidRDefault="00702564" w:rsidP="00632FCC">
            <w:pPr>
              <w:rPr>
                <w:rFonts w:cs="Arial"/>
                <w:sz w:val="22"/>
                <w:szCs w:val="22"/>
              </w:rPr>
            </w:pPr>
            <w:r w:rsidRPr="001263B7">
              <w:rPr>
                <w:rFonts w:cs="Arial"/>
                <w:sz w:val="22"/>
                <w:szCs w:val="22"/>
              </w:rPr>
              <w:t>Extrapyramidala symptom. Ökad risk hos äldre/hög dos. Trötthet.</w:t>
            </w:r>
          </w:p>
        </w:tc>
      </w:tr>
      <w:tr w:rsidR="00702564" w:rsidRPr="001263B7" w14:paraId="4F9997DF" w14:textId="77777777" w:rsidTr="00632FCC">
        <w:trPr>
          <w:trHeight w:val="2441"/>
        </w:trPr>
        <w:tc>
          <w:tcPr>
            <w:tcW w:w="1366" w:type="pct"/>
          </w:tcPr>
          <w:p w14:paraId="63C9242B" w14:textId="77777777" w:rsidR="00702564" w:rsidRDefault="00702564" w:rsidP="00632FCC">
            <w:pPr>
              <w:rPr>
                <w:rFonts w:cs="Arial"/>
                <w:b/>
                <w:sz w:val="22"/>
                <w:szCs w:val="22"/>
              </w:rPr>
            </w:pPr>
            <w:r w:rsidRPr="001263B7">
              <w:rPr>
                <w:rFonts w:cs="Arial"/>
                <w:b/>
                <w:sz w:val="22"/>
                <w:szCs w:val="22"/>
              </w:rPr>
              <w:t>Ondansetron</w:t>
            </w:r>
          </w:p>
          <w:p w14:paraId="367D60F6" w14:textId="77777777" w:rsidR="00702564" w:rsidRPr="001263B7" w:rsidRDefault="00702564" w:rsidP="00632FCC">
            <w:pPr>
              <w:rPr>
                <w:rFonts w:cs="Arial"/>
                <w:b/>
                <w:sz w:val="22"/>
                <w:szCs w:val="22"/>
              </w:rPr>
            </w:pPr>
            <w:r w:rsidRPr="001263B7">
              <w:rPr>
                <w:rFonts w:cs="Arial"/>
                <w:sz w:val="22"/>
                <w:szCs w:val="22"/>
              </w:rPr>
              <w:t xml:space="preserve"> 5H</w:t>
            </w:r>
            <w:r w:rsidRPr="001263B7">
              <w:rPr>
                <w:rFonts w:cs="Arial"/>
                <w:sz w:val="22"/>
                <w:szCs w:val="22"/>
                <w:vertAlign w:val="subscript"/>
              </w:rPr>
              <w:t>3</w:t>
            </w:r>
            <w:r w:rsidRPr="001263B7">
              <w:rPr>
                <w:rFonts w:cs="Arial"/>
                <w:sz w:val="22"/>
                <w:szCs w:val="22"/>
              </w:rPr>
              <w:t>-receptorantagonist)</w:t>
            </w:r>
          </w:p>
          <w:p w14:paraId="02FD80F5" w14:textId="77777777" w:rsidR="00702564" w:rsidRPr="001263B7" w:rsidRDefault="00702564" w:rsidP="00632FCC">
            <w:pPr>
              <w:rPr>
                <w:rFonts w:cs="Arial"/>
                <w:sz w:val="22"/>
                <w:szCs w:val="22"/>
              </w:rPr>
            </w:pPr>
          </w:p>
          <w:p w14:paraId="5248E456" w14:textId="77777777" w:rsidR="00702564" w:rsidRPr="001263B7" w:rsidRDefault="00702564" w:rsidP="00632FCC">
            <w:pPr>
              <w:rPr>
                <w:rFonts w:cs="Arial"/>
                <w:sz w:val="22"/>
                <w:szCs w:val="22"/>
              </w:rPr>
            </w:pPr>
          </w:p>
        </w:tc>
        <w:tc>
          <w:tcPr>
            <w:tcW w:w="1095" w:type="pct"/>
          </w:tcPr>
          <w:p w14:paraId="516C8CF6" w14:textId="77777777" w:rsidR="00702564" w:rsidRPr="001263B7" w:rsidRDefault="00702564" w:rsidP="00632FCC">
            <w:pPr>
              <w:rPr>
                <w:rFonts w:cs="Arial"/>
                <w:sz w:val="22"/>
                <w:szCs w:val="22"/>
              </w:rPr>
            </w:pPr>
            <w:r w:rsidRPr="001263B7">
              <w:rPr>
                <w:rFonts w:cs="Arial"/>
                <w:sz w:val="22"/>
                <w:szCs w:val="22"/>
              </w:rPr>
              <w:t>Tablett 4 mg alt 8 mg</w:t>
            </w:r>
          </w:p>
        </w:tc>
        <w:tc>
          <w:tcPr>
            <w:tcW w:w="1344" w:type="pct"/>
          </w:tcPr>
          <w:p w14:paraId="4C68A26B" w14:textId="77777777" w:rsidR="00702564" w:rsidRPr="001263B7" w:rsidRDefault="00702564" w:rsidP="00632FCC">
            <w:pPr>
              <w:rPr>
                <w:rFonts w:cs="Arial"/>
                <w:sz w:val="22"/>
                <w:szCs w:val="22"/>
              </w:rPr>
            </w:pPr>
            <w:r w:rsidRPr="001263B7">
              <w:rPr>
                <w:rFonts w:cs="Arial"/>
                <w:sz w:val="22"/>
                <w:szCs w:val="22"/>
              </w:rPr>
              <w:t>Akut illamående (sämre vid fördröjt illamående) Cytostatikakomplikation postoperativt illamående</w:t>
            </w:r>
          </w:p>
          <w:p w14:paraId="652BAFAC" w14:textId="77777777" w:rsidR="00702564" w:rsidRPr="001263B7" w:rsidRDefault="00702564" w:rsidP="00632FCC">
            <w:pPr>
              <w:rPr>
                <w:rFonts w:cs="Arial"/>
                <w:sz w:val="22"/>
                <w:szCs w:val="22"/>
              </w:rPr>
            </w:pPr>
          </w:p>
          <w:p w14:paraId="57FF3A4A" w14:textId="77777777" w:rsidR="00702564" w:rsidRPr="001263B7" w:rsidRDefault="00702564" w:rsidP="00632FCC">
            <w:pPr>
              <w:rPr>
                <w:rFonts w:cs="Arial"/>
                <w:sz w:val="22"/>
                <w:szCs w:val="22"/>
              </w:rPr>
            </w:pPr>
            <w:r w:rsidRPr="001263B7">
              <w:rPr>
                <w:rFonts w:cs="Arial"/>
                <w:sz w:val="22"/>
                <w:szCs w:val="22"/>
              </w:rPr>
              <w:t>Kan med fördel kombineras med kortikosteroider vid cytostatikabehandling</w:t>
            </w:r>
          </w:p>
        </w:tc>
        <w:tc>
          <w:tcPr>
            <w:tcW w:w="1195" w:type="pct"/>
          </w:tcPr>
          <w:p w14:paraId="756C1CCB" w14:textId="77777777" w:rsidR="00702564" w:rsidRPr="001263B7" w:rsidRDefault="00702564" w:rsidP="00632FCC">
            <w:pPr>
              <w:rPr>
                <w:rFonts w:cs="Arial"/>
                <w:sz w:val="22"/>
                <w:szCs w:val="22"/>
              </w:rPr>
            </w:pPr>
            <w:r w:rsidRPr="001263B7">
              <w:rPr>
                <w:rFonts w:cs="Arial"/>
                <w:sz w:val="22"/>
                <w:szCs w:val="22"/>
              </w:rPr>
              <w:t>Obstipation, huvudvärk</w:t>
            </w:r>
          </w:p>
        </w:tc>
      </w:tr>
    </w:tbl>
    <w:p w14:paraId="5264373A" w14:textId="77777777" w:rsidR="00702564" w:rsidRPr="001263B7" w:rsidRDefault="00702564" w:rsidP="00702564">
      <w:pPr>
        <w:rPr>
          <w:sz w:val="24"/>
          <w:szCs w:val="28"/>
        </w:rPr>
      </w:pPr>
    </w:p>
    <w:p w14:paraId="69A79784" w14:textId="77777777" w:rsidR="00702564" w:rsidRDefault="00702564" w:rsidP="00702564">
      <w:pPr>
        <w:rPr>
          <w:sz w:val="24"/>
          <w:szCs w:val="24"/>
        </w:rPr>
      </w:pPr>
    </w:p>
    <w:p w14:paraId="5D6C8EEC" w14:textId="77777777" w:rsidR="00702564" w:rsidRDefault="00702564" w:rsidP="00702564">
      <w:pPr>
        <w:rPr>
          <w:sz w:val="24"/>
          <w:szCs w:val="24"/>
        </w:rPr>
      </w:pPr>
      <w:r w:rsidRPr="001263B7">
        <w:rPr>
          <w:sz w:val="24"/>
          <w:szCs w:val="24"/>
        </w:rPr>
        <w:t>Val av antiemetikum grundas på anamnes – möjligt orsakssamband (gastrointestinal störning/central eller perifer neurogen genes/läkemedelsbiverkan). Biverkningsprofilen bör beaktas inte minst vid behandling av äldre personer. Vid illamående vid graviditet kan i första hand Postafen och i andra hand Lergigan</w:t>
      </w:r>
      <w:r>
        <w:rPr>
          <w:sz w:val="24"/>
          <w:szCs w:val="24"/>
        </w:rPr>
        <w:t xml:space="preserve"> </w:t>
      </w:r>
      <w:r w:rsidRPr="001263B7">
        <w:rPr>
          <w:sz w:val="24"/>
          <w:szCs w:val="24"/>
        </w:rPr>
        <w:t>Comp användas.</w:t>
      </w:r>
    </w:p>
    <w:p w14:paraId="28B3EA1F" w14:textId="77777777" w:rsidR="00702564" w:rsidRDefault="00702564" w:rsidP="00702564">
      <w:pPr>
        <w:tabs>
          <w:tab w:val="clear" w:pos="284"/>
        </w:tabs>
        <w:spacing w:after="120" w:line="260" w:lineRule="atLeast"/>
        <w:rPr>
          <w:sz w:val="24"/>
          <w:szCs w:val="24"/>
        </w:rPr>
      </w:pPr>
      <w:r>
        <w:rPr>
          <w:sz w:val="24"/>
          <w:szCs w:val="24"/>
        </w:rPr>
        <w:br w:type="page"/>
      </w:r>
    </w:p>
    <w:p w14:paraId="192980CE" w14:textId="77777777" w:rsidR="00702564" w:rsidRDefault="00702564" w:rsidP="00702564">
      <w:pPr>
        <w:pStyle w:val="Rubrik2"/>
      </w:pPr>
      <w:r w:rsidRPr="004D5D27">
        <w:lastRenderedPageBreak/>
        <w:t>Förstoppning</w:t>
      </w:r>
    </w:p>
    <w:p w14:paraId="683F14A2" w14:textId="77777777" w:rsidR="00702564" w:rsidRDefault="00702564" w:rsidP="00702564">
      <w:pPr>
        <w:rPr>
          <w:spacing w:val="-3"/>
          <w:sz w:val="24"/>
          <w:szCs w:val="24"/>
        </w:rPr>
      </w:pPr>
      <w:r w:rsidRPr="001263B7">
        <w:rPr>
          <w:spacing w:val="-3"/>
          <w:sz w:val="24"/>
          <w:szCs w:val="24"/>
        </w:rPr>
        <w:t>Icke farmakologiska åtgärder inkluderar livsstilsförändringar såsom ökad fysisk aktivitet och ändrade kostvanor</w:t>
      </w:r>
      <w:r>
        <w:rPr>
          <w:spacing w:val="-3"/>
          <w:sz w:val="24"/>
          <w:szCs w:val="24"/>
        </w:rPr>
        <w:t xml:space="preserve"> och bör prövas innan och ska kvarstå under pågående farmakologisk behandling. </w:t>
      </w:r>
    </w:p>
    <w:p w14:paraId="570774B9" w14:textId="77777777" w:rsidR="00702564" w:rsidRPr="005949CC" w:rsidRDefault="00702564" w:rsidP="00702564">
      <w:pPr>
        <w:pStyle w:val="Rubrik3"/>
      </w:pPr>
      <w:r w:rsidRPr="005949CC">
        <w:t>Bulkmedel</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1263B7" w14:paraId="5BAA8673" w14:textId="77777777" w:rsidTr="00632FCC">
        <w:tc>
          <w:tcPr>
            <w:tcW w:w="4531" w:type="dxa"/>
          </w:tcPr>
          <w:p w14:paraId="5415D04C" w14:textId="77777777" w:rsidR="00702564" w:rsidRPr="008D19BA" w:rsidRDefault="00702564" w:rsidP="00632FCC">
            <w:pPr>
              <w:rPr>
                <w:rFonts w:eastAsia="Arial" w:cs="Arial"/>
                <w:b/>
                <w:bCs/>
                <w:sz w:val="24"/>
                <w:szCs w:val="28"/>
              </w:rPr>
            </w:pPr>
            <w:r>
              <w:rPr>
                <w:rFonts w:eastAsia="Arial" w:cs="Arial"/>
                <w:b/>
                <w:bCs/>
                <w:sz w:val="24"/>
                <w:szCs w:val="28"/>
              </w:rPr>
              <w:t>isphagula</w:t>
            </w:r>
          </w:p>
        </w:tc>
        <w:tc>
          <w:tcPr>
            <w:tcW w:w="4531" w:type="dxa"/>
          </w:tcPr>
          <w:p w14:paraId="63E4CD72" w14:textId="77777777" w:rsidR="00702564" w:rsidRPr="001263B7" w:rsidRDefault="00702564" w:rsidP="00632FCC">
            <w:pPr>
              <w:rPr>
                <w:rFonts w:eastAsia="Arial" w:cs="Arial"/>
                <w:sz w:val="24"/>
                <w:szCs w:val="28"/>
              </w:rPr>
            </w:pPr>
            <w:r w:rsidRPr="001263B7">
              <w:rPr>
                <w:rFonts w:eastAsia="Garamond" w:cs="Garamond"/>
                <w:sz w:val="24"/>
                <w:szCs w:val="28"/>
              </w:rPr>
              <w:t>V</w:t>
            </w:r>
            <w:r w:rsidRPr="001263B7">
              <w:rPr>
                <w:rFonts w:eastAsia="Garamond" w:cs="Garamond"/>
                <w:spacing w:val="-1"/>
                <w:sz w:val="24"/>
                <w:szCs w:val="28"/>
              </w:rPr>
              <w:t>i-S</w:t>
            </w:r>
            <w:r w:rsidRPr="001263B7">
              <w:rPr>
                <w:rFonts w:eastAsia="Garamond" w:cs="Garamond"/>
                <w:spacing w:val="-3"/>
                <w:sz w:val="24"/>
                <w:szCs w:val="28"/>
              </w:rPr>
              <w:t>i</w:t>
            </w:r>
            <w:r w:rsidRPr="001263B7">
              <w:rPr>
                <w:rFonts w:eastAsia="Garamond" w:cs="Garamond"/>
                <w:spacing w:val="-1"/>
                <w:sz w:val="24"/>
                <w:szCs w:val="28"/>
              </w:rPr>
              <w:t>b</w:t>
            </w:r>
            <w:r w:rsidRPr="001263B7">
              <w:rPr>
                <w:rFonts w:eastAsia="Garamond" w:cs="Garamond"/>
                <w:sz w:val="24"/>
                <w:szCs w:val="28"/>
              </w:rPr>
              <w:t>l</w:t>
            </w:r>
            <w:r w:rsidRPr="001263B7">
              <w:rPr>
                <w:rFonts w:eastAsia="Garamond" w:cs="Garamond"/>
                <w:spacing w:val="-1"/>
                <w:sz w:val="24"/>
                <w:szCs w:val="28"/>
              </w:rPr>
              <w:t>i</w:t>
            </w:r>
            <w:r w:rsidRPr="001263B7">
              <w:rPr>
                <w:rFonts w:eastAsia="Garamond" w:cs="Garamond"/>
                <w:sz w:val="24"/>
                <w:szCs w:val="28"/>
              </w:rPr>
              <w:t>n</w:t>
            </w:r>
            <w:r w:rsidRPr="001263B7">
              <w:rPr>
                <w:rFonts w:eastAsia="Garamond" w:cs="Garamond"/>
                <w:spacing w:val="-9"/>
                <w:sz w:val="24"/>
                <w:szCs w:val="28"/>
              </w:rPr>
              <w:t xml:space="preserve"> </w:t>
            </w:r>
            <w:r>
              <w:rPr>
                <w:rFonts w:eastAsia="Garamond" w:cs="Garamond"/>
                <w:spacing w:val="-9"/>
                <w:sz w:val="24"/>
                <w:szCs w:val="28"/>
              </w:rPr>
              <w:t>(</w:t>
            </w:r>
            <w:r w:rsidRPr="001263B7">
              <w:rPr>
                <w:rFonts w:eastAsia="Garamond" w:cs="Garamond"/>
                <w:sz w:val="24"/>
                <w:szCs w:val="28"/>
              </w:rPr>
              <w:t>S</w:t>
            </w:r>
            <w:r>
              <w:rPr>
                <w:rFonts w:eastAsia="Garamond" w:cs="Garamond"/>
                <w:sz w:val="24"/>
                <w:szCs w:val="28"/>
              </w:rPr>
              <w:t>)</w:t>
            </w:r>
          </w:p>
        </w:tc>
      </w:tr>
      <w:tr w:rsidR="00702564" w:rsidRPr="001263B7" w14:paraId="6CA94E95" w14:textId="77777777" w:rsidTr="00632FCC">
        <w:tc>
          <w:tcPr>
            <w:tcW w:w="4531" w:type="dxa"/>
          </w:tcPr>
          <w:p w14:paraId="37F4C32B" w14:textId="77777777" w:rsidR="00702564" w:rsidRPr="008D19BA" w:rsidRDefault="00702564" w:rsidP="00632FCC">
            <w:pPr>
              <w:rPr>
                <w:rFonts w:eastAsia="Arial" w:cs="Arial"/>
                <w:b/>
                <w:bCs/>
                <w:sz w:val="24"/>
                <w:szCs w:val="28"/>
              </w:rPr>
            </w:pPr>
            <w:r w:rsidRPr="008D19BA">
              <w:rPr>
                <w:rFonts w:eastAsia="Arial" w:cs="Arial"/>
                <w:b/>
                <w:bCs/>
                <w:sz w:val="24"/>
                <w:szCs w:val="28"/>
              </w:rPr>
              <w:t>sterkuliagummi</w:t>
            </w:r>
          </w:p>
        </w:tc>
        <w:tc>
          <w:tcPr>
            <w:tcW w:w="4531" w:type="dxa"/>
          </w:tcPr>
          <w:p w14:paraId="43F016D9" w14:textId="77777777" w:rsidR="00702564" w:rsidRPr="001263B7" w:rsidRDefault="00702564" w:rsidP="00632FCC">
            <w:pPr>
              <w:rPr>
                <w:rFonts w:eastAsia="Arial" w:cs="Arial"/>
                <w:sz w:val="24"/>
                <w:szCs w:val="28"/>
              </w:rPr>
            </w:pPr>
            <w:r w:rsidRPr="001263B7">
              <w:rPr>
                <w:rFonts w:eastAsia="Garamond" w:cs="Garamond"/>
                <w:sz w:val="24"/>
                <w:szCs w:val="28"/>
              </w:rPr>
              <w:t>I</w:t>
            </w:r>
            <w:r w:rsidRPr="001263B7">
              <w:rPr>
                <w:rFonts w:eastAsia="Garamond" w:cs="Garamond"/>
                <w:spacing w:val="-1"/>
                <w:sz w:val="24"/>
                <w:szCs w:val="28"/>
              </w:rPr>
              <w:t>nol</w:t>
            </w:r>
            <w:r w:rsidRPr="001263B7">
              <w:rPr>
                <w:rFonts w:eastAsia="Garamond" w:cs="Garamond"/>
                <w:spacing w:val="-3"/>
                <w:sz w:val="24"/>
                <w:szCs w:val="28"/>
              </w:rPr>
              <w:t>a</w:t>
            </w:r>
            <w:r w:rsidRPr="001263B7">
              <w:rPr>
                <w:rFonts w:eastAsia="Garamond" w:cs="Garamond"/>
                <w:spacing w:val="-5"/>
                <w:sz w:val="24"/>
                <w:szCs w:val="28"/>
              </w:rPr>
              <w:t>x</w:t>
            </w:r>
            <w:r w:rsidRPr="001263B7">
              <w:rPr>
                <w:rFonts w:eastAsia="Garamond" w:cs="Garamond"/>
                <w:spacing w:val="-1"/>
                <w:sz w:val="24"/>
                <w:szCs w:val="28"/>
              </w:rPr>
              <w:t>o</w:t>
            </w:r>
            <w:r w:rsidRPr="001263B7">
              <w:rPr>
                <w:rFonts w:eastAsia="Garamond" w:cs="Garamond"/>
                <w:sz w:val="24"/>
                <w:szCs w:val="28"/>
              </w:rPr>
              <w:t>l</w:t>
            </w:r>
            <w:r>
              <w:rPr>
                <w:rFonts w:eastAsia="Garamond" w:cs="Garamond"/>
                <w:sz w:val="24"/>
                <w:szCs w:val="28"/>
              </w:rPr>
              <w:t xml:space="preserve"> (granulat)</w:t>
            </w:r>
          </w:p>
        </w:tc>
      </w:tr>
    </w:tbl>
    <w:p w14:paraId="36389C78" w14:textId="77777777" w:rsidR="00702564" w:rsidRPr="0071138D" w:rsidRDefault="00702564" w:rsidP="00702564">
      <w:pPr>
        <w:rPr>
          <w:szCs w:val="24"/>
        </w:rPr>
      </w:pPr>
    </w:p>
    <w:p w14:paraId="34D788A0" w14:textId="77777777" w:rsidR="00702564" w:rsidRDefault="00702564" w:rsidP="00702564">
      <w:pPr>
        <w:rPr>
          <w:spacing w:val="-18"/>
          <w:sz w:val="24"/>
          <w:szCs w:val="24"/>
        </w:rPr>
      </w:pPr>
      <w:r w:rsidRPr="001263B7">
        <w:rPr>
          <w:spacing w:val="-1"/>
          <w:sz w:val="24"/>
          <w:szCs w:val="24"/>
        </w:rPr>
        <w:t>N</w:t>
      </w:r>
      <w:r w:rsidRPr="001263B7">
        <w:rPr>
          <w:sz w:val="24"/>
          <w:szCs w:val="24"/>
        </w:rPr>
        <w:t>ogg</w:t>
      </w:r>
      <w:r w:rsidRPr="001263B7">
        <w:rPr>
          <w:spacing w:val="-1"/>
          <w:sz w:val="24"/>
          <w:szCs w:val="24"/>
        </w:rPr>
        <w:t>r</w:t>
      </w:r>
      <w:r w:rsidRPr="001263B7">
        <w:rPr>
          <w:sz w:val="24"/>
          <w:szCs w:val="24"/>
        </w:rPr>
        <w:t>ann</w:t>
      </w:r>
      <w:r w:rsidRPr="001263B7">
        <w:rPr>
          <w:spacing w:val="-14"/>
          <w:sz w:val="24"/>
          <w:szCs w:val="24"/>
        </w:rPr>
        <w:t xml:space="preserve"> </w:t>
      </w:r>
      <w:r w:rsidRPr="001263B7">
        <w:rPr>
          <w:spacing w:val="-2"/>
          <w:sz w:val="24"/>
          <w:szCs w:val="24"/>
        </w:rPr>
        <w:t>a</w:t>
      </w:r>
      <w:r w:rsidRPr="001263B7">
        <w:rPr>
          <w:spacing w:val="-1"/>
          <w:sz w:val="24"/>
          <w:szCs w:val="24"/>
        </w:rPr>
        <w:t>n</w:t>
      </w:r>
      <w:r w:rsidRPr="001263B7">
        <w:rPr>
          <w:spacing w:val="-2"/>
          <w:sz w:val="24"/>
          <w:szCs w:val="24"/>
        </w:rPr>
        <w:t>a</w:t>
      </w:r>
      <w:r w:rsidRPr="001263B7">
        <w:rPr>
          <w:spacing w:val="-3"/>
          <w:sz w:val="24"/>
          <w:szCs w:val="24"/>
        </w:rPr>
        <w:t>mn</w:t>
      </w:r>
      <w:r w:rsidRPr="001263B7">
        <w:rPr>
          <w:sz w:val="24"/>
          <w:szCs w:val="24"/>
        </w:rPr>
        <w:t>es</w:t>
      </w:r>
      <w:r w:rsidRPr="001263B7">
        <w:rPr>
          <w:spacing w:val="-13"/>
          <w:sz w:val="24"/>
          <w:szCs w:val="24"/>
        </w:rPr>
        <w:t xml:space="preserve"> </w:t>
      </w:r>
      <w:r w:rsidRPr="001263B7">
        <w:rPr>
          <w:sz w:val="24"/>
          <w:szCs w:val="24"/>
        </w:rPr>
        <w:t>ger</w:t>
      </w:r>
      <w:r w:rsidRPr="001263B7">
        <w:rPr>
          <w:spacing w:val="-13"/>
          <w:sz w:val="24"/>
          <w:szCs w:val="24"/>
        </w:rPr>
        <w:t xml:space="preserve"> </w:t>
      </w:r>
      <w:r w:rsidRPr="001263B7">
        <w:rPr>
          <w:spacing w:val="-1"/>
          <w:sz w:val="24"/>
          <w:szCs w:val="24"/>
        </w:rPr>
        <w:t>o</w:t>
      </w:r>
      <w:r w:rsidRPr="001263B7">
        <w:rPr>
          <w:spacing w:val="-14"/>
          <w:sz w:val="24"/>
          <w:szCs w:val="24"/>
        </w:rPr>
        <w:t>f</w:t>
      </w:r>
      <w:r w:rsidRPr="001263B7">
        <w:rPr>
          <w:spacing w:val="-3"/>
          <w:sz w:val="24"/>
          <w:szCs w:val="24"/>
        </w:rPr>
        <w:t>t</w:t>
      </w:r>
      <w:r w:rsidRPr="001263B7">
        <w:rPr>
          <w:sz w:val="24"/>
          <w:szCs w:val="24"/>
        </w:rPr>
        <w:t>a</w:t>
      </w:r>
      <w:r w:rsidRPr="001263B7">
        <w:rPr>
          <w:spacing w:val="-10"/>
          <w:sz w:val="24"/>
          <w:szCs w:val="24"/>
        </w:rPr>
        <w:t xml:space="preserve"> </w:t>
      </w:r>
      <w:r w:rsidRPr="001263B7">
        <w:rPr>
          <w:sz w:val="24"/>
          <w:szCs w:val="24"/>
        </w:rPr>
        <w:t>en</w:t>
      </w:r>
      <w:r w:rsidRPr="001263B7">
        <w:rPr>
          <w:spacing w:val="-10"/>
          <w:sz w:val="24"/>
          <w:szCs w:val="24"/>
        </w:rPr>
        <w:t xml:space="preserve"> </w:t>
      </w:r>
      <w:r w:rsidRPr="001263B7">
        <w:rPr>
          <w:spacing w:val="-1"/>
          <w:sz w:val="24"/>
          <w:szCs w:val="24"/>
        </w:rPr>
        <w:t>mo</w:t>
      </w:r>
      <w:r w:rsidRPr="001263B7">
        <w:rPr>
          <w:sz w:val="24"/>
          <w:szCs w:val="24"/>
        </w:rPr>
        <w:t>d</w:t>
      </w:r>
      <w:r w:rsidRPr="001263B7">
        <w:rPr>
          <w:spacing w:val="-3"/>
          <w:sz w:val="24"/>
          <w:szCs w:val="24"/>
        </w:rPr>
        <w:t>i</w:t>
      </w:r>
      <w:r w:rsidRPr="001263B7">
        <w:rPr>
          <w:spacing w:val="-7"/>
          <w:sz w:val="24"/>
          <w:szCs w:val="24"/>
        </w:rPr>
        <w:t>f</w:t>
      </w:r>
      <w:r w:rsidRPr="001263B7">
        <w:rPr>
          <w:sz w:val="24"/>
          <w:szCs w:val="24"/>
        </w:rPr>
        <w:t>ie</w:t>
      </w:r>
      <w:r w:rsidRPr="001263B7">
        <w:rPr>
          <w:spacing w:val="-4"/>
          <w:sz w:val="24"/>
          <w:szCs w:val="24"/>
        </w:rPr>
        <w:t>r</w:t>
      </w:r>
      <w:r w:rsidRPr="001263B7">
        <w:rPr>
          <w:sz w:val="24"/>
          <w:szCs w:val="24"/>
        </w:rPr>
        <w:t>ad</w:t>
      </w:r>
      <w:r w:rsidRPr="001263B7">
        <w:rPr>
          <w:spacing w:val="-14"/>
          <w:sz w:val="24"/>
          <w:szCs w:val="24"/>
        </w:rPr>
        <w:t xml:space="preserve"> </w:t>
      </w:r>
      <w:r w:rsidRPr="001263B7">
        <w:rPr>
          <w:spacing w:val="-1"/>
          <w:sz w:val="24"/>
          <w:szCs w:val="24"/>
        </w:rPr>
        <w:t>b</w:t>
      </w:r>
      <w:r w:rsidRPr="001263B7">
        <w:rPr>
          <w:sz w:val="24"/>
          <w:szCs w:val="24"/>
        </w:rPr>
        <w:t>ild</w:t>
      </w:r>
      <w:r w:rsidRPr="001263B7">
        <w:rPr>
          <w:spacing w:val="-12"/>
          <w:sz w:val="24"/>
          <w:szCs w:val="24"/>
        </w:rPr>
        <w:t xml:space="preserve"> </w:t>
      </w:r>
      <w:r w:rsidRPr="001263B7">
        <w:rPr>
          <w:sz w:val="24"/>
          <w:szCs w:val="24"/>
        </w:rPr>
        <w:t>av</w:t>
      </w:r>
      <w:r w:rsidRPr="001263B7">
        <w:rPr>
          <w:spacing w:val="-12"/>
          <w:sz w:val="24"/>
          <w:szCs w:val="24"/>
        </w:rPr>
        <w:t xml:space="preserve"> </w:t>
      </w:r>
      <w:r w:rsidRPr="001263B7">
        <w:rPr>
          <w:spacing w:val="-8"/>
          <w:sz w:val="24"/>
          <w:szCs w:val="24"/>
        </w:rPr>
        <w:t>p</w:t>
      </w:r>
      <w:r w:rsidRPr="001263B7">
        <w:rPr>
          <w:spacing w:val="-4"/>
          <w:sz w:val="24"/>
          <w:szCs w:val="24"/>
        </w:rPr>
        <w:t>a</w:t>
      </w:r>
      <w:r w:rsidRPr="001263B7">
        <w:rPr>
          <w:spacing w:val="-3"/>
          <w:sz w:val="24"/>
          <w:szCs w:val="24"/>
        </w:rPr>
        <w:t>t</w:t>
      </w:r>
      <w:r w:rsidRPr="001263B7">
        <w:rPr>
          <w:sz w:val="24"/>
          <w:szCs w:val="24"/>
        </w:rPr>
        <w:t>ie</w:t>
      </w:r>
      <w:r w:rsidRPr="001263B7">
        <w:rPr>
          <w:spacing w:val="-1"/>
          <w:sz w:val="24"/>
          <w:szCs w:val="24"/>
        </w:rPr>
        <w:t>n</w:t>
      </w:r>
      <w:r w:rsidRPr="001263B7">
        <w:rPr>
          <w:spacing w:val="-9"/>
          <w:sz w:val="24"/>
          <w:szCs w:val="24"/>
        </w:rPr>
        <w:t>t</w:t>
      </w:r>
      <w:r w:rsidRPr="001263B7">
        <w:rPr>
          <w:sz w:val="24"/>
          <w:szCs w:val="24"/>
        </w:rPr>
        <w:t>ens</w:t>
      </w:r>
      <w:r w:rsidRPr="001263B7">
        <w:rPr>
          <w:spacing w:val="-10"/>
          <w:sz w:val="24"/>
          <w:szCs w:val="24"/>
        </w:rPr>
        <w:t xml:space="preserve"> </w:t>
      </w:r>
      <w:r w:rsidRPr="001263B7">
        <w:rPr>
          <w:sz w:val="24"/>
          <w:szCs w:val="24"/>
        </w:rPr>
        <w:t>u</w:t>
      </w:r>
      <w:r w:rsidRPr="001263B7">
        <w:rPr>
          <w:spacing w:val="-3"/>
          <w:sz w:val="24"/>
          <w:szCs w:val="24"/>
        </w:rPr>
        <w:t>p</w:t>
      </w:r>
      <w:r w:rsidRPr="001263B7">
        <w:rPr>
          <w:spacing w:val="-1"/>
          <w:sz w:val="24"/>
          <w:szCs w:val="24"/>
        </w:rPr>
        <w:t>pf</w:t>
      </w:r>
      <w:r w:rsidRPr="001263B7">
        <w:rPr>
          <w:spacing w:val="-4"/>
          <w:sz w:val="24"/>
          <w:szCs w:val="24"/>
        </w:rPr>
        <w:t>a</w:t>
      </w:r>
      <w:r w:rsidRPr="001263B7">
        <w:rPr>
          <w:spacing w:val="-1"/>
          <w:sz w:val="24"/>
          <w:szCs w:val="24"/>
        </w:rPr>
        <w:t>tt</w:t>
      </w:r>
      <w:r w:rsidRPr="001263B7">
        <w:rPr>
          <w:sz w:val="24"/>
          <w:szCs w:val="24"/>
        </w:rPr>
        <w:t>ning</w:t>
      </w:r>
      <w:r w:rsidRPr="001263B7">
        <w:rPr>
          <w:spacing w:val="-9"/>
          <w:sz w:val="24"/>
          <w:szCs w:val="24"/>
        </w:rPr>
        <w:t xml:space="preserve"> </w:t>
      </w:r>
      <w:r w:rsidRPr="001263B7">
        <w:rPr>
          <w:sz w:val="24"/>
          <w:szCs w:val="24"/>
        </w:rPr>
        <w:t>om</w:t>
      </w:r>
      <w:r w:rsidRPr="001263B7">
        <w:rPr>
          <w:spacing w:val="-15"/>
          <w:sz w:val="24"/>
          <w:szCs w:val="24"/>
        </w:rPr>
        <w:t xml:space="preserve"> </w:t>
      </w:r>
      <w:r w:rsidRPr="001263B7">
        <w:rPr>
          <w:spacing w:val="-7"/>
          <w:sz w:val="24"/>
          <w:szCs w:val="24"/>
        </w:rPr>
        <w:t>s</w:t>
      </w:r>
      <w:r w:rsidRPr="001263B7">
        <w:rPr>
          <w:spacing w:val="-3"/>
          <w:sz w:val="24"/>
          <w:szCs w:val="24"/>
        </w:rPr>
        <w:t>i</w:t>
      </w:r>
      <w:r w:rsidRPr="001263B7">
        <w:rPr>
          <w:sz w:val="24"/>
          <w:szCs w:val="24"/>
        </w:rPr>
        <w:t>n</w:t>
      </w:r>
      <w:r w:rsidRPr="001263B7">
        <w:rPr>
          <w:spacing w:val="-15"/>
          <w:sz w:val="24"/>
          <w:szCs w:val="24"/>
        </w:rPr>
        <w:t xml:space="preserve"> </w:t>
      </w:r>
      <w:r w:rsidRPr="001263B7">
        <w:rPr>
          <w:spacing w:val="-1"/>
          <w:sz w:val="24"/>
          <w:szCs w:val="24"/>
        </w:rPr>
        <w:t>pr</w:t>
      </w:r>
      <w:r w:rsidRPr="001263B7">
        <w:rPr>
          <w:sz w:val="24"/>
          <w:szCs w:val="24"/>
        </w:rPr>
        <w:t>oblem</w:t>
      </w:r>
      <w:r w:rsidRPr="001263B7">
        <w:rPr>
          <w:spacing w:val="1"/>
          <w:sz w:val="24"/>
          <w:szCs w:val="24"/>
        </w:rPr>
        <w:t>a</w:t>
      </w:r>
      <w:r w:rsidRPr="001263B7">
        <w:rPr>
          <w:spacing w:val="-1"/>
          <w:sz w:val="24"/>
          <w:szCs w:val="24"/>
        </w:rPr>
        <w:t>t</w:t>
      </w:r>
      <w:r w:rsidRPr="001263B7">
        <w:rPr>
          <w:spacing w:val="-3"/>
          <w:sz w:val="24"/>
          <w:szCs w:val="24"/>
        </w:rPr>
        <w:t>i</w:t>
      </w:r>
      <w:r w:rsidRPr="001263B7">
        <w:rPr>
          <w:spacing w:val="-7"/>
          <w:sz w:val="24"/>
          <w:szCs w:val="24"/>
        </w:rPr>
        <w:t>s</w:t>
      </w:r>
      <w:r w:rsidRPr="001263B7">
        <w:rPr>
          <w:spacing w:val="-3"/>
          <w:sz w:val="24"/>
          <w:szCs w:val="24"/>
        </w:rPr>
        <w:t>k</w:t>
      </w:r>
      <w:r w:rsidRPr="001263B7">
        <w:rPr>
          <w:sz w:val="24"/>
          <w:szCs w:val="24"/>
        </w:rPr>
        <w:t xml:space="preserve">a </w:t>
      </w:r>
      <w:r w:rsidRPr="001263B7">
        <w:rPr>
          <w:spacing w:val="-1"/>
          <w:sz w:val="24"/>
          <w:szCs w:val="24"/>
        </w:rPr>
        <w:t>t</w:t>
      </w:r>
      <w:r w:rsidRPr="001263B7">
        <w:rPr>
          <w:sz w:val="24"/>
          <w:szCs w:val="24"/>
        </w:rPr>
        <w:t>a</w:t>
      </w:r>
      <w:r w:rsidRPr="001263B7">
        <w:rPr>
          <w:spacing w:val="-1"/>
          <w:sz w:val="24"/>
          <w:szCs w:val="24"/>
        </w:rPr>
        <w:t>r</w:t>
      </w:r>
      <w:r w:rsidRPr="001263B7">
        <w:rPr>
          <w:spacing w:val="-3"/>
          <w:sz w:val="24"/>
          <w:szCs w:val="24"/>
        </w:rPr>
        <w:t>m</w:t>
      </w:r>
      <w:r w:rsidRPr="001263B7">
        <w:rPr>
          <w:spacing w:val="-1"/>
          <w:sz w:val="24"/>
          <w:szCs w:val="24"/>
        </w:rPr>
        <w:t>f</w:t>
      </w:r>
      <w:r w:rsidRPr="001263B7">
        <w:rPr>
          <w:spacing w:val="-9"/>
          <w:sz w:val="24"/>
          <w:szCs w:val="24"/>
        </w:rPr>
        <w:t>u</w:t>
      </w:r>
      <w:r w:rsidRPr="001263B7">
        <w:rPr>
          <w:spacing w:val="-1"/>
          <w:sz w:val="24"/>
          <w:szCs w:val="24"/>
        </w:rPr>
        <w:t>n</w:t>
      </w:r>
      <w:r w:rsidRPr="001263B7">
        <w:rPr>
          <w:sz w:val="24"/>
          <w:szCs w:val="24"/>
        </w:rPr>
        <w:t>k</w:t>
      </w:r>
      <w:r w:rsidRPr="001263B7">
        <w:rPr>
          <w:spacing w:val="-1"/>
          <w:sz w:val="24"/>
          <w:szCs w:val="24"/>
        </w:rPr>
        <w:t>t</w:t>
      </w:r>
      <w:r w:rsidRPr="001263B7">
        <w:rPr>
          <w:spacing w:val="-3"/>
          <w:sz w:val="24"/>
          <w:szCs w:val="24"/>
        </w:rPr>
        <w:t>ion</w:t>
      </w:r>
      <w:r w:rsidRPr="001263B7">
        <w:rPr>
          <w:sz w:val="24"/>
          <w:szCs w:val="24"/>
        </w:rPr>
        <w:t>.</w:t>
      </w:r>
      <w:r w:rsidRPr="001263B7">
        <w:rPr>
          <w:spacing w:val="-15"/>
          <w:sz w:val="24"/>
          <w:szCs w:val="24"/>
        </w:rPr>
        <w:t xml:space="preserve"> </w:t>
      </w:r>
      <w:r w:rsidRPr="001263B7">
        <w:rPr>
          <w:sz w:val="24"/>
          <w:szCs w:val="24"/>
        </w:rPr>
        <w:t>V</w:t>
      </w:r>
      <w:r w:rsidRPr="001263B7">
        <w:rPr>
          <w:spacing w:val="-4"/>
          <w:sz w:val="24"/>
          <w:szCs w:val="24"/>
        </w:rPr>
        <w:t>a</w:t>
      </w:r>
      <w:r w:rsidRPr="001263B7">
        <w:rPr>
          <w:spacing w:val="-1"/>
          <w:sz w:val="24"/>
          <w:szCs w:val="24"/>
        </w:rPr>
        <w:t>n</w:t>
      </w:r>
      <w:r w:rsidRPr="001263B7">
        <w:rPr>
          <w:sz w:val="24"/>
          <w:szCs w:val="24"/>
        </w:rPr>
        <w:t>l</w:t>
      </w:r>
      <w:r w:rsidRPr="001263B7">
        <w:rPr>
          <w:spacing w:val="-2"/>
          <w:sz w:val="24"/>
          <w:szCs w:val="24"/>
        </w:rPr>
        <w:t>i</w:t>
      </w:r>
      <w:r w:rsidRPr="001263B7">
        <w:rPr>
          <w:sz w:val="24"/>
          <w:szCs w:val="24"/>
        </w:rPr>
        <w:t>g</w:t>
      </w:r>
      <w:r w:rsidRPr="001263B7">
        <w:rPr>
          <w:spacing w:val="-13"/>
          <w:sz w:val="24"/>
          <w:szCs w:val="24"/>
        </w:rPr>
        <w:t xml:space="preserve"> </w:t>
      </w:r>
      <w:r w:rsidRPr="001263B7">
        <w:rPr>
          <w:spacing w:val="-7"/>
          <w:sz w:val="24"/>
          <w:szCs w:val="24"/>
        </w:rPr>
        <w:t>m</w:t>
      </w:r>
      <w:r w:rsidRPr="001263B7">
        <w:rPr>
          <w:sz w:val="24"/>
          <w:szCs w:val="24"/>
        </w:rPr>
        <w:t>e</w:t>
      </w:r>
      <w:r w:rsidRPr="001263B7">
        <w:rPr>
          <w:spacing w:val="-3"/>
          <w:sz w:val="24"/>
          <w:szCs w:val="24"/>
        </w:rPr>
        <w:t>d</w:t>
      </w:r>
      <w:r w:rsidRPr="001263B7">
        <w:rPr>
          <w:spacing w:val="-7"/>
          <w:sz w:val="24"/>
          <w:szCs w:val="24"/>
        </w:rPr>
        <w:t>i</w:t>
      </w:r>
      <w:r w:rsidRPr="001263B7">
        <w:rPr>
          <w:sz w:val="24"/>
          <w:szCs w:val="24"/>
        </w:rPr>
        <w:t>ci</w:t>
      </w:r>
      <w:r w:rsidRPr="001263B7">
        <w:rPr>
          <w:spacing w:val="-1"/>
          <w:sz w:val="24"/>
          <w:szCs w:val="24"/>
        </w:rPr>
        <w:t>n</w:t>
      </w:r>
      <w:r w:rsidRPr="001263B7">
        <w:rPr>
          <w:spacing w:val="-10"/>
          <w:sz w:val="24"/>
          <w:szCs w:val="24"/>
        </w:rPr>
        <w:t>s</w:t>
      </w:r>
      <w:r w:rsidRPr="001263B7">
        <w:rPr>
          <w:sz w:val="24"/>
          <w:szCs w:val="24"/>
        </w:rPr>
        <w:t>k</w:t>
      </w:r>
      <w:r w:rsidRPr="001263B7">
        <w:rPr>
          <w:spacing w:val="-10"/>
          <w:sz w:val="24"/>
          <w:szCs w:val="24"/>
        </w:rPr>
        <w:t xml:space="preserve"> </w:t>
      </w:r>
      <w:r w:rsidRPr="001263B7">
        <w:rPr>
          <w:sz w:val="24"/>
          <w:szCs w:val="24"/>
        </w:rPr>
        <w:t>de</w:t>
      </w:r>
      <w:r w:rsidRPr="001263B7">
        <w:rPr>
          <w:spacing w:val="-1"/>
          <w:sz w:val="24"/>
          <w:szCs w:val="24"/>
        </w:rPr>
        <w:t>f</w:t>
      </w:r>
      <w:r w:rsidRPr="001263B7">
        <w:rPr>
          <w:spacing w:val="-5"/>
          <w:sz w:val="24"/>
          <w:szCs w:val="24"/>
        </w:rPr>
        <w:t>i</w:t>
      </w:r>
      <w:r w:rsidRPr="001263B7">
        <w:rPr>
          <w:spacing w:val="-1"/>
          <w:sz w:val="24"/>
          <w:szCs w:val="24"/>
        </w:rPr>
        <w:t>n</w:t>
      </w:r>
      <w:r w:rsidRPr="001263B7">
        <w:rPr>
          <w:spacing w:val="-3"/>
          <w:sz w:val="24"/>
          <w:szCs w:val="24"/>
        </w:rPr>
        <w:t>i</w:t>
      </w:r>
      <w:r w:rsidRPr="001263B7">
        <w:rPr>
          <w:spacing w:val="-1"/>
          <w:sz w:val="24"/>
          <w:szCs w:val="24"/>
        </w:rPr>
        <w:t>t</w:t>
      </w:r>
      <w:r w:rsidRPr="001263B7">
        <w:rPr>
          <w:spacing w:val="-3"/>
          <w:sz w:val="24"/>
          <w:szCs w:val="24"/>
        </w:rPr>
        <w:t>i</w:t>
      </w:r>
      <w:r w:rsidRPr="001263B7">
        <w:rPr>
          <w:spacing w:val="-1"/>
          <w:sz w:val="24"/>
          <w:szCs w:val="24"/>
        </w:rPr>
        <w:t>o</w:t>
      </w:r>
      <w:r w:rsidRPr="001263B7">
        <w:rPr>
          <w:sz w:val="24"/>
          <w:szCs w:val="24"/>
        </w:rPr>
        <w:t>n</w:t>
      </w:r>
      <w:r w:rsidRPr="001263B7">
        <w:rPr>
          <w:spacing w:val="-15"/>
          <w:sz w:val="24"/>
          <w:szCs w:val="24"/>
        </w:rPr>
        <w:t xml:space="preserve"> </w:t>
      </w:r>
      <w:r w:rsidRPr="001263B7">
        <w:rPr>
          <w:sz w:val="24"/>
          <w:szCs w:val="24"/>
        </w:rPr>
        <w:t>är</w:t>
      </w:r>
      <w:r w:rsidRPr="001263B7">
        <w:rPr>
          <w:spacing w:val="-18"/>
          <w:sz w:val="24"/>
          <w:szCs w:val="24"/>
        </w:rPr>
        <w:t xml:space="preserve"> </w:t>
      </w:r>
      <w:r w:rsidRPr="001263B7">
        <w:rPr>
          <w:sz w:val="24"/>
          <w:szCs w:val="24"/>
        </w:rPr>
        <w:t>&gt;3</w:t>
      </w:r>
      <w:r w:rsidRPr="001263B7">
        <w:rPr>
          <w:spacing w:val="-12"/>
          <w:sz w:val="24"/>
          <w:szCs w:val="24"/>
        </w:rPr>
        <w:t xml:space="preserve"> </w:t>
      </w:r>
      <w:r w:rsidRPr="001263B7">
        <w:rPr>
          <w:sz w:val="24"/>
          <w:szCs w:val="24"/>
        </w:rPr>
        <w:t>d</w:t>
      </w:r>
      <w:r w:rsidRPr="001263B7">
        <w:rPr>
          <w:spacing w:val="-2"/>
          <w:sz w:val="24"/>
          <w:szCs w:val="24"/>
        </w:rPr>
        <w:t>a</w:t>
      </w:r>
      <w:r w:rsidRPr="001263B7">
        <w:rPr>
          <w:spacing w:val="-8"/>
          <w:sz w:val="24"/>
          <w:szCs w:val="24"/>
        </w:rPr>
        <w:t>g</w:t>
      </w:r>
      <w:r w:rsidRPr="001263B7">
        <w:rPr>
          <w:sz w:val="24"/>
          <w:szCs w:val="24"/>
        </w:rPr>
        <w:t>a</w:t>
      </w:r>
      <w:r w:rsidRPr="001263B7">
        <w:rPr>
          <w:spacing w:val="-1"/>
          <w:sz w:val="24"/>
          <w:szCs w:val="24"/>
        </w:rPr>
        <w:t>r</w:t>
      </w:r>
      <w:r w:rsidRPr="001263B7">
        <w:rPr>
          <w:sz w:val="24"/>
          <w:szCs w:val="24"/>
        </w:rPr>
        <w:t>s</w:t>
      </w:r>
      <w:r w:rsidRPr="001263B7">
        <w:rPr>
          <w:spacing w:val="-17"/>
          <w:sz w:val="24"/>
          <w:szCs w:val="24"/>
        </w:rPr>
        <w:t xml:space="preserve"> </w:t>
      </w:r>
      <w:r w:rsidRPr="001263B7">
        <w:rPr>
          <w:sz w:val="24"/>
          <w:szCs w:val="24"/>
        </w:rPr>
        <w:t>in</w:t>
      </w:r>
      <w:r w:rsidRPr="001263B7">
        <w:rPr>
          <w:spacing w:val="-1"/>
          <w:sz w:val="24"/>
          <w:szCs w:val="24"/>
        </w:rPr>
        <w:t>t</w:t>
      </w:r>
      <w:r w:rsidRPr="001263B7">
        <w:rPr>
          <w:sz w:val="24"/>
          <w:szCs w:val="24"/>
        </w:rPr>
        <w:t>e</w:t>
      </w:r>
      <w:r w:rsidRPr="001263B7">
        <w:rPr>
          <w:spacing w:val="-6"/>
          <w:sz w:val="24"/>
          <w:szCs w:val="24"/>
        </w:rPr>
        <w:t>r</w:t>
      </w:r>
      <w:r w:rsidRPr="001263B7">
        <w:rPr>
          <w:spacing w:val="-3"/>
          <w:sz w:val="24"/>
          <w:szCs w:val="24"/>
        </w:rPr>
        <w:t>v</w:t>
      </w:r>
      <w:r w:rsidRPr="001263B7">
        <w:rPr>
          <w:sz w:val="24"/>
          <w:szCs w:val="24"/>
        </w:rPr>
        <w:t>all</w:t>
      </w:r>
      <w:r w:rsidRPr="001263B7">
        <w:rPr>
          <w:spacing w:val="-14"/>
          <w:sz w:val="24"/>
          <w:szCs w:val="24"/>
        </w:rPr>
        <w:t xml:space="preserve"> </w:t>
      </w:r>
      <w:r w:rsidRPr="001263B7">
        <w:rPr>
          <w:spacing w:val="-3"/>
          <w:sz w:val="24"/>
          <w:szCs w:val="24"/>
        </w:rPr>
        <w:t>m</w:t>
      </w:r>
      <w:r w:rsidRPr="001263B7">
        <w:rPr>
          <w:sz w:val="24"/>
          <w:szCs w:val="24"/>
        </w:rPr>
        <w:t>el</w:t>
      </w:r>
      <w:r w:rsidRPr="001263B7">
        <w:rPr>
          <w:spacing w:val="-5"/>
          <w:sz w:val="24"/>
          <w:szCs w:val="24"/>
        </w:rPr>
        <w:t>l</w:t>
      </w:r>
      <w:r w:rsidRPr="001263B7">
        <w:rPr>
          <w:sz w:val="24"/>
          <w:szCs w:val="24"/>
        </w:rPr>
        <w:t>an</w:t>
      </w:r>
      <w:r w:rsidRPr="001263B7">
        <w:rPr>
          <w:spacing w:val="-18"/>
          <w:sz w:val="24"/>
          <w:szCs w:val="24"/>
        </w:rPr>
        <w:t xml:space="preserve"> </w:t>
      </w:r>
      <w:r w:rsidRPr="001263B7">
        <w:rPr>
          <w:sz w:val="24"/>
          <w:szCs w:val="24"/>
        </w:rPr>
        <w:t>av</w:t>
      </w:r>
      <w:r w:rsidRPr="001263B7">
        <w:rPr>
          <w:spacing w:val="-9"/>
          <w:sz w:val="24"/>
          <w:szCs w:val="24"/>
        </w:rPr>
        <w:t>f</w:t>
      </w:r>
      <w:r w:rsidRPr="001263B7">
        <w:rPr>
          <w:sz w:val="24"/>
          <w:szCs w:val="24"/>
        </w:rPr>
        <w:t>ö</w:t>
      </w:r>
      <w:r w:rsidRPr="001263B7">
        <w:rPr>
          <w:spacing w:val="-1"/>
          <w:sz w:val="24"/>
          <w:szCs w:val="24"/>
        </w:rPr>
        <w:t>r</w:t>
      </w:r>
      <w:r w:rsidRPr="001263B7">
        <w:rPr>
          <w:sz w:val="24"/>
          <w:szCs w:val="24"/>
        </w:rPr>
        <w:t>i</w:t>
      </w:r>
      <w:r w:rsidRPr="001263B7">
        <w:rPr>
          <w:spacing w:val="-5"/>
          <w:sz w:val="24"/>
          <w:szCs w:val="24"/>
        </w:rPr>
        <w:t>n</w:t>
      </w:r>
      <w:r w:rsidRPr="001263B7">
        <w:rPr>
          <w:sz w:val="24"/>
          <w:szCs w:val="24"/>
        </w:rPr>
        <w:t>g</w:t>
      </w:r>
      <w:r w:rsidRPr="001263B7">
        <w:rPr>
          <w:spacing w:val="-10"/>
          <w:sz w:val="24"/>
          <w:szCs w:val="24"/>
        </w:rPr>
        <w:t xml:space="preserve"> </w:t>
      </w:r>
      <w:r w:rsidRPr="001263B7">
        <w:rPr>
          <w:spacing w:val="-1"/>
          <w:sz w:val="24"/>
          <w:szCs w:val="24"/>
        </w:rPr>
        <w:t>o</w:t>
      </w:r>
      <w:r w:rsidRPr="001263B7">
        <w:rPr>
          <w:sz w:val="24"/>
          <w:szCs w:val="24"/>
        </w:rPr>
        <w:t>ch</w:t>
      </w:r>
      <w:r w:rsidRPr="001263B7">
        <w:rPr>
          <w:spacing w:val="-14"/>
          <w:sz w:val="24"/>
          <w:szCs w:val="24"/>
        </w:rPr>
        <w:t xml:space="preserve"> </w:t>
      </w:r>
      <w:r w:rsidRPr="001263B7">
        <w:rPr>
          <w:spacing w:val="-7"/>
          <w:sz w:val="24"/>
          <w:szCs w:val="24"/>
        </w:rPr>
        <w:t>s</w:t>
      </w:r>
      <w:r w:rsidRPr="001263B7">
        <w:rPr>
          <w:spacing w:val="-2"/>
          <w:sz w:val="24"/>
          <w:szCs w:val="24"/>
        </w:rPr>
        <w:t>a</w:t>
      </w:r>
      <w:r w:rsidRPr="001263B7">
        <w:rPr>
          <w:spacing w:val="-1"/>
          <w:sz w:val="24"/>
          <w:szCs w:val="24"/>
        </w:rPr>
        <w:t>m</w:t>
      </w:r>
      <w:r w:rsidRPr="001263B7">
        <w:rPr>
          <w:spacing w:val="-3"/>
          <w:sz w:val="24"/>
          <w:szCs w:val="24"/>
        </w:rPr>
        <w:t>t</w:t>
      </w:r>
      <w:r w:rsidRPr="001263B7">
        <w:rPr>
          <w:sz w:val="24"/>
          <w:szCs w:val="24"/>
        </w:rPr>
        <w:t>id</w:t>
      </w:r>
      <w:r w:rsidRPr="001263B7">
        <w:rPr>
          <w:spacing w:val="-3"/>
          <w:sz w:val="24"/>
          <w:szCs w:val="24"/>
        </w:rPr>
        <w:t>i</w:t>
      </w:r>
      <w:r w:rsidRPr="001263B7">
        <w:rPr>
          <w:spacing w:val="-6"/>
          <w:sz w:val="24"/>
          <w:szCs w:val="24"/>
        </w:rPr>
        <w:t>g</w:t>
      </w:r>
      <w:r w:rsidRPr="001263B7">
        <w:rPr>
          <w:sz w:val="24"/>
          <w:szCs w:val="24"/>
        </w:rPr>
        <w:t xml:space="preserve">a </w:t>
      </w:r>
      <w:r w:rsidRPr="001263B7">
        <w:rPr>
          <w:spacing w:val="-7"/>
          <w:sz w:val="24"/>
          <w:szCs w:val="24"/>
        </w:rPr>
        <w:t>symptom</w:t>
      </w:r>
      <w:r w:rsidRPr="001263B7">
        <w:rPr>
          <w:spacing w:val="-16"/>
          <w:sz w:val="24"/>
          <w:szCs w:val="24"/>
        </w:rPr>
        <w:t xml:space="preserve"> </w:t>
      </w:r>
      <w:r w:rsidRPr="001263B7">
        <w:rPr>
          <w:spacing w:val="-7"/>
          <w:sz w:val="24"/>
          <w:szCs w:val="24"/>
        </w:rPr>
        <w:t>s</w:t>
      </w:r>
      <w:r w:rsidRPr="001263B7">
        <w:rPr>
          <w:spacing w:val="-1"/>
          <w:sz w:val="24"/>
          <w:szCs w:val="24"/>
        </w:rPr>
        <w:t>o</w:t>
      </w:r>
      <w:r w:rsidRPr="001263B7">
        <w:rPr>
          <w:sz w:val="24"/>
          <w:szCs w:val="24"/>
        </w:rPr>
        <w:t>m</w:t>
      </w:r>
      <w:r w:rsidRPr="001263B7">
        <w:rPr>
          <w:spacing w:val="-9"/>
          <w:sz w:val="24"/>
          <w:szCs w:val="24"/>
        </w:rPr>
        <w:t xml:space="preserve"> </w:t>
      </w:r>
      <w:r w:rsidRPr="001263B7">
        <w:rPr>
          <w:spacing w:val="-7"/>
          <w:sz w:val="24"/>
          <w:szCs w:val="24"/>
        </w:rPr>
        <w:t>s</w:t>
      </w:r>
      <w:r w:rsidRPr="001263B7">
        <w:rPr>
          <w:spacing w:val="-1"/>
          <w:sz w:val="24"/>
          <w:szCs w:val="24"/>
        </w:rPr>
        <w:t>m</w:t>
      </w:r>
      <w:r w:rsidRPr="001263B7">
        <w:rPr>
          <w:sz w:val="24"/>
          <w:szCs w:val="24"/>
        </w:rPr>
        <w:t>ä</w:t>
      </w:r>
      <w:r w:rsidRPr="001263B7">
        <w:rPr>
          <w:spacing w:val="-6"/>
          <w:sz w:val="24"/>
          <w:szCs w:val="24"/>
        </w:rPr>
        <w:t>r</w:t>
      </w:r>
      <w:r w:rsidRPr="001263B7">
        <w:rPr>
          <w:spacing w:val="-1"/>
          <w:sz w:val="24"/>
          <w:szCs w:val="24"/>
        </w:rPr>
        <w:t>t</w:t>
      </w:r>
      <w:r w:rsidRPr="001263B7">
        <w:rPr>
          <w:sz w:val="24"/>
          <w:szCs w:val="24"/>
        </w:rPr>
        <w:t>a</w:t>
      </w:r>
      <w:r w:rsidRPr="001263B7">
        <w:rPr>
          <w:spacing w:val="-9"/>
          <w:sz w:val="24"/>
          <w:szCs w:val="24"/>
        </w:rPr>
        <w:t xml:space="preserve"> </w:t>
      </w:r>
      <w:r w:rsidRPr="001263B7">
        <w:rPr>
          <w:sz w:val="24"/>
          <w:szCs w:val="24"/>
        </w:rPr>
        <w:t>och</w:t>
      </w:r>
      <w:r w:rsidRPr="001263B7">
        <w:rPr>
          <w:spacing w:val="-12"/>
          <w:sz w:val="24"/>
          <w:szCs w:val="24"/>
        </w:rPr>
        <w:t xml:space="preserve"> </w:t>
      </w:r>
      <w:r w:rsidRPr="001263B7">
        <w:rPr>
          <w:spacing w:val="-11"/>
          <w:sz w:val="24"/>
          <w:szCs w:val="24"/>
        </w:rPr>
        <w:t>u</w:t>
      </w:r>
      <w:r w:rsidRPr="001263B7">
        <w:rPr>
          <w:sz w:val="24"/>
          <w:szCs w:val="24"/>
        </w:rPr>
        <w:t>ppkö</w:t>
      </w:r>
      <w:r w:rsidRPr="001263B7">
        <w:rPr>
          <w:spacing w:val="-1"/>
          <w:sz w:val="24"/>
          <w:szCs w:val="24"/>
        </w:rPr>
        <w:t>r</w:t>
      </w:r>
      <w:r w:rsidRPr="001263B7">
        <w:rPr>
          <w:sz w:val="24"/>
          <w:szCs w:val="24"/>
        </w:rPr>
        <w:t>d</w:t>
      </w:r>
      <w:r w:rsidRPr="001263B7">
        <w:rPr>
          <w:spacing w:val="-1"/>
          <w:sz w:val="24"/>
          <w:szCs w:val="24"/>
        </w:rPr>
        <w:t>h</w:t>
      </w:r>
      <w:r w:rsidRPr="001263B7">
        <w:rPr>
          <w:spacing w:val="-2"/>
          <w:sz w:val="24"/>
          <w:szCs w:val="24"/>
        </w:rPr>
        <w:t>e</w:t>
      </w:r>
      <w:r w:rsidRPr="001263B7">
        <w:rPr>
          <w:spacing w:val="-1"/>
          <w:sz w:val="24"/>
          <w:szCs w:val="24"/>
        </w:rPr>
        <w:t>t</w:t>
      </w:r>
      <w:r w:rsidRPr="001263B7">
        <w:rPr>
          <w:sz w:val="24"/>
          <w:szCs w:val="24"/>
        </w:rPr>
        <w:t>.</w:t>
      </w:r>
      <w:r w:rsidRPr="001263B7">
        <w:rPr>
          <w:spacing w:val="-13"/>
          <w:sz w:val="24"/>
          <w:szCs w:val="24"/>
        </w:rPr>
        <w:t xml:space="preserve"> </w:t>
      </w:r>
      <w:r w:rsidRPr="001263B7">
        <w:rPr>
          <w:sz w:val="24"/>
          <w:szCs w:val="24"/>
        </w:rPr>
        <w:t>En</w:t>
      </w:r>
      <w:r w:rsidRPr="001263B7">
        <w:rPr>
          <w:spacing w:val="-13"/>
          <w:sz w:val="24"/>
          <w:szCs w:val="24"/>
        </w:rPr>
        <w:t xml:space="preserve"> </w:t>
      </w:r>
      <w:r w:rsidRPr="001263B7">
        <w:rPr>
          <w:spacing w:val="-3"/>
          <w:sz w:val="24"/>
          <w:szCs w:val="24"/>
        </w:rPr>
        <w:t>m</w:t>
      </w:r>
      <w:r w:rsidRPr="001263B7">
        <w:rPr>
          <w:spacing w:val="-2"/>
          <w:sz w:val="24"/>
          <w:szCs w:val="24"/>
        </w:rPr>
        <w:t>å</w:t>
      </w:r>
      <w:r w:rsidRPr="001263B7">
        <w:rPr>
          <w:spacing w:val="-3"/>
          <w:sz w:val="24"/>
          <w:szCs w:val="24"/>
        </w:rPr>
        <w:t>n</w:t>
      </w:r>
      <w:r w:rsidRPr="001263B7">
        <w:rPr>
          <w:sz w:val="24"/>
          <w:szCs w:val="24"/>
        </w:rPr>
        <w:t>gå</w:t>
      </w:r>
      <w:r w:rsidRPr="001263B7">
        <w:rPr>
          <w:spacing w:val="-1"/>
          <w:sz w:val="24"/>
          <w:szCs w:val="24"/>
        </w:rPr>
        <w:t>r</w:t>
      </w:r>
      <w:r w:rsidRPr="001263B7">
        <w:rPr>
          <w:spacing w:val="-5"/>
          <w:sz w:val="24"/>
          <w:szCs w:val="24"/>
        </w:rPr>
        <w:t>i</w:t>
      </w:r>
      <w:r w:rsidRPr="001263B7">
        <w:rPr>
          <w:sz w:val="24"/>
          <w:szCs w:val="24"/>
        </w:rPr>
        <w:t>g</w:t>
      </w:r>
      <w:r w:rsidRPr="001263B7">
        <w:rPr>
          <w:spacing w:val="-13"/>
          <w:sz w:val="24"/>
          <w:szCs w:val="24"/>
        </w:rPr>
        <w:t xml:space="preserve"> </w:t>
      </w:r>
      <w:r w:rsidRPr="001263B7">
        <w:rPr>
          <w:spacing w:val="-9"/>
          <w:sz w:val="24"/>
          <w:szCs w:val="24"/>
        </w:rPr>
        <w:t>f</w:t>
      </w:r>
      <w:r w:rsidRPr="001263B7">
        <w:rPr>
          <w:spacing w:val="-1"/>
          <w:sz w:val="24"/>
          <w:szCs w:val="24"/>
        </w:rPr>
        <w:t>ör</w:t>
      </w:r>
      <w:r w:rsidRPr="001263B7">
        <w:rPr>
          <w:spacing w:val="-7"/>
          <w:sz w:val="24"/>
          <w:szCs w:val="24"/>
        </w:rPr>
        <w:t>s</w:t>
      </w:r>
      <w:r w:rsidRPr="001263B7">
        <w:rPr>
          <w:spacing w:val="-1"/>
          <w:sz w:val="24"/>
          <w:szCs w:val="24"/>
        </w:rPr>
        <w:t>t</w:t>
      </w:r>
      <w:r w:rsidRPr="001263B7">
        <w:rPr>
          <w:sz w:val="24"/>
          <w:szCs w:val="24"/>
        </w:rPr>
        <w:t>oppningsproblematik</w:t>
      </w:r>
      <w:r w:rsidRPr="001263B7">
        <w:rPr>
          <w:spacing w:val="-9"/>
          <w:sz w:val="24"/>
          <w:szCs w:val="24"/>
        </w:rPr>
        <w:t xml:space="preserve"> </w:t>
      </w:r>
      <w:r w:rsidRPr="001263B7">
        <w:rPr>
          <w:spacing w:val="-1"/>
          <w:sz w:val="24"/>
          <w:szCs w:val="24"/>
        </w:rPr>
        <w:t>f</w:t>
      </w:r>
      <w:r w:rsidRPr="001263B7">
        <w:rPr>
          <w:sz w:val="24"/>
          <w:szCs w:val="24"/>
        </w:rPr>
        <w:t>ö</w:t>
      </w:r>
      <w:r w:rsidRPr="001263B7">
        <w:rPr>
          <w:spacing w:val="-1"/>
          <w:sz w:val="24"/>
          <w:szCs w:val="24"/>
        </w:rPr>
        <w:t>r</w:t>
      </w:r>
      <w:r w:rsidRPr="001263B7">
        <w:rPr>
          <w:spacing w:val="-2"/>
          <w:sz w:val="24"/>
          <w:szCs w:val="24"/>
        </w:rPr>
        <w:t>a</w:t>
      </w:r>
      <w:r w:rsidRPr="001263B7">
        <w:rPr>
          <w:spacing w:val="-1"/>
          <w:sz w:val="24"/>
          <w:szCs w:val="24"/>
        </w:rPr>
        <w:t>n</w:t>
      </w:r>
      <w:r w:rsidRPr="001263B7">
        <w:rPr>
          <w:spacing w:val="-3"/>
          <w:sz w:val="24"/>
          <w:szCs w:val="24"/>
        </w:rPr>
        <w:t>l</w:t>
      </w:r>
      <w:r w:rsidRPr="001263B7">
        <w:rPr>
          <w:sz w:val="24"/>
          <w:szCs w:val="24"/>
        </w:rPr>
        <w:t>eder</w:t>
      </w:r>
      <w:r w:rsidRPr="001263B7">
        <w:rPr>
          <w:spacing w:val="-16"/>
          <w:sz w:val="24"/>
          <w:szCs w:val="24"/>
        </w:rPr>
        <w:t xml:space="preserve"> </w:t>
      </w:r>
      <w:r w:rsidRPr="001263B7">
        <w:rPr>
          <w:sz w:val="24"/>
          <w:szCs w:val="24"/>
        </w:rPr>
        <w:t>i</w:t>
      </w:r>
      <w:r w:rsidRPr="001263B7">
        <w:rPr>
          <w:spacing w:val="-10"/>
          <w:sz w:val="24"/>
          <w:szCs w:val="24"/>
        </w:rPr>
        <w:t xml:space="preserve"> </w:t>
      </w:r>
      <w:r w:rsidRPr="001263B7">
        <w:rPr>
          <w:spacing w:val="-4"/>
          <w:sz w:val="24"/>
          <w:szCs w:val="24"/>
        </w:rPr>
        <w:t>a</w:t>
      </w:r>
      <w:r w:rsidRPr="001263B7">
        <w:rPr>
          <w:spacing w:val="-5"/>
          <w:sz w:val="24"/>
          <w:szCs w:val="24"/>
        </w:rPr>
        <w:t>l</w:t>
      </w:r>
      <w:r w:rsidRPr="001263B7">
        <w:rPr>
          <w:sz w:val="24"/>
          <w:szCs w:val="24"/>
        </w:rPr>
        <w:t>l</w:t>
      </w:r>
      <w:r w:rsidRPr="001263B7">
        <w:rPr>
          <w:spacing w:val="-1"/>
          <w:sz w:val="24"/>
          <w:szCs w:val="24"/>
        </w:rPr>
        <w:t>m</w:t>
      </w:r>
      <w:r w:rsidRPr="001263B7">
        <w:rPr>
          <w:sz w:val="24"/>
          <w:szCs w:val="24"/>
        </w:rPr>
        <w:t>änhet</w:t>
      </w:r>
      <w:r w:rsidRPr="001263B7">
        <w:rPr>
          <w:spacing w:val="-10"/>
          <w:sz w:val="24"/>
          <w:szCs w:val="24"/>
        </w:rPr>
        <w:t xml:space="preserve"> </w:t>
      </w:r>
      <w:r w:rsidRPr="001263B7">
        <w:rPr>
          <w:sz w:val="24"/>
          <w:szCs w:val="24"/>
        </w:rPr>
        <w:t>in</w:t>
      </w:r>
      <w:r w:rsidRPr="001263B7">
        <w:rPr>
          <w:spacing w:val="-13"/>
          <w:sz w:val="24"/>
          <w:szCs w:val="24"/>
        </w:rPr>
        <w:t>g</w:t>
      </w:r>
      <w:r w:rsidRPr="001263B7">
        <w:rPr>
          <w:sz w:val="24"/>
          <w:szCs w:val="24"/>
        </w:rPr>
        <w:t>en</w:t>
      </w:r>
      <w:r w:rsidRPr="001263B7">
        <w:rPr>
          <w:w w:val="99"/>
          <w:sz w:val="24"/>
          <w:szCs w:val="24"/>
        </w:rPr>
        <w:t xml:space="preserve"> </w:t>
      </w:r>
      <w:r w:rsidRPr="001263B7">
        <w:rPr>
          <w:sz w:val="24"/>
          <w:szCs w:val="24"/>
        </w:rPr>
        <w:t>u</w:t>
      </w:r>
      <w:r w:rsidRPr="001263B7">
        <w:rPr>
          <w:spacing w:val="-1"/>
          <w:sz w:val="24"/>
          <w:szCs w:val="24"/>
        </w:rPr>
        <w:t>tr</w:t>
      </w:r>
      <w:r w:rsidRPr="001263B7">
        <w:rPr>
          <w:sz w:val="24"/>
          <w:szCs w:val="24"/>
        </w:rPr>
        <w:t>edning</w:t>
      </w:r>
      <w:r w:rsidRPr="001263B7">
        <w:rPr>
          <w:spacing w:val="-18"/>
          <w:sz w:val="24"/>
          <w:szCs w:val="24"/>
        </w:rPr>
        <w:t xml:space="preserve"> </w:t>
      </w:r>
      <w:r w:rsidRPr="001263B7">
        <w:rPr>
          <w:spacing w:val="-1"/>
          <w:sz w:val="24"/>
          <w:szCs w:val="24"/>
        </w:rPr>
        <w:t>m</w:t>
      </w:r>
      <w:r w:rsidRPr="001263B7">
        <w:rPr>
          <w:spacing w:val="-2"/>
          <w:sz w:val="24"/>
          <w:szCs w:val="24"/>
        </w:rPr>
        <w:t>e</w:t>
      </w:r>
      <w:r w:rsidRPr="001263B7">
        <w:rPr>
          <w:spacing w:val="-3"/>
          <w:sz w:val="24"/>
          <w:szCs w:val="24"/>
        </w:rPr>
        <w:t>d</w:t>
      </w:r>
      <w:r w:rsidRPr="001263B7">
        <w:rPr>
          <w:sz w:val="24"/>
          <w:szCs w:val="24"/>
        </w:rPr>
        <w:t>an</w:t>
      </w:r>
      <w:r w:rsidRPr="001263B7">
        <w:rPr>
          <w:spacing w:val="-16"/>
          <w:sz w:val="24"/>
          <w:szCs w:val="24"/>
        </w:rPr>
        <w:t xml:space="preserve"> </w:t>
      </w:r>
      <w:r w:rsidRPr="001263B7">
        <w:rPr>
          <w:spacing w:val="-5"/>
          <w:sz w:val="24"/>
          <w:szCs w:val="24"/>
        </w:rPr>
        <w:t>n</w:t>
      </w:r>
      <w:r w:rsidRPr="001263B7">
        <w:rPr>
          <w:sz w:val="24"/>
          <w:szCs w:val="24"/>
        </w:rPr>
        <w:t>ydebu</w:t>
      </w:r>
      <w:r w:rsidRPr="001263B7">
        <w:rPr>
          <w:spacing w:val="-14"/>
          <w:sz w:val="24"/>
          <w:szCs w:val="24"/>
        </w:rPr>
        <w:t>t</w:t>
      </w:r>
      <w:r w:rsidRPr="001263B7">
        <w:rPr>
          <w:sz w:val="24"/>
          <w:szCs w:val="24"/>
        </w:rPr>
        <w:t>e</w:t>
      </w:r>
      <w:r w:rsidRPr="001263B7">
        <w:rPr>
          <w:spacing w:val="-1"/>
          <w:sz w:val="24"/>
          <w:szCs w:val="24"/>
        </w:rPr>
        <w:t>r</w:t>
      </w:r>
      <w:r w:rsidRPr="001263B7">
        <w:rPr>
          <w:sz w:val="24"/>
          <w:szCs w:val="24"/>
        </w:rPr>
        <w:t>ad/ko</w:t>
      </w:r>
      <w:r w:rsidRPr="001263B7">
        <w:rPr>
          <w:spacing w:val="-6"/>
          <w:sz w:val="24"/>
          <w:szCs w:val="24"/>
        </w:rPr>
        <w:t>r</w:t>
      </w:r>
      <w:r w:rsidRPr="001263B7">
        <w:rPr>
          <w:spacing w:val="-1"/>
          <w:sz w:val="24"/>
          <w:szCs w:val="24"/>
        </w:rPr>
        <w:t>t</w:t>
      </w:r>
      <w:r w:rsidRPr="001263B7">
        <w:rPr>
          <w:spacing w:val="-3"/>
          <w:sz w:val="24"/>
          <w:szCs w:val="24"/>
        </w:rPr>
        <w:t>v</w:t>
      </w:r>
      <w:r w:rsidRPr="001263B7">
        <w:rPr>
          <w:sz w:val="24"/>
          <w:szCs w:val="24"/>
        </w:rPr>
        <w:t>a</w:t>
      </w:r>
      <w:r w:rsidRPr="001263B7">
        <w:rPr>
          <w:spacing w:val="-6"/>
          <w:sz w:val="24"/>
          <w:szCs w:val="24"/>
        </w:rPr>
        <w:t>r</w:t>
      </w:r>
      <w:r w:rsidRPr="001263B7">
        <w:rPr>
          <w:sz w:val="24"/>
          <w:szCs w:val="24"/>
        </w:rPr>
        <w:t>ig</w:t>
      </w:r>
      <w:r w:rsidRPr="001263B7">
        <w:rPr>
          <w:spacing w:val="-13"/>
          <w:sz w:val="24"/>
          <w:szCs w:val="24"/>
        </w:rPr>
        <w:t xml:space="preserve"> </w:t>
      </w:r>
      <w:r w:rsidRPr="001263B7">
        <w:rPr>
          <w:spacing w:val="-1"/>
          <w:sz w:val="24"/>
          <w:szCs w:val="24"/>
        </w:rPr>
        <w:t>r</w:t>
      </w:r>
      <w:r w:rsidRPr="001263B7">
        <w:rPr>
          <w:sz w:val="24"/>
          <w:szCs w:val="24"/>
        </w:rPr>
        <w:t>ubbning</w:t>
      </w:r>
      <w:r w:rsidRPr="001263B7">
        <w:rPr>
          <w:spacing w:val="-14"/>
          <w:sz w:val="24"/>
          <w:szCs w:val="24"/>
        </w:rPr>
        <w:t xml:space="preserve"> </w:t>
      </w:r>
      <w:r w:rsidRPr="001263B7">
        <w:rPr>
          <w:spacing w:val="-4"/>
          <w:sz w:val="24"/>
          <w:szCs w:val="24"/>
        </w:rPr>
        <w:t>a</w:t>
      </w:r>
      <w:r w:rsidRPr="001263B7">
        <w:rPr>
          <w:spacing w:val="-3"/>
          <w:sz w:val="24"/>
          <w:szCs w:val="24"/>
        </w:rPr>
        <w:t>ll</w:t>
      </w:r>
      <w:r w:rsidRPr="001263B7">
        <w:rPr>
          <w:spacing w:val="-1"/>
          <w:sz w:val="24"/>
          <w:szCs w:val="24"/>
        </w:rPr>
        <w:t>t</w:t>
      </w:r>
      <w:r w:rsidRPr="001263B7">
        <w:rPr>
          <w:sz w:val="24"/>
          <w:szCs w:val="24"/>
        </w:rPr>
        <w:t>id</w:t>
      </w:r>
      <w:r w:rsidRPr="001263B7">
        <w:rPr>
          <w:spacing w:val="-16"/>
          <w:sz w:val="24"/>
          <w:szCs w:val="24"/>
        </w:rPr>
        <w:t xml:space="preserve"> </w:t>
      </w:r>
      <w:r w:rsidRPr="001263B7">
        <w:rPr>
          <w:spacing w:val="-10"/>
          <w:sz w:val="24"/>
          <w:szCs w:val="24"/>
        </w:rPr>
        <w:t>s</w:t>
      </w:r>
      <w:r w:rsidRPr="001263B7">
        <w:rPr>
          <w:sz w:val="24"/>
          <w:szCs w:val="24"/>
        </w:rPr>
        <w:t>kall</w:t>
      </w:r>
      <w:r w:rsidRPr="001263B7">
        <w:rPr>
          <w:spacing w:val="-12"/>
          <w:sz w:val="24"/>
          <w:szCs w:val="24"/>
        </w:rPr>
        <w:t xml:space="preserve"> </w:t>
      </w:r>
      <w:r w:rsidRPr="001263B7">
        <w:rPr>
          <w:spacing w:val="-1"/>
          <w:sz w:val="24"/>
          <w:szCs w:val="24"/>
        </w:rPr>
        <w:t>m</w:t>
      </w:r>
      <w:r w:rsidRPr="001263B7">
        <w:rPr>
          <w:spacing w:val="-3"/>
          <w:sz w:val="24"/>
          <w:szCs w:val="24"/>
        </w:rPr>
        <w:t>o</w:t>
      </w:r>
      <w:r w:rsidRPr="001263B7">
        <w:rPr>
          <w:spacing w:val="-1"/>
          <w:sz w:val="24"/>
          <w:szCs w:val="24"/>
        </w:rPr>
        <w:t>t</w:t>
      </w:r>
      <w:r w:rsidRPr="001263B7">
        <w:rPr>
          <w:sz w:val="24"/>
          <w:szCs w:val="24"/>
        </w:rPr>
        <w:t>i</w:t>
      </w:r>
      <w:r w:rsidRPr="001263B7">
        <w:rPr>
          <w:spacing w:val="-2"/>
          <w:sz w:val="24"/>
          <w:szCs w:val="24"/>
        </w:rPr>
        <w:t>v</w:t>
      </w:r>
      <w:r w:rsidRPr="001263B7">
        <w:rPr>
          <w:sz w:val="24"/>
          <w:szCs w:val="24"/>
        </w:rPr>
        <w:t>e</w:t>
      </w:r>
      <w:r w:rsidRPr="001263B7">
        <w:rPr>
          <w:spacing w:val="-6"/>
          <w:sz w:val="24"/>
          <w:szCs w:val="24"/>
        </w:rPr>
        <w:t>r</w:t>
      </w:r>
      <w:r w:rsidRPr="001263B7">
        <w:rPr>
          <w:sz w:val="24"/>
          <w:szCs w:val="24"/>
        </w:rPr>
        <w:t>a</w:t>
      </w:r>
      <w:r w:rsidRPr="001263B7">
        <w:rPr>
          <w:spacing w:val="-15"/>
          <w:sz w:val="24"/>
          <w:szCs w:val="24"/>
        </w:rPr>
        <w:t xml:space="preserve"> </w:t>
      </w:r>
      <w:r w:rsidRPr="001263B7">
        <w:rPr>
          <w:sz w:val="24"/>
          <w:szCs w:val="24"/>
        </w:rPr>
        <w:t>vida</w:t>
      </w:r>
      <w:r w:rsidRPr="001263B7">
        <w:rPr>
          <w:spacing w:val="-9"/>
          <w:sz w:val="24"/>
          <w:szCs w:val="24"/>
        </w:rPr>
        <w:t>r</w:t>
      </w:r>
      <w:r w:rsidRPr="001263B7">
        <w:rPr>
          <w:sz w:val="24"/>
          <w:szCs w:val="24"/>
        </w:rPr>
        <w:t>e</w:t>
      </w:r>
      <w:r w:rsidRPr="001263B7">
        <w:rPr>
          <w:spacing w:val="-16"/>
          <w:sz w:val="24"/>
          <w:szCs w:val="24"/>
        </w:rPr>
        <w:t xml:space="preserve"> </w:t>
      </w:r>
      <w:r w:rsidRPr="001263B7">
        <w:rPr>
          <w:spacing w:val="-3"/>
          <w:sz w:val="24"/>
          <w:szCs w:val="24"/>
        </w:rPr>
        <w:t>ut</w:t>
      </w:r>
      <w:r w:rsidRPr="001263B7">
        <w:rPr>
          <w:spacing w:val="-1"/>
          <w:sz w:val="24"/>
          <w:szCs w:val="24"/>
        </w:rPr>
        <w:t>r</w:t>
      </w:r>
      <w:r w:rsidRPr="001263B7">
        <w:rPr>
          <w:sz w:val="24"/>
          <w:szCs w:val="24"/>
        </w:rPr>
        <w:t>edning</w:t>
      </w:r>
      <w:r w:rsidRPr="001263B7">
        <w:rPr>
          <w:spacing w:val="-12"/>
          <w:sz w:val="24"/>
          <w:szCs w:val="24"/>
        </w:rPr>
        <w:t xml:space="preserve"> </w:t>
      </w:r>
      <w:r w:rsidRPr="001263B7">
        <w:rPr>
          <w:rFonts w:cs="Garamond"/>
          <w:sz w:val="24"/>
          <w:szCs w:val="24"/>
        </w:rPr>
        <w:t>– exempelvis t</w:t>
      </w:r>
      <w:r w:rsidRPr="001263B7">
        <w:rPr>
          <w:sz w:val="24"/>
          <w:szCs w:val="24"/>
        </w:rPr>
        <w:t>um</w:t>
      </w:r>
      <w:r w:rsidRPr="001263B7">
        <w:rPr>
          <w:spacing w:val="-1"/>
          <w:sz w:val="24"/>
          <w:szCs w:val="24"/>
        </w:rPr>
        <w:t>ö</w:t>
      </w:r>
      <w:r w:rsidRPr="001263B7">
        <w:rPr>
          <w:spacing w:val="-6"/>
          <w:sz w:val="24"/>
          <w:szCs w:val="24"/>
        </w:rPr>
        <w:t>r</w:t>
      </w:r>
      <w:r w:rsidRPr="001263B7">
        <w:rPr>
          <w:spacing w:val="-7"/>
          <w:sz w:val="24"/>
          <w:szCs w:val="24"/>
        </w:rPr>
        <w:t>s</w:t>
      </w:r>
      <w:r w:rsidRPr="001263B7">
        <w:rPr>
          <w:sz w:val="24"/>
          <w:szCs w:val="24"/>
        </w:rPr>
        <w:t>jukd</w:t>
      </w:r>
      <w:r w:rsidRPr="001263B7">
        <w:rPr>
          <w:spacing w:val="-3"/>
          <w:sz w:val="24"/>
          <w:szCs w:val="24"/>
        </w:rPr>
        <w:t>o</w:t>
      </w:r>
      <w:r w:rsidRPr="001263B7">
        <w:rPr>
          <w:spacing w:val="-1"/>
          <w:sz w:val="24"/>
          <w:szCs w:val="24"/>
        </w:rPr>
        <w:t>m</w:t>
      </w:r>
      <w:r w:rsidRPr="001263B7">
        <w:rPr>
          <w:sz w:val="24"/>
          <w:szCs w:val="24"/>
        </w:rPr>
        <w:t>/diab</w:t>
      </w:r>
      <w:r w:rsidRPr="001263B7">
        <w:rPr>
          <w:spacing w:val="-2"/>
          <w:sz w:val="24"/>
          <w:szCs w:val="24"/>
        </w:rPr>
        <w:t>e</w:t>
      </w:r>
      <w:r w:rsidRPr="001263B7">
        <w:rPr>
          <w:spacing w:val="-3"/>
          <w:sz w:val="24"/>
          <w:szCs w:val="24"/>
        </w:rPr>
        <w:t>t</w:t>
      </w:r>
      <w:r w:rsidRPr="001263B7">
        <w:rPr>
          <w:sz w:val="24"/>
          <w:szCs w:val="24"/>
        </w:rPr>
        <w:t>e</w:t>
      </w:r>
      <w:r w:rsidRPr="001263B7">
        <w:rPr>
          <w:spacing w:val="-10"/>
          <w:sz w:val="24"/>
          <w:szCs w:val="24"/>
        </w:rPr>
        <w:t>s</w:t>
      </w:r>
      <w:r w:rsidRPr="001263B7">
        <w:rPr>
          <w:sz w:val="24"/>
          <w:szCs w:val="24"/>
        </w:rPr>
        <w:t>/hypo</w:t>
      </w:r>
      <w:r w:rsidRPr="001263B7">
        <w:rPr>
          <w:spacing w:val="-1"/>
          <w:sz w:val="24"/>
          <w:szCs w:val="24"/>
        </w:rPr>
        <w:t>t</w:t>
      </w:r>
      <w:r w:rsidRPr="001263B7">
        <w:rPr>
          <w:sz w:val="24"/>
          <w:szCs w:val="24"/>
        </w:rPr>
        <w:t>hy</w:t>
      </w:r>
      <w:r w:rsidRPr="001263B7">
        <w:rPr>
          <w:spacing w:val="-6"/>
          <w:sz w:val="24"/>
          <w:szCs w:val="24"/>
        </w:rPr>
        <w:t>r</w:t>
      </w:r>
      <w:r w:rsidRPr="001263B7">
        <w:rPr>
          <w:sz w:val="24"/>
          <w:szCs w:val="24"/>
        </w:rPr>
        <w:t>eos e</w:t>
      </w:r>
      <w:r w:rsidRPr="001263B7">
        <w:rPr>
          <w:spacing w:val="-3"/>
          <w:sz w:val="24"/>
          <w:szCs w:val="24"/>
        </w:rPr>
        <w:t>ll</w:t>
      </w:r>
      <w:r w:rsidRPr="001263B7">
        <w:rPr>
          <w:sz w:val="24"/>
          <w:szCs w:val="24"/>
        </w:rPr>
        <w:t>er l</w:t>
      </w:r>
      <w:r w:rsidRPr="001263B7">
        <w:rPr>
          <w:spacing w:val="-2"/>
          <w:sz w:val="24"/>
          <w:szCs w:val="24"/>
        </w:rPr>
        <w:t>ä</w:t>
      </w:r>
      <w:r w:rsidRPr="001263B7">
        <w:rPr>
          <w:spacing w:val="-8"/>
          <w:sz w:val="24"/>
          <w:szCs w:val="24"/>
        </w:rPr>
        <w:t>k</w:t>
      </w:r>
      <w:r w:rsidRPr="001263B7">
        <w:rPr>
          <w:spacing w:val="-5"/>
          <w:sz w:val="24"/>
          <w:szCs w:val="24"/>
        </w:rPr>
        <w:t>e</w:t>
      </w:r>
      <w:r w:rsidRPr="001263B7">
        <w:rPr>
          <w:spacing w:val="-1"/>
          <w:sz w:val="24"/>
          <w:szCs w:val="24"/>
        </w:rPr>
        <w:t>m</w:t>
      </w:r>
      <w:r w:rsidRPr="001263B7">
        <w:rPr>
          <w:sz w:val="24"/>
          <w:szCs w:val="24"/>
        </w:rPr>
        <w:t>ede</w:t>
      </w:r>
      <w:r w:rsidRPr="001263B7">
        <w:rPr>
          <w:spacing w:val="-3"/>
          <w:sz w:val="24"/>
          <w:szCs w:val="24"/>
        </w:rPr>
        <w:t>l</w:t>
      </w:r>
      <w:r w:rsidRPr="001263B7">
        <w:rPr>
          <w:spacing w:val="-7"/>
          <w:sz w:val="24"/>
          <w:szCs w:val="24"/>
        </w:rPr>
        <w:t>s</w:t>
      </w:r>
      <w:r w:rsidRPr="001263B7">
        <w:rPr>
          <w:spacing w:val="-1"/>
          <w:sz w:val="24"/>
          <w:szCs w:val="24"/>
        </w:rPr>
        <w:t>b</w:t>
      </w:r>
      <w:r w:rsidRPr="001263B7">
        <w:rPr>
          <w:sz w:val="24"/>
          <w:szCs w:val="24"/>
        </w:rPr>
        <w:t>i</w:t>
      </w:r>
      <w:r w:rsidRPr="001263B7">
        <w:rPr>
          <w:spacing w:val="-3"/>
          <w:sz w:val="24"/>
          <w:szCs w:val="24"/>
        </w:rPr>
        <w:t>v</w:t>
      </w:r>
      <w:r w:rsidRPr="001263B7">
        <w:rPr>
          <w:sz w:val="24"/>
          <w:szCs w:val="24"/>
        </w:rPr>
        <w:t>e</w:t>
      </w:r>
      <w:r w:rsidRPr="001263B7">
        <w:rPr>
          <w:spacing w:val="-1"/>
          <w:sz w:val="24"/>
          <w:szCs w:val="24"/>
        </w:rPr>
        <w:t>r</w:t>
      </w:r>
      <w:r w:rsidRPr="001263B7">
        <w:rPr>
          <w:spacing w:val="-6"/>
          <w:sz w:val="24"/>
          <w:szCs w:val="24"/>
        </w:rPr>
        <w:t>k</w:t>
      </w:r>
      <w:r w:rsidRPr="001263B7">
        <w:rPr>
          <w:sz w:val="24"/>
          <w:szCs w:val="24"/>
        </w:rPr>
        <w:t xml:space="preserve">an </w:t>
      </w:r>
      <w:r w:rsidRPr="001263B7">
        <w:rPr>
          <w:spacing w:val="-1"/>
          <w:sz w:val="24"/>
          <w:szCs w:val="24"/>
        </w:rPr>
        <w:t>(</w:t>
      </w:r>
      <w:r w:rsidRPr="001263B7">
        <w:rPr>
          <w:sz w:val="24"/>
          <w:szCs w:val="24"/>
        </w:rPr>
        <w:t>opioider/an</w:t>
      </w:r>
      <w:r w:rsidRPr="001263B7">
        <w:rPr>
          <w:spacing w:val="-2"/>
          <w:sz w:val="24"/>
          <w:szCs w:val="24"/>
        </w:rPr>
        <w:t>a</w:t>
      </w:r>
      <w:r w:rsidRPr="001263B7">
        <w:rPr>
          <w:sz w:val="24"/>
          <w:szCs w:val="24"/>
        </w:rPr>
        <w:t>l</w:t>
      </w:r>
      <w:r w:rsidRPr="001263B7">
        <w:rPr>
          <w:spacing w:val="-8"/>
          <w:sz w:val="24"/>
          <w:szCs w:val="24"/>
        </w:rPr>
        <w:t>g</w:t>
      </w:r>
      <w:r w:rsidRPr="001263B7">
        <w:rPr>
          <w:spacing w:val="-2"/>
          <w:sz w:val="24"/>
          <w:szCs w:val="24"/>
        </w:rPr>
        <w:t>e</w:t>
      </w:r>
      <w:r w:rsidRPr="001263B7">
        <w:rPr>
          <w:spacing w:val="-1"/>
          <w:sz w:val="24"/>
          <w:szCs w:val="24"/>
        </w:rPr>
        <w:t>t</w:t>
      </w:r>
      <w:r w:rsidRPr="001263B7">
        <w:rPr>
          <w:spacing w:val="-3"/>
          <w:sz w:val="24"/>
          <w:szCs w:val="24"/>
        </w:rPr>
        <w:t>i</w:t>
      </w:r>
      <w:r w:rsidRPr="001263B7">
        <w:rPr>
          <w:spacing w:val="-6"/>
          <w:sz w:val="24"/>
          <w:szCs w:val="24"/>
        </w:rPr>
        <w:t>k</w:t>
      </w:r>
      <w:r w:rsidRPr="001263B7">
        <w:rPr>
          <w:sz w:val="24"/>
          <w:szCs w:val="24"/>
        </w:rPr>
        <w:t>a</w:t>
      </w:r>
      <w:r w:rsidRPr="001263B7">
        <w:rPr>
          <w:spacing w:val="-5"/>
          <w:sz w:val="24"/>
          <w:szCs w:val="24"/>
        </w:rPr>
        <w:t>/</w:t>
      </w:r>
      <w:r w:rsidRPr="001263B7">
        <w:rPr>
          <w:spacing w:val="-2"/>
          <w:sz w:val="24"/>
          <w:szCs w:val="24"/>
        </w:rPr>
        <w:t>a</w:t>
      </w:r>
      <w:r w:rsidRPr="001263B7">
        <w:rPr>
          <w:spacing w:val="-3"/>
          <w:sz w:val="24"/>
          <w:szCs w:val="24"/>
        </w:rPr>
        <w:t>n</w:t>
      </w:r>
      <w:r w:rsidRPr="001263B7">
        <w:rPr>
          <w:spacing w:val="-1"/>
          <w:sz w:val="24"/>
          <w:szCs w:val="24"/>
        </w:rPr>
        <w:t>t</w:t>
      </w:r>
      <w:r w:rsidRPr="001263B7">
        <w:rPr>
          <w:sz w:val="24"/>
          <w:szCs w:val="24"/>
        </w:rPr>
        <w:t>i</w:t>
      </w:r>
      <w:r w:rsidRPr="001263B7">
        <w:rPr>
          <w:spacing w:val="-5"/>
          <w:sz w:val="24"/>
          <w:szCs w:val="24"/>
        </w:rPr>
        <w:t>d</w:t>
      </w:r>
      <w:r w:rsidRPr="001263B7">
        <w:rPr>
          <w:spacing w:val="-10"/>
          <w:sz w:val="24"/>
          <w:szCs w:val="24"/>
        </w:rPr>
        <w:t>e</w:t>
      </w:r>
      <w:r w:rsidRPr="001263B7">
        <w:rPr>
          <w:spacing w:val="-1"/>
          <w:sz w:val="24"/>
          <w:szCs w:val="24"/>
        </w:rPr>
        <w:t>pr</w:t>
      </w:r>
      <w:r w:rsidRPr="001263B7">
        <w:rPr>
          <w:sz w:val="24"/>
          <w:szCs w:val="24"/>
        </w:rPr>
        <w:t>e</w:t>
      </w:r>
      <w:r w:rsidRPr="001263B7">
        <w:rPr>
          <w:spacing w:val="-10"/>
          <w:sz w:val="24"/>
          <w:szCs w:val="24"/>
        </w:rPr>
        <w:t>s</w:t>
      </w:r>
      <w:r w:rsidRPr="001263B7">
        <w:rPr>
          <w:spacing w:val="-7"/>
          <w:sz w:val="24"/>
          <w:szCs w:val="24"/>
        </w:rPr>
        <w:t>s</w:t>
      </w:r>
      <w:r w:rsidRPr="001263B7">
        <w:rPr>
          <w:sz w:val="24"/>
          <w:szCs w:val="24"/>
        </w:rPr>
        <w:t>i</w:t>
      </w:r>
      <w:r w:rsidRPr="001263B7">
        <w:rPr>
          <w:spacing w:val="-3"/>
          <w:sz w:val="24"/>
          <w:szCs w:val="24"/>
        </w:rPr>
        <w:t>v</w:t>
      </w:r>
      <w:r w:rsidRPr="001263B7">
        <w:rPr>
          <w:sz w:val="24"/>
          <w:szCs w:val="24"/>
        </w:rPr>
        <w:t>a</w:t>
      </w:r>
      <w:r w:rsidRPr="001263B7">
        <w:rPr>
          <w:spacing w:val="-20"/>
          <w:sz w:val="24"/>
          <w:szCs w:val="24"/>
        </w:rPr>
        <w:t xml:space="preserve"> </w:t>
      </w:r>
      <w:r w:rsidRPr="001263B7">
        <w:rPr>
          <w:sz w:val="24"/>
          <w:szCs w:val="24"/>
        </w:rPr>
        <w:t>e</w:t>
      </w:r>
      <w:r w:rsidRPr="001263B7">
        <w:rPr>
          <w:spacing w:val="-1"/>
          <w:sz w:val="24"/>
          <w:szCs w:val="24"/>
        </w:rPr>
        <w:t>t</w:t>
      </w:r>
      <w:r w:rsidRPr="001263B7">
        <w:rPr>
          <w:sz w:val="24"/>
          <w:szCs w:val="24"/>
        </w:rPr>
        <w:t>c</w:t>
      </w:r>
      <w:r w:rsidRPr="001263B7">
        <w:rPr>
          <w:spacing w:val="-3"/>
          <w:sz w:val="24"/>
          <w:szCs w:val="24"/>
        </w:rPr>
        <w:t>)</w:t>
      </w:r>
      <w:r w:rsidRPr="001263B7">
        <w:rPr>
          <w:sz w:val="24"/>
          <w:szCs w:val="24"/>
        </w:rPr>
        <w:t>.</w:t>
      </w:r>
      <w:r w:rsidRPr="001263B7">
        <w:rPr>
          <w:spacing w:val="-18"/>
          <w:sz w:val="24"/>
          <w:szCs w:val="24"/>
        </w:rPr>
        <w:t xml:space="preserve"> </w:t>
      </w:r>
    </w:p>
    <w:p w14:paraId="4BA14495" w14:textId="77777777" w:rsidR="00702564" w:rsidRPr="008356F5" w:rsidRDefault="00702564" w:rsidP="00702564">
      <w:pPr>
        <w:shd w:val="clear" w:color="auto" w:fill="FFFFFF"/>
        <w:spacing w:before="100" w:beforeAutospacing="1" w:after="100" w:afterAutospacing="1"/>
        <w:rPr>
          <w:rFonts w:cs="Arial"/>
          <w:b/>
          <w:spacing w:val="-1"/>
        </w:rPr>
      </w:pPr>
      <w:r w:rsidRPr="008356F5">
        <w:rPr>
          <w:sz w:val="24"/>
          <w:szCs w:val="24"/>
        </w:rPr>
        <w:t xml:space="preserve">Ändring av annars stabila avföringsvanor i &gt; 4 veckor utan annan förklaring hos patienter över 40 år </w:t>
      </w:r>
      <w:r>
        <w:rPr>
          <w:sz w:val="24"/>
          <w:szCs w:val="24"/>
        </w:rPr>
        <w:t>f</w:t>
      </w:r>
      <w:r w:rsidRPr="008356F5">
        <w:rPr>
          <w:sz w:val="24"/>
          <w:szCs w:val="24"/>
        </w:rPr>
        <w:t>öranleder misstanke om kolorektalcancer. För mer info se vårdprogram kolorektalcancer</w:t>
      </w:r>
      <w:r w:rsidRPr="008356F5">
        <w:rPr>
          <w:rFonts w:cs="Arial"/>
          <w:b/>
          <w:spacing w:val="-1"/>
        </w:rPr>
        <w:t>.</w:t>
      </w:r>
    </w:p>
    <w:p w14:paraId="04D0D589" w14:textId="77777777" w:rsidR="00702564" w:rsidRPr="001263B7" w:rsidRDefault="00702564" w:rsidP="00702564">
      <w:pPr>
        <w:rPr>
          <w:rFonts w:cs="Arial"/>
          <w:b/>
          <w:spacing w:val="-1"/>
        </w:rPr>
      </w:pPr>
      <w:r w:rsidRPr="001263B7">
        <w:rPr>
          <w:sz w:val="24"/>
          <w:szCs w:val="24"/>
        </w:rPr>
        <w:t>Ko</w:t>
      </w:r>
      <w:r w:rsidRPr="001263B7">
        <w:rPr>
          <w:spacing w:val="-7"/>
          <w:sz w:val="24"/>
          <w:szCs w:val="24"/>
        </w:rPr>
        <w:t>s</w:t>
      </w:r>
      <w:r w:rsidRPr="001263B7">
        <w:rPr>
          <w:spacing w:val="-1"/>
          <w:sz w:val="24"/>
          <w:szCs w:val="24"/>
        </w:rPr>
        <w:t>t</w:t>
      </w:r>
      <w:r w:rsidRPr="001263B7">
        <w:rPr>
          <w:sz w:val="24"/>
          <w:szCs w:val="24"/>
        </w:rPr>
        <w:t>a</w:t>
      </w:r>
      <w:r w:rsidRPr="001263B7">
        <w:rPr>
          <w:spacing w:val="-3"/>
          <w:sz w:val="24"/>
          <w:szCs w:val="24"/>
        </w:rPr>
        <w:t>n</w:t>
      </w:r>
      <w:r w:rsidRPr="001263B7">
        <w:rPr>
          <w:spacing w:val="-2"/>
          <w:sz w:val="24"/>
          <w:szCs w:val="24"/>
        </w:rPr>
        <w:t>a</w:t>
      </w:r>
      <w:r w:rsidRPr="001263B7">
        <w:rPr>
          <w:spacing w:val="-1"/>
          <w:sz w:val="24"/>
          <w:szCs w:val="24"/>
        </w:rPr>
        <w:t>m</w:t>
      </w:r>
      <w:r w:rsidRPr="001263B7">
        <w:rPr>
          <w:spacing w:val="-3"/>
          <w:sz w:val="24"/>
          <w:szCs w:val="24"/>
        </w:rPr>
        <w:t>n</w:t>
      </w:r>
      <w:r w:rsidRPr="001263B7">
        <w:rPr>
          <w:spacing w:val="-8"/>
          <w:sz w:val="24"/>
          <w:szCs w:val="24"/>
        </w:rPr>
        <w:t>e</w:t>
      </w:r>
      <w:r w:rsidRPr="001263B7">
        <w:rPr>
          <w:sz w:val="24"/>
          <w:szCs w:val="24"/>
        </w:rPr>
        <w:t>s</w:t>
      </w:r>
      <w:r w:rsidRPr="001263B7">
        <w:rPr>
          <w:spacing w:val="-20"/>
          <w:sz w:val="24"/>
          <w:szCs w:val="24"/>
        </w:rPr>
        <w:t xml:space="preserve"> </w:t>
      </w:r>
      <w:r w:rsidRPr="001263B7">
        <w:rPr>
          <w:sz w:val="24"/>
          <w:szCs w:val="24"/>
        </w:rPr>
        <w:t>bör</w:t>
      </w:r>
      <w:r w:rsidRPr="001263B7">
        <w:rPr>
          <w:spacing w:val="-21"/>
          <w:sz w:val="24"/>
          <w:szCs w:val="24"/>
        </w:rPr>
        <w:t xml:space="preserve"> </w:t>
      </w:r>
      <w:r w:rsidRPr="001263B7">
        <w:rPr>
          <w:spacing w:val="-1"/>
          <w:sz w:val="24"/>
          <w:szCs w:val="24"/>
        </w:rPr>
        <w:t>t</w:t>
      </w:r>
      <w:r w:rsidRPr="001263B7">
        <w:rPr>
          <w:spacing w:val="-2"/>
          <w:sz w:val="24"/>
          <w:szCs w:val="24"/>
        </w:rPr>
        <w:t>a</w:t>
      </w:r>
      <w:r w:rsidRPr="001263B7">
        <w:rPr>
          <w:sz w:val="24"/>
          <w:szCs w:val="24"/>
        </w:rPr>
        <w:t>s</w:t>
      </w:r>
      <w:r w:rsidRPr="001263B7">
        <w:rPr>
          <w:spacing w:val="-20"/>
          <w:sz w:val="24"/>
          <w:szCs w:val="24"/>
        </w:rPr>
        <w:t xml:space="preserve"> </w:t>
      </w:r>
      <w:r w:rsidRPr="001263B7">
        <w:rPr>
          <w:sz w:val="24"/>
          <w:szCs w:val="24"/>
        </w:rPr>
        <w:t>innan</w:t>
      </w:r>
      <w:r w:rsidRPr="001263B7">
        <w:rPr>
          <w:spacing w:val="-17"/>
          <w:sz w:val="24"/>
          <w:szCs w:val="24"/>
        </w:rPr>
        <w:t xml:space="preserve"> </w:t>
      </w:r>
      <w:r w:rsidRPr="001263B7">
        <w:rPr>
          <w:spacing w:val="-3"/>
          <w:sz w:val="24"/>
          <w:szCs w:val="24"/>
        </w:rPr>
        <w:t>t</w:t>
      </w:r>
      <w:r w:rsidRPr="001263B7">
        <w:rPr>
          <w:sz w:val="24"/>
          <w:szCs w:val="24"/>
        </w:rPr>
        <w:t>e</w:t>
      </w:r>
      <w:r w:rsidRPr="001263B7">
        <w:rPr>
          <w:spacing w:val="-1"/>
          <w:sz w:val="24"/>
          <w:szCs w:val="24"/>
        </w:rPr>
        <w:t>r</w:t>
      </w:r>
      <w:r w:rsidRPr="001263B7">
        <w:rPr>
          <w:sz w:val="24"/>
          <w:szCs w:val="24"/>
        </w:rPr>
        <w:t>api</w:t>
      </w:r>
      <w:r w:rsidRPr="001263B7">
        <w:rPr>
          <w:spacing w:val="-7"/>
          <w:sz w:val="24"/>
          <w:szCs w:val="24"/>
        </w:rPr>
        <w:t>f</w:t>
      </w:r>
      <w:r w:rsidRPr="001263B7">
        <w:rPr>
          <w:spacing w:val="-1"/>
          <w:sz w:val="24"/>
          <w:szCs w:val="24"/>
        </w:rPr>
        <w:t>ör</w:t>
      </w:r>
      <w:r w:rsidRPr="001263B7">
        <w:rPr>
          <w:spacing w:val="-10"/>
          <w:sz w:val="24"/>
          <w:szCs w:val="24"/>
        </w:rPr>
        <w:t>s</w:t>
      </w:r>
      <w:r w:rsidRPr="001263B7">
        <w:rPr>
          <w:spacing w:val="2"/>
          <w:sz w:val="24"/>
          <w:szCs w:val="24"/>
        </w:rPr>
        <w:t>l</w:t>
      </w:r>
      <w:r w:rsidRPr="001263B7">
        <w:rPr>
          <w:spacing w:val="-2"/>
          <w:sz w:val="24"/>
          <w:szCs w:val="24"/>
        </w:rPr>
        <w:t>a</w:t>
      </w:r>
      <w:r w:rsidRPr="001263B7">
        <w:rPr>
          <w:sz w:val="24"/>
          <w:szCs w:val="24"/>
        </w:rPr>
        <w:t>g</w:t>
      </w:r>
      <w:r w:rsidRPr="001263B7">
        <w:rPr>
          <w:spacing w:val="-20"/>
          <w:sz w:val="24"/>
          <w:szCs w:val="24"/>
        </w:rPr>
        <w:t xml:space="preserve"> </w:t>
      </w:r>
      <w:r w:rsidRPr="001263B7">
        <w:rPr>
          <w:sz w:val="24"/>
          <w:szCs w:val="24"/>
        </w:rPr>
        <w:t>ge</w:t>
      </w:r>
      <w:r w:rsidRPr="001263B7">
        <w:rPr>
          <w:spacing w:val="-7"/>
          <w:sz w:val="24"/>
          <w:szCs w:val="24"/>
        </w:rPr>
        <w:t>s</w:t>
      </w:r>
      <w:r w:rsidRPr="001263B7">
        <w:rPr>
          <w:sz w:val="24"/>
          <w:szCs w:val="24"/>
        </w:rPr>
        <w:t>.</w:t>
      </w:r>
      <w:r w:rsidRPr="001263B7">
        <w:rPr>
          <w:w w:val="99"/>
          <w:sz w:val="24"/>
          <w:szCs w:val="24"/>
        </w:rPr>
        <w:t xml:space="preserve"> </w:t>
      </w:r>
      <w:r w:rsidRPr="001263B7">
        <w:rPr>
          <w:spacing w:val="-10"/>
          <w:sz w:val="24"/>
          <w:szCs w:val="24"/>
        </w:rPr>
        <w:t>S</w:t>
      </w:r>
      <w:r w:rsidRPr="001263B7">
        <w:rPr>
          <w:spacing w:val="-1"/>
          <w:sz w:val="24"/>
          <w:szCs w:val="24"/>
        </w:rPr>
        <w:t>t</w:t>
      </w:r>
      <w:r w:rsidRPr="001263B7">
        <w:rPr>
          <w:sz w:val="24"/>
          <w:szCs w:val="24"/>
        </w:rPr>
        <w:t>e</w:t>
      </w:r>
      <w:r w:rsidRPr="001263B7">
        <w:rPr>
          <w:spacing w:val="-9"/>
          <w:sz w:val="24"/>
          <w:szCs w:val="24"/>
        </w:rPr>
        <w:t>r</w:t>
      </w:r>
      <w:r w:rsidRPr="001263B7">
        <w:rPr>
          <w:sz w:val="24"/>
          <w:szCs w:val="24"/>
        </w:rPr>
        <w:t>kulia</w:t>
      </w:r>
      <w:r w:rsidRPr="001263B7">
        <w:rPr>
          <w:spacing w:val="1"/>
          <w:sz w:val="24"/>
          <w:szCs w:val="24"/>
        </w:rPr>
        <w:t>g</w:t>
      </w:r>
      <w:r w:rsidRPr="001263B7">
        <w:rPr>
          <w:sz w:val="24"/>
          <w:szCs w:val="24"/>
        </w:rPr>
        <w:t>u</w:t>
      </w:r>
      <w:r w:rsidRPr="001263B7">
        <w:rPr>
          <w:spacing w:val="-3"/>
          <w:sz w:val="24"/>
          <w:szCs w:val="24"/>
        </w:rPr>
        <w:t>m</w:t>
      </w:r>
      <w:r w:rsidRPr="001263B7">
        <w:rPr>
          <w:spacing w:val="-1"/>
          <w:sz w:val="24"/>
          <w:szCs w:val="24"/>
        </w:rPr>
        <w:t>m</w:t>
      </w:r>
      <w:r w:rsidRPr="001263B7">
        <w:rPr>
          <w:sz w:val="24"/>
          <w:szCs w:val="24"/>
        </w:rPr>
        <w:t>i</w:t>
      </w:r>
      <w:r w:rsidRPr="001263B7">
        <w:rPr>
          <w:spacing w:val="-13"/>
          <w:sz w:val="24"/>
          <w:szCs w:val="24"/>
        </w:rPr>
        <w:t xml:space="preserve"> </w:t>
      </w:r>
      <w:r w:rsidRPr="001263B7">
        <w:rPr>
          <w:spacing w:val="-1"/>
          <w:sz w:val="24"/>
          <w:szCs w:val="24"/>
        </w:rPr>
        <w:t>(</w:t>
      </w:r>
      <w:r w:rsidRPr="001263B7">
        <w:rPr>
          <w:spacing w:val="-9"/>
          <w:sz w:val="24"/>
          <w:szCs w:val="24"/>
        </w:rPr>
        <w:t>I</w:t>
      </w:r>
      <w:r w:rsidRPr="001263B7">
        <w:rPr>
          <w:sz w:val="24"/>
          <w:szCs w:val="24"/>
        </w:rPr>
        <w:t>nol</w:t>
      </w:r>
      <w:r w:rsidRPr="001263B7">
        <w:rPr>
          <w:spacing w:val="-2"/>
          <w:sz w:val="24"/>
          <w:szCs w:val="24"/>
        </w:rPr>
        <w:t>a</w:t>
      </w:r>
      <w:r w:rsidRPr="001263B7">
        <w:rPr>
          <w:spacing w:val="-5"/>
          <w:sz w:val="24"/>
          <w:szCs w:val="24"/>
        </w:rPr>
        <w:t>x</w:t>
      </w:r>
      <w:r w:rsidRPr="001263B7">
        <w:rPr>
          <w:spacing w:val="-1"/>
          <w:sz w:val="24"/>
          <w:szCs w:val="24"/>
        </w:rPr>
        <w:t>o</w:t>
      </w:r>
      <w:r w:rsidRPr="001263B7">
        <w:rPr>
          <w:sz w:val="24"/>
          <w:szCs w:val="24"/>
        </w:rPr>
        <w:t>l)</w:t>
      </w:r>
      <w:r w:rsidRPr="001263B7">
        <w:rPr>
          <w:spacing w:val="-15"/>
          <w:sz w:val="24"/>
          <w:szCs w:val="24"/>
        </w:rPr>
        <w:t xml:space="preserve"> </w:t>
      </w:r>
      <w:r w:rsidRPr="001263B7">
        <w:rPr>
          <w:spacing w:val="-3"/>
          <w:sz w:val="24"/>
          <w:szCs w:val="24"/>
        </w:rPr>
        <w:t>eller</w:t>
      </w:r>
      <w:r w:rsidRPr="001263B7">
        <w:rPr>
          <w:spacing w:val="-15"/>
          <w:sz w:val="24"/>
          <w:szCs w:val="24"/>
        </w:rPr>
        <w:t xml:space="preserve"> </w:t>
      </w:r>
      <w:r w:rsidRPr="001263B7">
        <w:rPr>
          <w:spacing w:val="-7"/>
          <w:sz w:val="24"/>
          <w:szCs w:val="24"/>
        </w:rPr>
        <w:t>b</w:t>
      </w:r>
      <w:r w:rsidRPr="001263B7">
        <w:rPr>
          <w:sz w:val="24"/>
          <w:szCs w:val="24"/>
        </w:rPr>
        <w:t>ulk</w:t>
      </w:r>
      <w:r w:rsidRPr="001263B7">
        <w:rPr>
          <w:spacing w:val="-3"/>
          <w:sz w:val="24"/>
          <w:szCs w:val="24"/>
        </w:rPr>
        <w:t>m</w:t>
      </w:r>
      <w:r w:rsidRPr="001263B7">
        <w:rPr>
          <w:sz w:val="24"/>
          <w:szCs w:val="24"/>
        </w:rPr>
        <w:t>edel</w:t>
      </w:r>
      <w:r w:rsidRPr="001263B7">
        <w:rPr>
          <w:spacing w:val="-13"/>
          <w:sz w:val="24"/>
          <w:szCs w:val="24"/>
        </w:rPr>
        <w:t xml:space="preserve"> </w:t>
      </w:r>
      <w:r w:rsidRPr="001263B7">
        <w:rPr>
          <w:sz w:val="24"/>
          <w:szCs w:val="24"/>
        </w:rPr>
        <w:t>i</w:t>
      </w:r>
      <w:r w:rsidRPr="001263B7">
        <w:rPr>
          <w:spacing w:val="-10"/>
          <w:sz w:val="24"/>
          <w:szCs w:val="24"/>
        </w:rPr>
        <w:t xml:space="preserve"> </w:t>
      </w:r>
      <w:r w:rsidRPr="001263B7">
        <w:rPr>
          <w:spacing w:val="-9"/>
          <w:sz w:val="24"/>
          <w:szCs w:val="24"/>
        </w:rPr>
        <w:t>f</w:t>
      </w:r>
      <w:r w:rsidRPr="001263B7">
        <w:rPr>
          <w:sz w:val="24"/>
          <w:szCs w:val="24"/>
        </w:rPr>
        <w:t>o</w:t>
      </w:r>
      <w:r w:rsidRPr="001263B7">
        <w:rPr>
          <w:spacing w:val="-1"/>
          <w:sz w:val="24"/>
          <w:szCs w:val="24"/>
        </w:rPr>
        <w:t>r</w:t>
      </w:r>
      <w:r w:rsidRPr="001263B7">
        <w:rPr>
          <w:sz w:val="24"/>
          <w:szCs w:val="24"/>
        </w:rPr>
        <w:t>m</w:t>
      </w:r>
      <w:r w:rsidRPr="001263B7">
        <w:rPr>
          <w:spacing w:val="-18"/>
          <w:sz w:val="24"/>
          <w:szCs w:val="24"/>
        </w:rPr>
        <w:t xml:space="preserve"> </w:t>
      </w:r>
      <w:r w:rsidRPr="001263B7">
        <w:rPr>
          <w:sz w:val="24"/>
          <w:szCs w:val="24"/>
        </w:rPr>
        <w:t>av</w:t>
      </w:r>
      <w:r w:rsidRPr="001263B7">
        <w:rPr>
          <w:spacing w:val="-10"/>
          <w:sz w:val="24"/>
          <w:szCs w:val="24"/>
        </w:rPr>
        <w:t xml:space="preserve"> </w:t>
      </w:r>
      <w:r w:rsidRPr="001263B7">
        <w:rPr>
          <w:sz w:val="24"/>
          <w:szCs w:val="24"/>
        </w:rPr>
        <w:t>i</w:t>
      </w:r>
      <w:r w:rsidRPr="001263B7">
        <w:rPr>
          <w:spacing w:val="-7"/>
          <w:sz w:val="24"/>
          <w:szCs w:val="24"/>
        </w:rPr>
        <w:t>s</w:t>
      </w:r>
      <w:r w:rsidRPr="001263B7">
        <w:rPr>
          <w:spacing w:val="-1"/>
          <w:sz w:val="24"/>
          <w:szCs w:val="24"/>
        </w:rPr>
        <w:t>pagh</w:t>
      </w:r>
      <w:r w:rsidRPr="001263B7">
        <w:rPr>
          <w:sz w:val="24"/>
          <w:szCs w:val="24"/>
        </w:rPr>
        <w:t>ula</w:t>
      </w:r>
      <w:r w:rsidRPr="001263B7">
        <w:rPr>
          <w:spacing w:val="-10"/>
          <w:sz w:val="24"/>
          <w:szCs w:val="24"/>
        </w:rPr>
        <w:t xml:space="preserve"> </w:t>
      </w:r>
      <w:r w:rsidRPr="001263B7">
        <w:rPr>
          <w:sz w:val="24"/>
          <w:szCs w:val="24"/>
        </w:rPr>
        <w:t>(Vi</w:t>
      </w:r>
      <w:r w:rsidRPr="001263B7">
        <w:rPr>
          <w:sz w:val="24"/>
          <w:szCs w:val="24"/>
        </w:rPr>
        <w:noBreakHyphen/>
        <w:t xml:space="preserve">Siblin S) bör vara förstahandsmedel. Uppmärksamma patienten på behov av samtidigt vätskeintag. </w:t>
      </w:r>
    </w:p>
    <w:p w14:paraId="5A9C8E3B" w14:textId="77777777" w:rsidR="00702564" w:rsidRPr="005949CC" w:rsidRDefault="00702564" w:rsidP="00702564">
      <w:pPr>
        <w:pStyle w:val="Rubrik3"/>
      </w:pPr>
      <w:r w:rsidRPr="005949CC">
        <w:t>Osmotiskt aktiva medel</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1263B7" w14:paraId="487BEAEA" w14:textId="77777777" w:rsidTr="00632FCC">
        <w:tc>
          <w:tcPr>
            <w:tcW w:w="4531" w:type="dxa"/>
          </w:tcPr>
          <w:p w14:paraId="430966BE" w14:textId="77777777" w:rsidR="00702564" w:rsidRPr="001263B7" w:rsidRDefault="00702564" w:rsidP="00632FCC">
            <w:pPr>
              <w:rPr>
                <w:rFonts w:eastAsia="Garamond" w:cs="Garamond"/>
                <w:b/>
                <w:bCs/>
                <w:iCs/>
                <w:spacing w:val="1"/>
                <w:sz w:val="24"/>
                <w:szCs w:val="28"/>
              </w:rPr>
            </w:pPr>
            <w:r w:rsidRPr="001263B7">
              <w:rPr>
                <w:rFonts w:eastAsia="Garamond" w:cs="Garamond"/>
                <w:b/>
                <w:bCs/>
                <w:iCs/>
                <w:spacing w:val="1"/>
                <w:sz w:val="24"/>
                <w:szCs w:val="28"/>
              </w:rPr>
              <w:t>m</w:t>
            </w:r>
            <w:r w:rsidRPr="001263B7">
              <w:rPr>
                <w:rFonts w:eastAsia="Garamond" w:cs="Garamond"/>
                <w:b/>
                <w:bCs/>
                <w:iCs/>
                <w:sz w:val="24"/>
                <w:szCs w:val="28"/>
              </w:rPr>
              <w:t>a</w:t>
            </w:r>
            <w:r w:rsidRPr="001263B7">
              <w:rPr>
                <w:rFonts w:eastAsia="Garamond" w:cs="Garamond"/>
                <w:b/>
                <w:bCs/>
                <w:iCs/>
                <w:spacing w:val="-1"/>
                <w:sz w:val="24"/>
                <w:szCs w:val="28"/>
              </w:rPr>
              <w:t>k</w:t>
            </w:r>
            <w:r w:rsidRPr="001263B7">
              <w:rPr>
                <w:rFonts w:eastAsia="Garamond" w:cs="Garamond"/>
                <w:b/>
                <w:bCs/>
                <w:iCs/>
                <w:sz w:val="24"/>
                <w:szCs w:val="28"/>
              </w:rPr>
              <w:t>r</w:t>
            </w:r>
            <w:r w:rsidRPr="001263B7">
              <w:rPr>
                <w:rFonts w:eastAsia="Garamond" w:cs="Garamond"/>
                <w:b/>
                <w:bCs/>
                <w:iCs/>
                <w:spacing w:val="-2"/>
                <w:sz w:val="24"/>
                <w:szCs w:val="28"/>
              </w:rPr>
              <w:t>o</w:t>
            </w:r>
            <w:r w:rsidRPr="001263B7">
              <w:rPr>
                <w:rFonts w:eastAsia="Garamond" w:cs="Garamond"/>
                <w:b/>
                <w:bCs/>
                <w:iCs/>
                <w:spacing w:val="-1"/>
                <w:sz w:val="24"/>
                <w:szCs w:val="28"/>
              </w:rPr>
              <w:t>g</w:t>
            </w:r>
            <w:r w:rsidRPr="001263B7">
              <w:rPr>
                <w:rFonts w:eastAsia="Garamond" w:cs="Garamond"/>
                <w:b/>
                <w:bCs/>
                <w:iCs/>
                <w:spacing w:val="-6"/>
                <w:sz w:val="24"/>
                <w:szCs w:val="28"/>
              </w:rPr>
              <w:t>o</w:t>
            </w:r>
            <w:r w:rsidRPr="001263B7">
              <w:rPr>
                <w:rFonts w:eastAsia="Garamond" w:cs="Garamond"/>
                <w:b/>
                <w:bCs/>
                <w:iCs/>
                <w:sz w:val="24"/>
                <w:szCs w:val="28"/>
              </w:rPr>
              <w:t>l</w:t>
            </w:r>
          </w:p>
        </w:tc>
        <w:tc>
          <w:tcPr>
            <w:tcW w:w="4531" w:type="dxa"/>
          </w:tcPr>
          <w:p w14:paraId="5AB763C9" w14:textId="77777777" w:rsidR="00702564" w:rsidRPr="003F79DC" w:rsidRDefault="00702564" w:rsidP="00632FCC">
            <w:pPr>
              <w:rPr>
                <w:rFonts w:eastAsia="Garamond" w:cs="Garamond"/>
                <w:iCs/>
                <w:spacing w:val="1"/>
                <w:sz w:val="24"/>
                <w:szCs w:val="28"/>
              </w:rPr>
            </w:pPr>
            <w:r>
              <w:rPr>
                <w:rFonts w:eastAsia="Garamond" w:cs="Garamond"/>
                <w:iCs/>
                <w:spacing w:val="1"/>
                <w:sz w:val="24"/>
                <w:szCs w:val="28"/>
              </w:rPr>
              <w:t>Movicol</w:t>
            </w:r>
          </w:p>
        </w:tc>
      </w:tr>
      <w:tr w:rsidR="00702564" w:rsidRPr="001263B7" w14:paraId="3CA41D84" w14:textId="77777777" w:rsidTr="00632FCC">
        <w:tc>
          <w:tcPr>
            <w:tcW w:w="4531" w:type="dxa"/>
          </w:tcPr>
          <w:p w14:paraId="54EFE521" w14:textId="77777777" w:rsidR="00702564" w:rsidRPr="001263B7" w:rsidRDefault="00702564" w:rsidP="00632FCC">
            <w:pPr>
              <w:rPr>
                <w:rFonts w:eastAsia="Garamond" w:cs="Garamond"/>
                <w:b/>
                <w:bCs/>
                <w:iCs/>
                <w:spacing w:val="1"/>
                <w:sz w:val="24"/>
                <w:szCs w:val="28"/>
              </w:rPr>
            </w:pPr>
            <w:r w:rsidRPr="001263B7">
              <w:rPr>
                <w:rFonts w:eastAsia="Garamond" w:cs="Garamond"/>
                <w:b/>
                <w:bCs/>
                <w:iCs/>
                <w:sz w:val="24"/>
                <w:szCs w:val="28"/>
              </w:rPr>
              <w:t>la</w:t>
            </w:r>
            <w:r w:rsidRPr="001263B7">
              <w:rPr>
                <w:rFonts w:eastAsia="Garamond" w:cs="Garamond"/>
                <w:b/>
                <w:bCs/>
                <w:iCs/>
                <w:spacing w:val="-1"/>
                <w:sz w:val="24"/>
                <w:szCs w:val="28"/>
              </w:rPr>
              <w:t>k</w:t>
            </w:r>
            <w:r w:rsidRPr="001263B7">
              <w:rPr>
                <w:rFonts w:eastAsia="Garamond" w:cs="Garamond"/>
                <w:b/>
                <w:bCs/>
                <w:iCs/>
                <w:sz w:val="24"/>
                <w:szCs w:val="28"/>
              </w:rPr>
              <w:t>tul</w:t>
            </w:r>
            <w:r w:rsidRPr="001263B7">
              <w:rPr>
                <w:rFonts w:eastAsia="Garamond" w:cs="Garamond"/>
                <w:b/>
                <w:bCs/>
                <w:iCs/>
                <w:spacing w:val="-1"/>
                <w:sz w:val="24"/>
                <w:szCs w:val="28"/>
              </w:rPr>
              <w:t>o</w:t>
            </w:r>
            <w:r w:rsidRPr="001263B7">
              <w:rPr>
                <w:rFonts w:eastAsia="Garamond" w:cs="Garamond"/>
                <w:b/>
                <w:bCs/>
                <w:iCs/>
                <w:sz w:val="24"/>
                <w:szCs w:val="28"/>
              </w:rPr>
              <w:t>s</w:t>
            </w:r>
          </w:p>
        </w:tc>
        <w:tc>
          <w:tcPr>
            <w:tcW w:w="4531" w:type="dxa"/>
          </w:tcPr>
          <w:p w14:paraId="1235FFD4" w14:textId="77777777" w:rsidR="00702564" w:rsidRPr="001263B7" w:rsidRDefault="00702564" w:rsidP="00632FCC">
            <w:pPr>
              <w:rPr>
                <w:rFonts w:eastAsia="Garamond" w:cs="Garamond"/>
                <w:b/>
                <w:bCs/>
                <w:iCs/>
                <w:spacing w:val="1"/>
                <w:sz w:val="24"/>
                <w:szCs w:val="28"/>
              </w:rPr>
            </w:pPr>
            <w:r w:rsidRPr="001263B7">
              <w:rPr>
                <w:rFonts w:eastAsia="Garamond" w:cs="Garamond"/>
                <w:spacing w:val="1"/>
                <w:sz w:val="24"/>
                <w:szCs w:val="28"/>
              </w:rPr>
              <w:t>L</w:t>
            </w:r>
            <w:r w:rsidRPr="001263B7">
              <w:rPr>
                <w:rFonts w:eastAsia="Garamond" w:cs="Garamond"/>
                <w:sz w:val="24"/>
                <w:szCs w:val="28"/>
              </w:rPr>
              <w:t>a</w:t>
            </w:r>
            <w:r w:rsidRPr="001263B7">
              <w:rPr>
                <w:rFonts w:eastAsia="Garamond" w:cs="Garamond"/>
                <w:spacing w:val="-1"/>
                <w:sz w:val="24"/>
                <w:szCs w:val="28"/>
              </w:rPr>
              <w:t>ktul</w:t>
            </w:r>
            <w:r w:rsidRPr="001263B7">
              <w:rPr>
                <w:rFonts w:eastAsia="Garamond" w:cs="Garamond"/>
                <w:spacing w:val="-9"/>
                <w:sz w:val="24"/>
                <w:szCs w:val="28"/>
              </w:rPr>
              <w:t>o</w:t>
            </w:r>
            <w:r w:rsidRPr="001263B7">
              <w:rPr>
                <w:rFonts w:eastAsia="Garamond" w:cs="Garamond"/>
                <w:sz w:val="24"/>
                <w:szCs w:val="28"/>
              </w:rPr>
              <w:t>s</w:t>
            </w:r>
          </w:p>
        </w:tc>
      </w:tr>
      <w:tr w:rsidR="00702564" w:rsidRPr="001263B7" w14:paraId="24C2AA8A" w14:textId="77777777" w:rsidTr="00632FCC">
        <w:tc>
          <w:tcPr>
            <w:tcW w:w="4531" w:type="dxa"/>
          </w:tcPr>
          <w:p w14:paraId="7F0D1EF3" w14:textId="77777777" w:rsidR="00702564" w:rsidRPr="001263B7" w:rsidRDefault="00702564" w:rsidP="00632FCC">
            <w:pPr>
              <w:rPr>
                <w:rFonts w:eastAsia="Garamond" w:cs="Garamond"/>
                <w:b/>
                <w:bCs/>
                <w:iCs/>
                <w:spacing w:val="1"/>
                <w:sz w:val="24"/>
                <w:szCs w:val="28"/>
              </w:rPr>
            </w:pPr>
            <w:r w:rsidRPr="001263B7">
              <w:rPr>
                <w:rFonts w:eastAsia="Garamond" w:cs="Garamond"/>
                <w:b/>
                <w:bCs/>
                <w:iCs/>
                <w:spacing w:val="-3"/>
                <w:sz w:val="24"/>
                <w:szCs w:val="28"/>
              </w:rPr>
              <w:t>l</w:t>
            </w:r>
            <w:r w:rsidRPr="001263B7">
              <w:rPr>
                <w:rFonts w:eastAsia="Garamond" w:cs="Garamond"/>
                <w:b/>
                <w:bCs/>
                <w:iCs/>
                <w:sz w:val="24"/>
                <w:szCs w:val="28"/>
              </w:rPr>
              <w:t>a</w:t>
            </w:r>
            <w:r w:rsidRPr="001263B7">
              <w:rPr>
                <w:rFonts w:eastAsia="Garamond" w:cs="Garamond"/>
                <w:b/>
                <w:bCs/>
                <w:iCs/>
                <w:spacing w:val="-1"/>
                <w:sz w:val="24"/>
                <w:szCs w:val="28"/>
              </w:rPr>
              <w:t>k</w:t>
            </w:r>
            <w:r w:rsidRPr="001263B7">
              <w:rPr>
                <w:rFonts w:eastAsia="Garamond" w:cs="Garamond"/>
                <w:b/>
                <w:bCs/>
                <w:iCs/>
                <w:sz w:val="24"/>
                <w:szCs w:val="28"/>
              </w:rPr>
              <w:t>tit</w:t>
            </w:r>
            <w:r w:rsidRPr="001263B7">
              <w:rPr>
                <w:rFonts w:eastAsia="Garamond" w:cs="Garamond"/>
                <w:b/>
                <w:bCs/>
                <w:iCs/>
                <w:spacing w:val="-9"/>
                <w:sz w:val="24"/>
                <w:szCs w:val="28"/>
              </w:rPr>
              <w:t>o</w:t>
            </w:r>
            <w:r w:rsidRPr="001263B7">
              <w:rPr>
                <w:rFonts w:eastAsia="Garamond" w:cs="Garamond"/>
                <w:b/>
                <w:bCs/>
                <w:iCs/>
                <w:sz w:val="24"/>
                <w:szCs w:val="28"/>
              </w:rPr>
              <w:t>l</w:t>
            </w:r>
          </w:p>
        </w:tc>
        <w:tc>
          <w:tcPr>
            <w:tcW w:w="4531" w:type="dxa"/>
          </w:tcPr>
          <w:p w14:paraId="356953DA" w14:textId="77777777" w:rsidR="00702564" w:rsidRPr="001263B7" w:rsidRDefault="00702564" w:rsidP="00632FCC">
            <w:pPr>
              <w:rPr>
                <w:rFonts w:eastAsia="Garamond" w:cs="Garamond"/>
                <w:b/>
                <w:bCs/>
                <w:iCs/>
                <w:spacing w:val="1"/>
                <w:sz w:val="24"/>
                <w:szCs w:val="28"/>
              </w:rPr>
            </w:pPr>
            <w:r w:rsidRPr="001263B7">
              <w:rPr>
                <w:rFonts w:eastAsia="Garamond" w:cs="Garamond"/>
                <w:sz w:val="24"/>
                <w:szCs w:val="28"/>
              </w:rPr>
              <w:t>I</w:t>
            </w:r>
            <w:r w:rsidRPr="001263B7">
              <w:rPr>
                <w:rFonts w:eastAsia="Garamond" w:cs="Garamond"/>
                <w:spacing w:val="-1"/>
                <w:sz w:val="24"/>
                <w:szCs w:val="28"/>
              </w:rPr>
              <w:t>mp</w:t>
            </w:r>
            <w:r w:rsidRPr="001263B7">
              <w:rPr>
                <w:rFonts w:eastAsia="Garamond" w:cs="Garamond"/>
                <w:sz w:val="24"/>
                <w:szCs w:val="28"/>
              </w:rPr>
              <w:t>o</w:t>
            </w:r>
            <w:r w:rsidRPr="001263B7">
              <w:rPr>
                <w:rFonts w:eastAsia="Garamond" w:cs="Garamond"/>
                <w:spacing w:val="-2"/>
                <w:sz w:val="24"/>
                <w:szCs w:val="28"/>
              </w:rPr>
              <w:t>r</w:t>
            </w:r>
            <w:r w:rsidRPr="001263B7">
              <w:rPr>
                <w:rFonts w:eastAsia="Garamond" w:cs="Garamond"/>
                <w:spacing w:val="-1"/>
                <w:sz w:val="24"/>
                <w:szCs w:val="28"/>
              </w:rPr>
              <w:t>t</w:t>
            </w:r>
            <w:r w:rsidRPr="001263B7">
              <w:rPr>
                <w:rFonts w:eastAsia="Garamond" w:cs="Garamond"/>
                <w:sz w:val="24"/>
                <w:szCs w:val="28"/>
              </w:rPr>
              <w:t>al</w:t>
            </w:r>
            <w:r w:rsidRPr="001263B7">
              <w:rPr>
                <w:rFonts w:eastAsia="Garamond" w:cs="Garamond"/>
                <w:spacing w:val="-14"/>
                <w:sz w:val="24"/>
                <w:szCs w:val="28"/>
              </w:rPr>
              <w:t xml:space="preserve"> </w:t>
            </w:r>
            <w:r w:rsidRPr="001263B7">
              <w:rPr>
                <w:rFonts w:eastAsia="Garamond" w:cs="Garamond"/>
                <w:sz w:val="24"/>
                <w:szCs w:val="28"/>
              </w:rPr>
              <w:t>E</w:t>
            </w:r>
            <w:r w:rsidRPr="001263B7">
              <w:rPr>
                <w:rFonts w:eastAsia="Garamond" w:cs="Garamond"/>
                <w:spacing w:val="-1"/>
                <w:sz w:val="24"/>
                <w:szCs w:val="28"/>
              </w:rPr>
              <w:t>x-</w:t>
            </w:r>
            <w:r w:rsidRPr="001263B7">
              <w:rPr>
                <w:rFonts w:eastAsia="Garamond" w:cs="Garamond"/>
                <w:spacing w:val="1"/>
                <w:sz w:val="24"/>
                <w:szCs w:val="28"/>
              </w:rPr>
              <w:t>L</w:t>
            </w:r>
            <w:r w:rsidRPr="001263B7">
              <w:rPr>
                <w:rFonts w:eastAsia="Garamond" w:cs="Garamond"/>
                <w:sz w:val="24"/>
                <w:szCs w:val="28"/>
              </w:rPr>
              <w:t>ax</w:t>
            </w:r>
          </w:p>
        </w:tc>
      </w:tr>
    </w:tbl>
    <w:p w14:paraId="5B152987" w14:textId="77777777" w:rsidR="00702564" w:rsidRPr="001263B7" w:rsidRDefault="00702564" w:rsidP="00702564">
      <w:pPr>
        <w:rPr>
          <w:sz w:val="24"/>
          <w:szCs w:val="24"/>
        </w:rPr>
      </w:pPr>
    </w:p>
    <w:p w14:paraId="55E6FF20" w14:textId="77777777" w:rsidR="00702564" w:rsidRPr="001263B7" w:rsidRDefault="00702564" w:rsidP="00702564">
      <w:pPr>
        <w:rPr>
          <w:w w:val="99"/>
        </w:rPr>
      </w:pPr>
      <w:r w:rsidRPr="001263B7">
        <w:rPr>
          <w:spacing w:val="-3"/>
          <w:sz w:val="24"/>
          <w:szCs w:val="24"/>
        </w:rPr>
        <w:t xml:space="preserve">Laktulos bryts ned av tjocktarmens bakterieflora med bildning av organiska syror vilka binder vatten. Patienter med gasbesvär kan uppleva ökade besvär med laktulos. Dessa ökade besvär är dock ofta övergående. Importal i dospulverform är ett alternativ till patienter med svårighet att ta flytande laktulos. </w:t>
      </w:r>
    </w:p>
    <w:p w14:paraId="19D65BB9" w14:textId="77777777" w:rsidR="00702564" w:rsidRPr="005949CC" w:rsidRDefault="00702564" w:rsidP="00702564">
      <w:pPr>
        <w:pStyle w:val="Rubrik3"/>
      </w:pPr>
      <w:r w:rsidRPr="005949CC">
        <w:t>Motorikstimulerare/tarmirriterande laxeringsmedel</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1263B7" w14:paraId="5DAB2209" w14:textId="77777777" w:rsidTr="00632FCC">
        <w:tc>
          <w:tcPr>
            <w:tcW w:w="4531" w:type="dxa"/>
          </w:tcPr>
          <w:p w14:paraId="4F898DAA" w14:textId="77777777" w:rsidR="00702564" w:rsidRPr="001263B7" w:rsidRDefault="00702564" w:rsidP="00632FCC">
            <w:pPr>
              <w:rPr>
                <w:rFonts w:eastAsia="Garamond" w:cs="Garamond"/>
                <w:b/>
                <w:bCs/>
                <w:iCs/>
                <w:sz w:val="24"/>
                <w:szCs w:val="28"/>
              </w:rPr>
            </w:pPr>
            <w:r w:rsidRPr="001263B7">
              <w:rPr>
                <w:rFonts w:eastAsia="Garamond" w:cs="Garamond"/>
                <w:b/>
                <w:bCs/>
                <w:iCs/>
                <w:sz w:val="24"/>
                <w:szCs w:val="28"/>
              </w:rPr>
              <w:t>na</w:t>
            </w:r>
            <w:r w:rsidRPr="001263B7">
              <w:rPr>
                <w:rFonts w:eastAsia="Garamond" w:cs="Garamond"/>
                <w:b/>
                <w:bCs/>
                <w:iCs/>
                <w:spacing w:val="-3"/>
                <w:sz w:val="24"/>
                <w:szCs w:val="28"/>
              </w:rPr>
              <w:t>t</w:t>
            </w:r>
            <w:r w:rsidRPr="001263B7">
              <w:rPr>
                <w:rFonts w:eastAsia="Garamond" w:cs="Garamond"/>
                <w:b/>
                <w:bCs/>
                <w:iCs/>
                <w:spacing w:val="-1"/>
                <w:sz w:val="24"/>
                <w:szCs w:val="28"/>
              </w:rPr>
              <w:t>r</w:t>
            </w:r>
            <w:r w:rsidRPr="001263B7">
              <w:rPr>
                <w:rFonts w:eastAsia="Garamond" w:cs="Garamond"/>
                <w:b/>
                <w:bCs/>
                <w:iCs/>
                <w:sz w:val="24"/>
                <w:szCs w:val="28"/>
              </w:rPr>
              <w:t>i</w:t>
            </w:r>
            <w:r w:rsidRPr="001263B7">
              <w:rPr>
                <w:rFonts w:eastAsia="Garamond" w:cs="Garamond"/>
                <w:b/>
                <w:bCs/>
                <w:iCs/>
                <w:spacing w:val="-2"/>
                <w:sz w:val="24"/>
                <w:szCs w:val="28"/>
              </w:rPr>
              <w:t>u</w:t>
            </w:r>
            <w:r w:rsidRPr="001263B7">
              <w:rPr>
                <w:rFonts w:eastAsia="Garamond" w:cs="Garamond"/>
                <w:b/>
                <w:bCs/>
                <w:iCs/>
                <w:spacing w:val="-4"/>
                <w:sz w:val="24"/>
                <w:szCs w:val="28"/>
              </w:rPr>
              <w:t>m</w:t>
            </w:r>
            <w:r w:rsidRPr="001263B7">
              <w:rPr>
                <w:rFonts w:eastAsia="Garamond" w:cs="Garamond"/>
                <w:b/>
                <w:bCs/>
                <w:iCs/>
                <w:sz w:val="24"/>
                <w:szCs w:val="28"/>
              </w:rPr>
              <w:t>pi</w:t>
            </w:r>
            <w:r w:rsidRPr="001263B7">
              <w:rPr>
                <w:rFonts w:eastAsia="Garamond" w:cs="Garamond"/>
                <w:b/>
                <w:bCs/>
                <w:iCs/>
                <w:spacing w:val="-1"/>
                <w:sz w:val="24"/>
                <w:szCs w:val="28"/>
              </w:rPr>
              <w:t>k</w:t>
            </w:r>
            <w:r w:rsidRPr="001263B7">
              <w:rPr>
                <w:rFonts w:eastAsia="Garamond" w:cs="Garamond"/>
                <w:b/>
                <w:bCs/>
                <w:iCs/>
                <w:spacing w:val="-9"/>
                <w:sz w:val="24"/>
                <w:szCs w:val="28"/>
              </w:rPr>
              <w:t>o</w:t>
            </w:r>
            <w:r w:rsidRPr="001263B7">
              <w:rPr>
                <w:rFonts w:eastAsia="Garamond" w:cs="Garamond"/>
                <w:b/>
                <w:bCs/>
                <w:iCs/>
                <w:spacing w:val="-1"/>
                <w:sz w:val="24"/>
                <w:szCs w:val="28"/>
              </w:rPr>
              <w:t>s</w:t>
            </w:r>
            <w:r w:rsidRPr="001263B7">
              <w:rPr>
                <w:rFonts w:eastAsia="Garamond" w:cs="Garamond"/>
                <w:b/>
                <w:bCs/>
                <w:iCs/>
                <w:sz w:val="24"/>
                <w:szCs w:val="28"/>
              </w:rPr>
              <w:t>u</w:t>
            </w:r>
            <w:r w:rsidRPr="001263B7">
              <w:rPr>
                <w:rFonts w:eastAsia="Garamond" w:cs="Garamond"/>
                <w:b/>
                <w:bCs/>
                <w:iCs/>
                <w:spacing w:val="-3"/>
                <w:sz w:val="24"/>
                <w:szCs w:val="28"/>
              </w:rPr>
              <w:t>l</w:t>
            </w:r>
            <w:r w:rsidRPr="001263B7">
              <w:rPr>
                <w:rFonts w:eastAsia="Garamond" w:cs="Garamond"/>
                <w:b/>
                <w:bCs/>
                <w:iCs/>
                <w:sz w:val="24"/>
                <w:szCs w:val="28"/>
              </w:rPr>
              <w:t>fat</w:t>
            </w:r>
          </w:p>
        </w:tc>
        <w:tc>
          <w:tcPr>
            <w:tcW w:w="4531" w:type="dxa"/>
          </w:tcPr>
          <w:p w14:paraId="6B0C9B35" w14:textId="77777777" w:rsidR="00702564" w:rsidRPr="003F79DC" w:rsidRDefault="00702564" w:rsidP="00632FCC">
            <w:pPr>
              <w:rPr>
                <w:rFonts w:eastAsia="Garamond" w:cs="Garamond"/>
                <w:iCs/>
                <w:sz w:val="24"/>
                <w:szCs w:val="28"/>
              </w:rPr>
            </w:pPr>
            <w:r>
              <w:rPr>
                <w:rFonts w:eastAsia="Garamond" w:cs="Garamond"/>
                <w:iCs/>
                <w:sz w:val="24"/>
                <w:szCs w:val="28"/>
              </w:rPr>
              <w:t>Laxoberal</w:t>
            </w:r>
          </w:p>
        </w:tc>
      </w:tr>
    </w:tbl>
    <w:p w14:paraId="56573817" w14:textId="77777777" w:rsidR="00A40F5A" w:rsidRDefault="00A40F5A" w:rsidP="00702564">
      <w:pPr>
        <w:rPr>
          <w:spacing w:val="-3"/>
          <w:sz w:val="24"/>
          <w:szCs w:val="24"/>
        </w:rPr>
      </w:pPr>
    </w:p>
    <w:p w14:paraId="09458EC3" w14:textId="11A3DCB8" w:rsidR="00702564" w:rsidRPr="00C44825" w:rsidRDefault="00702564" w:rsidP="00702564">
      <w:pPr>
        <w:rPr>
          <w:color w:val="FF0000"/>
          <w:szCs w:val="24"/>
        </w:rPr>
      </w:pPr>
      <w:r w:rsidRPr="003F79DC">
        <w:rPr>
          <w:spacing w:val="-3"/>
          <w:sz w:val="24"/>
          <w:szCs w:val="24"/>
        </w:rPr>
        <w:t xml:space="preserve">Laxoberal kan vara ett bra komplement till övrig behandling. Kan användas kontinuerligt. </w:t>
      </w:r>
      <w:r w:rsidRPr="003F79DC">
        <w:rPr>
          <w:spacing w:val="-3"/>
          <w:sz w:val="24"/>
          <w:szCs w:val="24"/>
        </w:rPr>
        <w:br/>
        <w:t>Bra till äldre-äldre och funktionsnedsatta patienter. Laxoberal ingår tyvärr ej i läkemedelsförmånen. Cilaxoral (som ingick i förmånen) har tyvärr utgått</w:t>
      </w:r>
      <w:r>
        <w:rPr>
          <w:spacing w:val="-3"/>
          <w:sz w:val="24"/>
          <w:szCs w:val="24"/>
        </w:rPr>
        <w:t>.</w:t>
      </w:r>
    </w:p>
    <w:p w14:paraId="4C827A00" w14:textId="77777777" w:rsidR="00702564" w:rsidRPr="001263B7" w:rsidRDefault="00702564" w:rsidP="00702564">
      <w:pPr>
        <w:rPr>
          <w:szCs w:val="24"/>
        </w:rPr>
      </w:pPr>
    </w:p>
    <w:p w14:paraId="448F1D74" w14:textId="77777777" w:rsidR="00702564" w:rsidRPr="005949CC" w:rsidRDefault="00702564" w:rsidP="00702564">
      <w:pPr>
        <w:pStyle w:val="Rubrik3"/>
      </w:pPr>
      <w:r w:rsidRPr="005949CC">
        <w:t>Klysma</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1263B7" w14:paraId="4431E7DE" w14:textId="77777777" w:rsidTr="00632FCC">
        <w:tc>
          <w:tcPr>
            <w:tcW w:w="4531" w:type="dxa"/>
          </w:tcPr>
          <w:p w14:paraId="4169C19C" w14:textId="77777777" w:rsidR="00702564" w:rsidRPr="001263B7" w:rsidRDefault="00702564" w:rsidP="00632FCC">
            <w:pPr>
              <w:rPr>
                <w:rFonts w:cs="Arial"/>
                <w:b/>
                <w:bCs/>
                <w:sz w:val="24"/>
                <w:szCs w:val="28"/>
              </w:rPr>
            </w:pPr>
            <w:r w:rsidRPr="001263B7">
              <w:rPr>
                <w:rFonts w:eastAsia="Garamond" w:cs="Garamond"/>
                <w:b/>
                <w:bCs/>
                <w:iCs/>
                <w:sz w:val="24"/>
                <w:szCs w:val="28"/>
              </w:rPr>
              <w:t>nat</w:t>
            </w:r>
            <w:r w:rsidRPr="001263B7">
              <w:rPr>
                <w:rFonts w:eastAsia="Garamond" w:cs="Garamond"/>
                <w:b/>
                <w:bCs/>
                <w:iCs/>
                <w:spacing w:val="-1"/>
                <w:sz w:val="24"/>
                <w:szCs w:val="28"/>
              </w:rPr>
              <w:t>r</w:t>
            </w:r>
            <w:r w:rsidRPr="001263B7">
              <w:rPr>
                <w:rFonts w:eastAsia="Garamond" w:cs="Garamond"/>
                <w:b/>
                <w:bCs/>
                <w:iCs/>
                <w:sz w:val="24"/>
                <w:szCs w:val="28"/>
              </w:rPr>
              <w:t>i</w:t>
            </w:r>
            <w:r w:rsidRPr="001263B7">
              <w:rPr>
                <w:rFonts w:eastAsia="Garamond" w:cs="Garamond"/>
                <w:b/>
                <w:bCs/>
                <w:iCs/>
                <w:spacing w:val="-2"/>
                <w:sz w:val="24"/>
                <w:szCs w:val="28"/>
              </w:rPr>
              <w:t>u</w:t>
            </w:r>
            <w:r w:rsidRPr="001263B7">
              <w:rPr>
                <w:rFonts w:eastAsia="Garamond" w:cs="Garamond"/>
                <w:b/>
                <w:bCs/>
                <w:iCs/>
                <w:spacing w:val="-4"/>
                <w:sz w:val="24"/>
                <w:szCs w:val="28"/>
              </w:rPr>
              <w:t>m</w:t>
            </w:r>
            <w:r w:rsidRPr="001263B7">
              <w:rPr>
                <w:rFonts w:eastAsia="Garamond" w:cs="Garamond"/>
                <w:b/>
                <w:bCs/>
                <w:iCs/>
                <w:sz w:val="24"/>
                <w:szCs w:val="28"/>
              </w:rPr>
              <w:t>d</w:t>
            </w:r>
            <w:r w:rsidRPr="001263B7">
              <w:rPr>
                <w:rFonts w:eastAsia="Garamond" w:cs="Garamond"/>
                <w:b/>
                <w:bCs/>
                <w:iCs/>
                <w:spacing w:val="-1"/>
                <w:sz w:val="24"/>
                <w:szCs w:val="28"/>
              </w:rPr>
              <w:t>o</w:t>
            </w:r>
            <w:r w:rsidRPr="001263B7">
              <w:rPr>
                <w:rFonts w:eastAsia="Garamond" w:cs="Garamond"/>
                <w:b/>
                <w:bCs/>
                <w:iCs/>
                <w:spacing w:val="-7"/>
                <w:sz w:val="24"/>
                <w:szCs w:val="28"/>
              </w:rPr>
              <w:t>k</w:t>
            </w:r>
            <w:r w:rsidRPr="001263B7">
              <w:rPr>
                <w:rFonts w:eastAsia="Garamond" w:cs="Garamond"/>
                <w:b/>
                <w:bCs/>
                <w:iCs/>
                <w:sz w:val="24"/>
                <w:szCs w:val="28"/>
              </w:rPr>
              <w:t>u</w:t>
            </w:r>
            <w:r w:rsidRPr="001263B7">
              <w:rPr>
                <w:rFonts w:eastAsia="Garamond" w:cs="Garamond"/>
                <w:b/>
                <w:bCs/>
                <w:iCs/>
                <w:spacing w:val="-3"/>
                <w:sz w:val="24"/>
                <w:szCs w:val="28"/>
              </w:rPr>
              <w:t>s</w:t>
            </w:r>
            <w:r w:rsidRPr="001263B7">
              <w:rPr>
                <w:rFonts w:eastAsia="Garamond" w:cs="Garamond"/>
                <w:b/>
                <w:bCs/>
                <w:iCs/>
                <w:sz w:val="24"/>
                <w:szCs w:val="28"/>
              </w:rPr>
              <w:t>at</w:t>
            </w:r>
          </w:p>
        </w:tc>
        <w:tc>
          <w:tcPr>
            <w:tcW w:w="4531" w:type="dxa"/>
          </w:tcPr>
          <w:p w14:paraId="113548AE" w14:textId="77777777" w:rsidR="00702564" w:rsidRPr="001263B7" w:rsidRDefault="00702564" w:rsidP="00632FCC">
            <w:pPr>
              <w:rPr>
                <w:rFonts w:cs="Arial"/>
                <w:b/>
                <w:bCs/>
                <w:sz w:val="24"/>
                <w:szCs w:val="28"/>
              </w:rPr>
            </w:pPr>
            <w:r w:rsidRPr="001263B7">
              <w:rPr>
                <w:rFonts w:eastAsia="Garamond" w:cs="Garamond"/>
                <w:sz w:val="24"/>
                <w:szCs w:val="28"/>
              </w:rPr>
              <w:t>Klyx</w:t>
            </w:r>
          </w:p>
        </w:tc>
      </w:tr>
      <w:tr w:rsidR="00702564" w:rsidRPr="001263B7" w14:paraId="7C8FE295" w14:textId="77777777" w:rsidTr="00632FCC">
        <w:tc>
          <w:tcPr>
            <w:tcW w:w="4531" w:type="dxa"/>
          </w:tcPr>
          <w:p w14:paraId="49991361" w14:textId="77777777" w:rsidR="00702564" w:rsidRPr="001263B7" w:rsidRDefault="00702564" w:rsidP="00632FCC">
            <w:pPr>
              <w:rPr>
                <w:rFonts w:eastAsia="Garamond" w:cs="Garamond"/>
                <w:b/>
                <w:bCs/>
                <w:iCs/>
                <w:sz w:val="24"/>
                <w:szCs w:val="28"/>
              </w:rPr>
            </w:pPr>
            <w:r w:rsidRPr="001263B7">
              <w:rPr>
                <w:rFonts w:eastAsia="Garamond" w:cs="Garamond"/>
                <w:b/>
                <w:bCs/>
                <w:iCs/>
                <w:sz w:val="24"/>
                <w:szCs w:val="28"/>
              </w:rPr>
              <w:t>lau</w:t>
            </w:r>
            <w:r w:rsidRPr="001263B7">
              <w:rPr>
                <w:rFonts w:eastAsia="Garamond" w:cs="Garamond"/>
                <w:b/>
                <w:bCs/>
                <w:iCs/>
                <w:spacing w:val="-1"/>
                <w:sz w:val="24"/>
                <w:szCs w:val="28"/>
              </w:rPr>
              <w:t>ry</w:t>
            </w:r>
            <w:r w:rsidRPr="001263B7">
              <w:rPr>
                <w:rFonts w:eastAsia="Garamond" w:cs="Garamond"/>
                <w:b/>
                <w:bCs/>
                <w:iCs/>
                <w:sz w:val="24"/>
                <w:szCs w:val="28"/>
              </w:rPr>
              <w:t>l</w:t>
            </w:r>
            <w:r w:rsidRPr="001263B7">
              <w:rPr>
                <w:rFonts w:eastAsia="Garamond" w:cs="Garamond"/>
                <w:b/>
                <w:bCs/>
                <w:iCs/>
                <w:spacing w:val="-9"/>
                <w:sz w:val="24"/>
                <w:szCs w:val="28"/>
              </w:rPr>
              <w:t>s</w:t>
            </w:r>
            <w:r w:rsidRPr="001263B7">
              <w:rPr>
                <w:rFonts w:eastAsia="Garamond" w:cs="Garamond"/>
                <w:b/>
                <w:bCs/>
                <w:iCs/>
                <w:sz w:val="24"/>
                <w:szCs w:val="28"/>
              </w:rPr>
              <w:t>ul</w:t>
            </w:r>
            <w:r w:rsidRPr="001263B7">
              <w:rPr>
                <w:rFonts w:eastAsia="Garamond" w:cs="Garamond"/>
                <w:b/>
                <w:bCs/>
                <w:iCs/>
                <w:spacing w:val="-11"/>
                <w:sz w:val="24"/>
                <w:szCs w:val="28"/>
              </w:rPr>
              <w:t>f</w:t>
            </w:r>
            <w:r w:rsidRPr="001263B7">
              <w:rPr>
                <w:rFonts w:eastAsia="Garamond" w:cs="Garamond"/>
                <w:b/>
                <w:bCs/>
                <w:iCs/>
                <w:sz w:val="24"/>
                <w:szCs w:val="28"/>
              </w:rPr>
              <w:t>at</w:t>
            </w:r>
          </w:p>
        </w:tc>
        <w:tc>
          <w:tcPr>
            <w:tcW w:w="4531" w:type="dxa"/>
          </w:tcPr>
          <w:p w14:paraId="10894104" w14:textId="77777777" w:rsidR="00702564" w:rsidRPr="001263B7" w:rsidRDefault="00702564" w:rsidP="00632FCC">
            <w:pPr>
              <w:rPr>
                <w:rFonts w:eastAsia="Garamond" w:cs="Garamond"/>
                <w:sz w:val="24"/>
                <w:szCs w:val="28"/>
              </w:rPr>
            </w:pPr>
            <w:r w:rsidRPr="001263B7">
              <w:rPr>
                <w:rFonts w:eastAsia="Garamond" w:cs="Garamond"/>
                <w:sz w:val="24"/>
                <w:szCs w:val="28"/>
              </w:rPr>
              <w:t>M</w:t>
            </w:r>
            <w:r w:rsidRPr="001263B7">
              <w:rPr>
                <w:rFonts w:eastAsia="Garamond" w:cs="Garamond"/>
                <w:spacing w:val="-1"/>
                <w:sz w:val="24"/>
                <w:szCs w:val="28"/>
              </w:rPr>
              <w:t>i</w:t>
            </w:r>
            <w:r w:rsidRPr="001263B7">
              <w:rPr>
                <w:rFonts w:eastAsia="Garamond" w:cs="Garamond"/>
                <w:sz w:val="24"/>
                <w:szCs w:val="28"/>
              </w:rPr>
              <w:t>c</w:t>
            </w:r>
            <w:r w:rsidRPr="001263B7">
              <w:rPr>
                <w:rFonts w:eastAsia="Garamond" w:cs="Garamond"/>
                <w:spacing w:val="-1"/>
                <w:sz w:val="24"/>
                <w:szCs w:val="28"/>
              </w:rPr>
              <w:t>ro</w:t>
            </w:r>
            <w:r w:rsidRPr="001263B7">
              <w:rPr>
                <w:rFonts w:eastAsia="Garamond" w:cs="Garamond"/>
                <w:spacing w:val="-3"/>
                <w:sz w:val="24"/>
                <w:szCs w:val="28"/>
              </w:rPr>
              <w:t>l</w:t>
            </w:r>
            <w:r w:rsidRPr="001263B7">
              <w:rPr>
                <w:rFonts w:eastAsia="Garamond" w:cs="Garamond"/>
                <w:sz w:val="24"/>
                <w:szCs w:val="28"/>
              </w:rPr>
              <w:t>ax</w:t>
            </w:r>
          </w:p>
        </w:tc>
      </w:tr>
    </w:tbl>
    <w:p w14:paraId="36F46DCF" w14:textId="77777777" w:rsidR="00702564" w:rsidRPr="0071138D" w:rsidRDefault="00702564" w:rsidP="00702564">
      <w:pPr>
        <w:rPr>
          <w:rFonts w:cs="Arial"/>
          <w:b/>
          <w:bCs/>
        </w:rPr>
      </w:pPr>
    </w:p>
    <w:p w14:paraId="5A256574" w14:textId="77777777" w:rsidR="00702564" w:rsidRPr="001263B7" w:rsidRDefault="00702564" w:rsidP="00702564">
      <w:pPr>
        <w:rPr>
          <w:spacing w:val="-3"/>
          <w:sz w:val="24"/>
          <w:szCs w:val="24"/>
        </w:rPr>
      </w:pPr>
      <w:r w:rsidRPr="001263B7">
        <w:rPr>
          <w:spacing w:val="-3"/>
          <w:sz w:val="24"/>
          <w:szCs w:val="24"/>
        </w:rPr>
        <w:t>Fungerar endast vid rektal förstoppning utan effekt på tarmperistaltiken. Klysma kan i första hand användas vid tillfällig förstoppning hos barn och äldre samt till rengöring inför rektoskopi.</w:t>
      </w:r>
    </w:p>
    <w:p w14:paraId="67B20960" w14:textId="77777777" w:rsidR="00702564" w:rsidRPr="001958A5" w:rsidRDefault="00702564" w:rsidP="00702564">
      <w:pPr>
        <w:pStyle w:val="Rubrik2"/>
      </w:pPr>
      <w:r w:rsidRPr="001958A5">
        <w:t>Förstoppning hos barn</w:t>
      </w:r>
    </w:p>
    <w:p w14:paraId="341E99D8" w14:textId="77777777" w:rsidR="00702564" w:rsidRPr="001263B7" w:rsidRDefault="00702564" w:rsidP="00702564">
      <w:pPr>
        <w:rPr>
          <w:rFonts w:asciiTheme="minorHAnsi" w:hAnsiTheme="minorHAnsi"/>
          <w:b/>
          <w:bCs/>
          <w:sz w:val="24"/>
          <w:szCs w:val="24"/>
        </w:rPr>
      </w:pPr>
      <w:r w:rsidRPr="001263B7">
        <w:rPr>
          <w:rFonts w:asciiTheme="minorHAnsi" w:hAnsiTheme="minorHAnsi"/>
          <w:b/>
          <w:bCs/>
          <w:sz w:val="24"/>
          <w:szCs w:val="24"/>
        </w:rPr>
        <w:t>0–6 månaders ålder</w:t>
      </w:r>
    </w:p>
    <w:p w14:paraId="1500B183" w14:textId="77777777" w:rsidR="00702564" w:rsidRDefault="00702564" w:rsidP="00702564">
      <w:pPr>
        <w:rPr>
          <w:rFonts w:asciiTheme="minorHAnsi" w:hAnsiTheme="minorHAnsi" w:cs="Arial"/>
          <w:sz w:val="24"/>
          <w:szCs w:val="24"/>
        </w:rPr>
      </w:pPr>
      <w:r w:rsidRPr="00DB3871">
        <w:rPr>
          <w:rFonts w:asciiTheme="minorHAnsi" w:hAnsiTheme="minorHAnsi" w:cs="Arial"/>
          <w:bCs/>
          <w:sz w:val="24"/>
          <w:szCs w:val="24"/>
        </w:rPr>
        <w:t>Laktulos</w:t>
      </w:r>
      <w:r w:rsidRPr="001263B7">
        <w:rPr>
          <w:rFonts w:asciiTheme="minorHAnsi" w:hAnsiTheme="minorHAnsi" w:cs="Arial"/>
          <w:b/>
          <w:sz w:val="24"/>
          <w:szCs w:val="24"/>
        </w:rPr>
        <w:t xml:space="preserve"> </w:t>
      </w:r>
      <w:r w:rsidRPr="001263B7">
        <w:rPr>
          <w:rFonts w:asciiTheme="minorHAnsi" w:hAnsiTheme="minorHAnsi" w:cs="Arial"/>
          <w:sz w:val="24"/>
          <w:szCs w:val="24"/>
        </w:rPr>
        <w:t>1ml/100 ml modersmjölkersättning</w:t>
      </w:r>
    </w:p>
    <w:p w14:paraId="56A6B15A" w14:textId="77777777" w:rsidR="00702564" w:rsidRPr="00015B68" w:rsidRDefault="00702564" w:rsidP="00702564">
      <w:pPr>
        <w:pStyle w:val="Rubrik3"/>
      </w:pPr>
      <w:r w:rsidRPr="00015B68">
        <w:t>Från 6 månaders ålder</w:t>
      </w:r>
    </w:p>
    <w:tbl>
      <w:tblPr>
        <w:tblStyle w:val="Tabellrutnt"/>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551"/>
        <w:gridCol w:w="4678"/>
      </w:tblGrid>
      <w:tr w:rsidR="00702564" w:rsidRPr="001263B7" w14:paraId="145F14DB" w14:textId="77777777" w:rsidTr="00632FCC">
        <w:tc>
          <w:tcPr>
            <w:tcW w:w="1980" w:type="dxa"/>
          </w:tcPr>
          <w:p w14:paraId="53EE9D77" w14:textId="77777777" w:rsidR="00702564" w:rsidRPr="001263B7" w:rsidRDefault="00702564" w:rsidP="00632FCC">
            <w:pPr>
              <w:rPr>
                <w:rFonts w:cs="Arial"/>
                <w:b/>
                <w:bCs/>
                <w:sz w:val="24"/>
                <w:szCs w:val="28"/>
              </w:rPr>
            </w:pPr>
            <w:r w:rsidRPr="001263B7">
              <w:rPr>
                <w:rFonts w:eastAsia="Garamond" w:cs="Garamond"/>
                <w:b/>
                <w:bCs/>
                <w:iCs/>
                <w:sz w:val="24"/>
                <w:szCs w:val="28"/>
              </w:rPr>
              <w:t>la</w:t>
            </w:r>
            <w:r w:rsidRPr="001263B7">
              <w:rPr>
                <w:rFonts w:eastAsia="Garamond" w:cs="Garamond"/>
                <w:b/>
                <w:bCs/>
                <w:iCs/>
                <w:spacing w:val="-1"/>
                <w:sz w:val="24"/>
                <w:szCs w:val="28"/>
              </w:rPr>
              <w:t>k</w:t>
            </w:r>
            <w:r w:rsidRPr="001263B7">
              <w:rPr>
                <w:rFonts w:eastAsia="Garamond" w:cs="Garamond"/>
                <w:b/>
                <w:bCs/>
                <w:iCs/>
                <w:sz w:val="24"/>
                <w:szCs w:val="28"/>
              </w:rPr>
              <w:t>tul</w:t>
            </w:r>
            <w:r w:rsidRPr="001263B7">
              <w:rPr>
                <w:rFonts w:eastAsia="Garamond" w:cs="Garamond"/>
                <w:b/>
                <w:bCs/>
                <w:iCs/>
                <w:spacing w:val="-1"/>
                <w:sz w:val="24"/>
                <w:szCs w:val="28"/>
              </w:rPr>
              <w:t>o</w:t>
            </w:r>
            <w:r w:rsidRPr="001263B7">
              <w:rPr>
                <w:rFonts w:eastAsia="Garamond" w:cs="Garamond"/>
                <w:b/>
                <w:bCs/>
                <w:iCs/>
                <w:sz w:val="24"/>
                <w:szCs w:val="28"/>
              </w:rPr>
              <w:t>s</w:t>
            </w:r>
          </w:p>
        </w:tc>
        <w:tc>
          <w:tcPr>
            <w:tcW w:w="2551" w:type="dxa"/>
          </w:tcPr>
          <w:p w14:paraId="041BBAEC" w14:textId="77777777" w:rsidR="00702564" w:rsidRPr="001263B7" w:rsidRDefault="00702564" w:rsidP="00632FCC">
            <w:pPr>
              <w:rPr>
                <w:rFonts w:cs="Arial"/>
                <w:bCs/>
                <w:sz w:val="24"/>
                <w:szCs w:val="28"/>
              </w:rPr>
            </w:pPr>
            <w:r w:rsidRPr="001263B7">
              <w:rPr>
                <w:rFonts w:cs="Arial"/>
                <w:bCs/>
                <w:sz w:val="24"/>
                <w:szCs w:val="28"/>
              </w:rPr>
              <w:t>Laktulos</w:t>
            </w:r>
          </w:p>
        </w:tc>
        <w:tc>
          <w:tcPr>
            <w:tcW w:w="4678" w:type="dxa"/>
          </w:tcPr>
          <w:p w14:paraId="36DE974C" w14:textId="77777777" w:rsidR="00702564" w:rsidRPr="001263B7" w:rsidRDefault="00702564" w:rsidP="00632FCC">
            <w:pPr>
              <w:rPr>
                <w:rFonts w:cs="Arial"/>
                <w:b/>
                <w:bCs/>
                <w:sz w:val="24"/>
                <w:szCs w:val="28"/>
              </w:rPr>
            </w:pPr>
          </w:p>
        </w:tc>
      </w:tr>
      <w:tr w:rsidR="00702564" w:rsidRPr="001263B7" w14:paraId="4D578009" w14:textId="77777777" w:rsidTr="00632FCC">
        <w:tc>
          <w:tcPr>
            <w:tcW w:w="1980" w:type="dxa"/>
          </w:tcPr>
          <w:p w14:paraId="1EAFCBA9" w14:textId="77777777" w:rsidR="00702564" w:rsidRPr="001263B7" w:rsidRDefault="00702564" w:rsidP="00632FCC">
            <w:pPr>
              <w:rPr>
                <w:rFonts w:eastAsia="Garamond" w:cs="Garamond"/>
                <w:b/>
                <w:bCs/>
                <w:iCs/>
                <w:sz w:val="24"/>
                <w:szCs w:val="28"/>
              </w:rPr>
            </w:pPr>
            <w:r w:rsidRPr="001263B7">
              <w:rPr>
                <w:rFonts w:eastAsia="Garamond" w:cs="Garamond"/>
                <w:b/>
                <w:bCs/>
                <w:iCs/>
                <w:spacing w:val="1"/>
                <w:sz w:val="24"/>
                <w:szCs w:val="28"/>
              </w:rPr>
              <w:t>m</w:t>
            </w:r>
            <w:r w:rsidRPr="001263B7">
              <w:rPr>
                <w:rFonts w:eastAsia="Garamond" w:cs="Garamond"/>
                <w:b/>
                <w:bCs/>
                <w:iCs/>
                <w:sz w:val="24"/>
                <w:szCs w:val="28"/>
              </w:rPr>
              <w:t>a</w:t>
            </w:r>
            <w:r w:rsidRPr="001263B7">
              <w:rPr>
                <w:rFonts w:eastAsia="Garamond" w:cs="Garamond"/>
                <w:b/>
                <w:bCs/>
                <w:iCs/>
                <w:spacing w:val="-1"/>
                <w:sz w:val="24"/>
                <w:szCs w:val="28"/>
              </w:rPr>
              <w:t>k</w:t>
            </w:r>
            <w:r w:rsidRPr="001263B7">
              <w:rPr>
                <w:rFonts w:eastAsia="Garamond" w:cs="Garamond"/>
                <w:b/>
                <w:bCs/>
                <w:iCs/>
                <w:sz w:val="24"/>
                <w:szCs w:val="28"/>
              </w:rPr>
              <w:t>r</w:t>
            </w:r>
            <w:r w:rsidRPr="001263B7">
              <w:rPr>
                <w:rFonts w:eastAsia="Garamond" w:cs="Garamond"/>
                <w:b/>
                <w:bCs/>
                <w:iCs/>
                <w:spacing w:val="-2"/>
                <w:sz w:val="24"/>
                <w:szCs w:val="28"/>
              </w:rPr>
              <w:t>o</w:t>
            </w:r>
            <w:r w:rsidRPr="001263B7">
              <w:rPr>
                <w:rFonts w:eastAsia="Garamond" w:cs="Garamond"/>
                <w:b/>
                <w:bCs/>
                <w:iCs/>
                <w:spacing w:val="-1"/>
                <w:sz w:val="24"/>
                <w:szCs w:val="28"/>
              </w:rPr>
              <w:t>g</w:t>
            </w:r>
            <w:r w:rsidRPr="001263B7">
              <w:rPr>
                <w:rFonts w:eastAsia="Garamond" w:cs="Garamond"/>
                <w:b/>
                <w:bCs/>
                <w:iCs/>
                <w:spacing w:val="-6"/>
                <w:sz w:val="24"/>
                <w:szCs w:val="28"/>
              </w:rPr>
              <w:t>o</w:t>
            </w:r>
            <w:r w:rsidRPr="001263B7">
              <w:rPr>
                <w:rFonts w:eastAsia="Garamond" w:cs="Garamond"/>
                <w:b/>
                <w:bCs/>
                <w:iCs/>
                <w:sz w:val="24"/>
                <w:szCs w:val="28"/>
              </w:rPr>
              <w:t>l</w:t>
            </w:r>
          </w:p>
        </w:tc>
        <w:tc>
          <w:tcPr>
            <w:tcW w:w="2551" w:type="dxa"/>
          </w:tcPr>
          <w:p w14:paraId="5924CB6A" w14:textId="77777777" w:rsidR="00702564" w:rsidRPr="001263B7" w:rsidRDefault="00702564" w:rsidP="00632FCC">
            <w:pPr>
              <w:rPr>
                <w:rFonts w:cs="Arial"/>
                <w:sz w:val="24"/>
                <w:szCs w:val="28"/>
              </w:rPr>
            </w:pPr>
            <w:r w:rsidRPr="001263B7">
              <w:rPr>
                <w:rFonts w:eastAsia="Arial" w:cs="Arial"/>
                <w:sz w:val="24"/>
                <w:szCs w:val="28"/>
              </w:rPr>
              <w:t>Forlax Junior</w:t>
            </w:r>
          </w:p>
        </w:tc>
        <w:tc>
          <w:tcPr>
            <w:tcW w:w="4678" w:type="dxa"/>
          </w:tcPr>
          <w:p w14:paraId="739C841C" w14:textId="77777777" w:rsidR="00702564" w:rsidRDefault="00702564" w:rsidP="00632FCC">
            <w:pPr>
              <w:rPr>
                <w:rFonts w:eastAsia="Arial" w:cs="Arial"/>
                <w:sz w:val="24"/>
                <w:szCs w:val="28"/>
              </w:rPr>
            </w:pPr>
            <w:r w:rsidRPr="001263B7">
              <w:rPr>
                <w:rFonts w:eastAsia="Arial" w:cs="Arial"/>
                <w:sz w:val="24"/>
                <w:szCs w:val="28"/>
              </w:rPr>
              <w:t>Subventioneras endast för behandling av funktionell obstipation hos barn från sex månader till åtta år när laktulos inte är lämpligt</w:t>
            </w:r>
            <w:r>
              <w:rPr>
                <w:rFonts w:eastAsia="Arial" w:cs="Arial"/>
                <w:sz w:val="24"/>
                <w:szCs w:val="28"/>
              </w:rPr>
              <w:t>.</w:t>
            </w:r>
          </w:p>
          <w:p w14:paraId="568527DF" w14:textId="77777777" w:rsidR="00702564" w:rsidRPr="00DB3871" w:rsidRDefault="00702564" w:rsidP="00632FCC">
            <w:pPr>
              <w:rPr>
                <w:rFonts w:cs="Arial"/>
                <w:sz w:val="24"/>
                <w:szCs w:val="28"/>
              </w:rPr>
            </w:pPr>
            <w:r w:rsidRPr="00DB3871">
              <w:rPr>
                <w:rFonts w:eastAsia="Arial" w:cs="Arial"/>
                <w:sz w:val="24"/>
                <w:szCs w:val="28"/>
              </w:rPr>
              <w:t>Från 20 kg kan Forlax</w:t>
            </w:r>
            <w:r>
              <w:rPr>
                <w:rFonts w:eastAsia="Arial" w:cs="Arial"/>
                <w:sz w:val="24"/>
                <w:szCs w:val="28"/>
              </w:rPr>
              <w:t xml:space="preserve"> användas.</w:t>
            </w:r>
          </w:p>
        </w:tc>
      </w:tr>
    </w:tbl>
    <w:p w14:paraId="30D7B3EF" w14:textId="77777777" w:rsidR="00702564" w:rsidRPr="004B4587" w:rsidRDefault="00702564" w:rsidP="00702564">
      <w:pPr>
        <w:rPr>
          <w:rFonts w:cs="Arial"/>
          <w:b/>
          <w:bCs/>
        </w:rPr>
      </w:pPr>
    </w:p>
    <w:p w14:paraId="5E1EA96B" w14:textId="77777777" w:rsidR="00702564" w:rsidRDefault="00702564" w:rsidP="00702564">
      <w:pPr>
        <w:rPr>
          <w:rFonts w:cs="Arial"/>
        </w:rPr>
      </w:pPr>
      <w:r w:rsidRPr="001263B7">
        <w:rPr>
          <w:rFonts w:cs="Arial"/>
          <w:sz w:val="24"/>
          <w:szCs w:val="24"/>
        </w:rPr>
        <w:t xml:space="preserve">Det är ovanligt att helammade barn blir förstoppade, men när man ger modersmjölksersättning kan det förekomma. Man kan då ge exempelvis </w:t>
      </w:r>
      <w:r w:rsidRPr="001263B7">
        <w:rPr>
          <w:rFonts w:cs="Arial"/>
          <w:sz w:val="24"/>
          <w:szCs w:val="24"/>
          <w:u w:val="single"/>
        </w:rPr>
        <w:t>1 ml Laktulos/100 ml ersättning</w:t>
      </w:r>
      <w:r w:rsidRPr="001263B7">
        <w:rPr>
          <w:rFonts w:cs="Arial"/>
          <w:sz w:val="24"/>
          <w:szCs w:val="24"/>
        </w:rPr>
        <w:t xml:space="preserve">, alternativt motsvarande mängd i 2-dos. Hos lite större barn är däremot förstoppning mycket vanligt, och då brukar det oftast fungera bättre om man behandlar med ett makrogolpreparat. </w:t>
      </w:r>
      <w:r>
        <w:rPr>
          <w:rFonts w:cs="Arial"/>
          <w:sz w:val="24"/>
          <w:szCs w:val="24"/>
        </w:rPr>
        <w:br/>
      </w:r>
      <w:r w:rsidRPr="001263B7">
        <w:rPr>
          <w:rFonts w:cs="Arial"/>
          <w:sz w:val="24"/>
          <w:szCs w:val="24"/>
        </w:rPr>
        <w:t xml:space="preserve">Forlax Junior kan användas från 6 månaders ålder, men har begränsad förmån. Doseringen är individuell och styrs efter önskat resultat. Movicol Junior är godkänd från två års ålder och har den stora fördelen att den ingår i förmånen utan begränsning. En del barn upplever dock att den </w:t>
      </w:r>
      <w:r>
        <w:rPr>
          <w:rFonts w:cs="Arial"/>
          <w:sz w:val="24"/>
          <w:szCs w:val="24"/>
        </w:rPr>
        <w:br/>
      </w:r>
      <w:r w:rsidRPr="001263B7">
        <w:rPr>
          <w:rFonts w:cs="Arial"/>
          <w:sz w:val="24"/>
          <w:szCs w:val="24"/>
        </w:rPr>
        <w:t>smakar salt.</w:t>
      </w:r>
    </w:p>
    <w:p w14:paraId="595666A7" w14:textId="77777777" w:rsidR="00702564" w:rsidRPr="004D5D27" w:rsidRDefault="00702564" w:rsidP="00702564">
      <w:pPr>
        <w:pStyle w:val="Rubrik2"/>
      </w:pPr>
      <w:r w:rsidRPr="004D5D27">
        <w:t>Diarré</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1263B7" w14:paraId="720235E5" w14:textId="77777777" w:rsidTr="00632FCC">
        <w:trPr>
          <w:trHeight w:val="396"/>
        </w:trPr>
        <w:tc>
          <w:tcPr>
            <w:tcW w:w="4531" w:type="dxa"/>
          </w:tcPr>
          <w:p w14:paraId="62AD0D60" w14:textId="77777777" w:rsidR="00702564" w:rsidRPr="001263B7" w:rsidRDefault="00702564" w:rsidP="00632FCC">
            <w:pPr>
              <w:rPr>
                <w:sz w:val="24"/>
                <w:szCs w:val="28"/>
              </w:rPr>
            </w:pPr>
            <w:r w:rsidRPr="001263B7">
              <w:rPr>
                <w:rFonts w:eastAsia="Garamond" w:cs="Garamond"/>
                <w:b/>
                <w:bCs/>
                <w:iCs/>
                <w:sz w:val="24"/>
                <w:szCs w:val="28"/>
              </w:rPr>
              <w:t>l</w:t>
            </w:r>
            <w:r w:rsidRPr="001263B7">
              <w:rPr>
                <w:rFonts w:eastAsia="Garamond" w:cs="Garamond"/>
                <w:b/>
                <w:bCs/>
                <w:iCs/>
                <w:spacing w:val="-1"/>
                <w:sz w:val="24"/>
                <w:szCs w:val="28"/>
              </w:rPr>
              <w:t>o</w:t>
            </w:r>
            <w:r w:rsidRPr="001263B7">
              <w:rPr>
                <w:rFonts w:eastAsia="Garamond" w:cs="Garamond"/>
                <w:b/>
                <w:bCs/>
                <w:iCs/>
                <w:sz w:val="24"/>
                <w:szCs w:val="28"/>
              </w:rPr>
              <w:t>p</w:t>
            </w:r>
            <w:r w:rsidRPr="001263B7">
              <w:rPr>
                <w:rFonts w:eastAsia="Garamond" w:cs="Garamond"/>
                <w:b/>
                <w:bCs/>
                <w:iCs/>
                <w:spacing w:val="-1"/>
                <w:sz w:val="24"/>
                <w:szCs w:val="28"/>
              </w:rPr>
              <w:t>er</w:t>
            </w:r>
            <w:r w:rsidRPr="001263B7">
              <w:rPr>
                <w:rFonts w:eastAsia="Garamond" w:cs="Garamond"/>
                <w:b/>
                <w:bCs/>
                <w:iCs/>
                <w:spacing w:val="-2"/>
                <w:sz w:val="24"/>
                <w:szCs w:val="28"/>
              </w:rPr>
              <w:t>a</w:t>
            </w:r>
            <w:r w:rsidRPr="001263B7">
              <w:rPr>
                <w:rFonts w:eastAsia="Garamond" w:cs="Garamond"/>
                <w:b/>
                <w:bCs/>
                <w:iCs/>
                <w:spacing w:val="-4"/>
                <w:sz w:val="24"/>
                <w:szCs w:val="28"/>
              </w:rPr>
              <w:t>m</w:t>
            </w:r>
            <w:r w:rsidRPr="001263B7">
              <w:rPr>
                <w:rFonts w:eastAsia="Garamond" w:cs="Garamond"/>
                <w:b/>
                <w:bCs/>
                <w:iCs/>
                <w:sz w:val="24"/>
                <w:szCs w:val="28"/>
              </w:rPr>
              <w:t>id</w:t>
            </w:r>
          </w:p>
        </w:tc>
        <w:tc>
          <w:tcPr>
            <w:tcW w:w="4531" w:type="dxa"/>
          </w:tcPr>
          <w:p w14:paraId="23E70D9E" w14:textId="77777777" w:rsidR="00702564" w:rsidRPr="001263B7" w:rsidRDefault="00702564" w:rsidP="00632FCC">
            <w:pPr>
              <w:rPr>
                <w:sz w:val="24"/>
                <w:szCs w:val="28"/>
              </w:rPr>
            </w:pPr>
            <w:r w:rsidRPr="001263B7">
              <w:rPr>
                <w:rFonts w:eastAsia="Garamond" w:cs="Garamond"/>
                <w:spacing w:val="1"/>
                <w:sz w:val="24"/>
                <w:szCs w:val="28"/>
              </w:rPr>
              <w:t>L</w:t>
            </w:r>
            <w:r w:rsidRPr="001263B7">
              <w:rPr>
                <w:rFonts w:eastAsia="Garamond" w:cs="Garamond"/>
                <w:spacing w:val="-1"/>
                <w:sz w:val="24"/>
                <w:szCs w:val="28"/>
              </w:rPr>
              <w:t>op</w:t>
            </w:r>
            <w:r w:rsidRPr="001263B7">
              <w:rPr>
                <w:rFonts w:eastAsia="Garamond" w:cs="Garamond"/>
                <w:sz w:val="24"/>
                <w:szCs w:val="28"/>
              </w:rPr>
              <w:t>e</w:t>
            </w:r>
            <w:r w:rsidRPr="001263B7">
              <w:rPr>
                <w:rFonts w:eastAsia="Garamond" w:cs="Garamond"/>
                <w:spacing w:val="-1"/>
                <w:sz w:val="24"/>
                <w:szCs w:val="28"/>
              </w:rPr>
              <w:t>r</w:t>
            </w:r>
            <w:r w:rsidRPr="001263B7">
              <w:rPr>
                <w:rFonts w:eastAsia="Garamond" w:cs="Garamond"/>
                <w:sz w:val="24"/>
                <w:szCs w:val="28"/>
              </w:rPr>
              <w:t>a</w:t>
            </w:r>
            <w:r w:rsidRPr="001263B7">
              <w:rPr>
                <w:rFonts w:eastAsia="Garamond" w:cs="Garamond"/>
                <w:spacing w:val="-1"/>
                <w:sz w:val="24"/>
                <w:szCs w:val="28"/>
              </w:rPr>
              <w:t>mi</w:t>
            </w:r>
            <w:r w:rsidRPr="001263B7">
              <w:rPr>
                <w:rFonts w:eastAsia="Garamond" w:cs="Garamond"/>
                <w:sz w:val="24"/>
                <w:szCs w:val="28"/>
              </w:rPr>
              <w:t>d</w:t>
            </w:r>
          </w:p>
        </w:tc>
      </w:tr>
    </w:tbl>
    <w:p w14:paraId="59DA87AD" w14:textId="77777777" w:rsidR="00702564" w:rsidRPr="0071138D" w:rsidRDefault="00702564" w:rsidP="00702564">
      <w:pPr>
        <w:rPr>
          <w:szCs w:val="24"/>
        </w:rPr>
      </w:pPr>
    </w:p>
    <w:p w14:paraId="2F93F0DC" w14:textId="77777777" w:rsidR="00702564" w:rsidRPr="001263B7" w:rsidRDefault="00702564" w:rsidP="00702564">
      <w:pPr>
        <w:autoSpaceDE w:val="0"/>
        <w:autoSpaceDN w:val="0"/>
        <w:rPr>
          <w:color w:val="000000"/>
          <w:sz w:val="24"/>
          <w:szCs w:val="24"/>
        </w:rPr>
      </w:pPr>
      <w:r w:rsidRPr="001263B7">
        <w:rPr>
          <w:sz w:val="24"/>
          <w:szCs w:val="24"/>
        </w:rPr>
        <w:t>Vid diarré som är väl utredd</w:t>
      </w:r>
      <w:r w:rsidRPr="001263B7">
        <w:rPr>
          <w:color w:val="000000"/>
          <w:sz w:val="24"/>
          <w:szCs w:val="24"/>
        </w:rPr>
        <w:t xml:space="preserve"> med noggrann anamnes, undersökning och rektoskopi där</w:t>
      </w:r>
      <w:r w:rsidRPr="001263B7">
        <w:rPr>
          <w:sz w:val="24"/>
          <w:szCs w:val="24"/>
        </w:rPr>
        <w:t xml:space="preserve"> någon underliggande sjukdom inte föreligger kan följande behandling provas: </w:t>
      </w:r>
      <w:r w:rsidRPr="001263B7">
        <w:rPr>
          <w:sz w:val="24"/>
          <w:szCs w:val="24"/>
        </w:rPr>
        <w:br/>
      </w:r>
    </w:p>
    <w:p w14:paraId="598BE8CF" w14:textId="77777777" w:rsidR="00702564" w:rsidRPr="001263B7" w:rsidRDefault="00702564" w:rsidP="00702564">
      <w:pPr>
        <w:numPr>
          <w:ilvl w:val="0"/>
          <w:numId w:val="44"/>
        </w:numPr>
        <w:tabs>
          <w:tab w:val="clear" w:pos="284"/>
        </w:tabs>
        <w:autoSpaceDE w:val="0"/>
        <w:autoSpaceDN w:val="0"/>
        <w:spacing w:line="240" w:lineRule="auto"/>
        <w:contextualSpacing/>
        <w:rPr>
          <w:sz w:val="24"/>
          <w:szCs w:val="24"/>
        </w:rPr>
      </w:pPr>
      <w:r w:rsidRPr="001263B7">
        <w:rPr>
          <w:sz w:val="24"/>
          <w:szCs w:val="24"/>
        </w:rPr>
        <w:t>Loperamid (loperamid)</w:t>
      </w:r>
    </w:p>
    <w:p w14:paraId="676F3293" w14:textId="77777777" w:rsidR="00702564" w:rsidRPr="001263B7" w:rsidRDefault="00702564" w:rsidP="00702564">
      <w:pPr>
        <w:numPr>
          <w:ilvl w:val="0"/>
          <w:numId w:val="44"/>
        </w:numPr>
        <w:tabs>
          <w:tab w:val="clear" w:pos="284"/>
        </w:tabs>
        <w:autoSpaceDE w:val="0"/>
        <w:autoSpaceDN w:val="0"/>
        <w:spacing w:line="240" w:lineRule="auto"/>
        <w:contextualSpacing/>
        <w:rPr>
          <w:sz w:val="24"/>
          <w:szCs w:val="24"/>
        </w:rPr>
      </w:pPr>
      <w:r w:rsidRPr="001263B7">
        <w:rPr>
          <w:sz w:val="24"/>
          <w:szCs w:val="24"/>
        </w:rPr>
        <w:t>Bulkmedel (exempelvis Inolaxol, Vi-Siblin) – binder vätska och kan därmed minska besvären</w:t>
      </w:r>
    </w:p>
    <w:p w14:paraId="2FF42864" w14:textId="77777777" w:rsidR="00702564" w:rsidRPr="001263B7" w:rsidRDefault="00702564" w:rsidP="00702564">
      <w:pPr>
        <w:numPr>
          <w:ilvl w:val="0"/>
          <w:numId w:val="44"/>
        </w:numPr>
        <w:tabs>
          <w:tab w:val="clear" w:pos="284"/>
        </w:tabs>
        <w:autoSpaceDE w:val="0"/>
        <w:autoSpaceDN w:val="0"/>
        <w:spacing w:line="240" w:lineRule="auto"/>
        <w:contextualSpacing/>
        <w:rPr>
          <w:sz w:val="24"/>
          <w:szCs w:val="24"/>
        </w:rPr>
      </w:pPr>
      <w:r w:rsidRPr="001263B7">
        <w:rPr>
          <w:sz w:val="24"/>
          <w:szCs w:val="24"/>
        </w:rPr>
        <w:t>Gallsaltsbindare Questran</w:t>
      </w:r>
      <w:r>
        <w:rPr>
          <w:sz w:val="24"/>
          <w:szCs w:val="24"/>
        </w:rPr>
        <w:t>/Questran LOC</w:t>
      </w:r>
      <w:r w:rsidRPr="001263B7">
        <w:rPr>
          <w:sz w:val="24"/>
          <w:szCs w:val="24"/>
        </w:rPr>
        <w:t xml:space="preserve"> (kolestyramin)</w:t>
      </w:r>
    </w:p>
    <w:p w14:paraId="44BE48E3" w14:textId="77777777" w:rsidR="00702564" w:rsidRPr="001263B7" w:rsidRDefault="00702564" w:rsidP="00702564">
      <w:pPr>
        <w:autoSpaceDE w:val="0"/>
        <w:autoSpaceDN w:val="0"/>
        <w:rPr>
          <w:sz w:val="28"/>
          <w:szCs w:val="28"/>
        </w:rPr>
      </w:pPr>
    </w:p>
    <w:p w14:paraId="52FF0E05" w14:textId="29566B73" w:rsidR="00702564" w:rsidRPr="001263B7" w:rsidRDefault="00702564" w:rsidP="00702564">
      <w:pPr>
        <w:autoSpaceDE w:val="0"/>
        <w:autoSpaceDN w:val="0"/>
        <w:rPr>
          <w:sz w:val="24"/>
          <w:szCs w:val="24"/>
        </w:rPr>
      </w:pPr>
      <w:r w:rsidRPr="001263B7">
        <w:rPr>
          <w:sz w:val="24"/>
          <w:szCs w:val="24"/>
        </w:rPr>
        <w:t xml:space="preserve">Behandlingen ska utvärderas efter några veckor för ett eventuellt byte av preparat. </w:t>
      </w:r>
      <w:r w:rsidR="00E87E0C">
        <w:rPr>
          <w:sz w:val="24"/>
          <w:szCs w:val="24"/>
        </w:rPr>
        <w:br/>
      </w:r>
    </w:p>
    <w:p w14:paraId="1DC9C2B1" w14:textId="77777777" w:rsidR="00702564" w:rsidRPr="001263B7" w:rsidRDefault="00702564" w:rsidP="00702564">
      <w:pPr>
        <w:autoSpaceDE w:val="0"/>
        <w:autoSpaceDN w:val="0"/>
        <w:rPr>
          <w:sz w:val="24"/>
          <w:szCs w:val="24"/>
        </w:rPr>
      </w:pPr>
      <w:r w:rsidRPr="001263B7">
        <w:rPr>
          <w:spacing w:val="-1"/>
          <w:sz w:val="24"/>
          <w:szCs w:val="24"/>
        </w:rPr>
        <w:t>Lo</w:t>
      </w:r>
      <w:r w:rsidRPr="001263B7">
        <w:rPr>
          <w:spacing w:val="-3"/>
          <w:sz w:val="24"/>
          <w:szCs w:val="24"/>
        </w:rPr>
        <w:t>p</w:t>
      </w:r>
      <w:r w:rsidRPr="001263B7">
        <w:rPr>
          <w:sz w:val="24"/>
          <w:szCs w:val="24"/>
        </w:rPr>
        <w:t>e</w:t>
      </w:r>
      <w:r w:rsidRPr="001263B7">
        <w:rPr>
          <w:spacing w:val="-1"/>
          <w:sz w:val="24"/>
          <w:szCs w:val="24"/>
        </w:rPr>
        <w:t>r</w:t>
      </w:r>
      <w:r w:rsidRPr="001263B7">
        <w:rPr>
          <w:sz w:val="24"/>
          <w:szCs w:val="24"/>
        </w:rPr>
        <w:t>a</w:t>
      </w:r>
      <w:r w:rsidRPr="001263B7">
        <w:rPr>
          <w:spacing w:val="-1"/>
          <w:sz w:val="24"/>
          <w:szCs w:val="24"/>
        </w:rPr>
        <w:t>m</w:t>
      </w:r>
      <w:r w:rsidRPr="001263B7">
        <w:rPr>
          <w:sz w:val="24"/>
          <w:szCs w:val="24"/>
        </w:rPr>
        <w:t xml:space="preserve">id </w:t>
      </w:r>
      <w:r w:rsidRPr="001263B7">
        <w:rPr>
          <w:spacing w:val="-1"/>
          <w:sz w:val="24"/>
          <w:szCs w:val="24"/>
        </w:rPr>
        <w:t>f</w:t>
      </w:r>
      <w:r w:rsidRPr="001263B7">
        <w:rPr>
          <w:sz w:val="24"/>
          <w:szCs w:val="24"/>
        </w:rPr>
        <w:t>u</w:t>
      </w:r>
      <w:r w:rsidRPr="001263B7">
        <w:rPr>
          <w:spacing w:val="-1"/>
          <w:sz w:val="24"/>
          <w:szCs w:val="24"/>
        </w:rPr>
        <w:t>n</w:t>
      </w:r>
      <w:r w:rsidRPr="001263B7">
        <w:rPr>
          <w:sz w:val="24"/>
          <w:szCs w:val="24"/>
        </w:rPr>
        <w:t>ge</w:t>
      </w:r>
      <w:r w:rsidRPr="001263B7">
        <w:rPr>
          <w:spacing w:val="-9"/>
          <w:sz w:val="24"/>
          <w:szCs w:val="24"/>
        </w:rPr>
        <w:t>r</w:t>
      </w:r>
      <w:r w:rsidRPr="001263B7">
        <w:rPr>
          <w:sz w:val="24"/>
          <w:szCs w:val="24"/>
        </w:rPr>
        <w:t>ar</w:t>
      </w:r>
      <w:r w:rsidRPr="001263B7">
        <w:rPr>
          <w:spacing w:val="-19"/>
          <w:sz w:val="24"/>
          <w:szCs w:val="24"/>
        </w:rPr>
        <w:t xml:space="preserve"> </w:t>
      </w:r>
      <w:r w:rsidRPr="001263B7">
        <w:rPr>
          <w:sz w:val="24"/>
          <w:szCs w:val="24"/>
        </w:rPr>
        <w:t>väl</w:t>
      </w:r>
      <w:r w:rsidRPr="001263B7">
        <w:rPr>
          <w:spacing w:val="-9"/>
          <w:sz w:val="24"/>
          <w:szCs w:val="24"/>
        </w:rPr>
        <w:t xml:space="preserve"> </w:t>
      </w:r>
      <w:r w:rsidRPr="001263B7">
        <w:rPr>
          <w:spacing w:val="-5"/>
          <w:sz w:val="24"/>
          <w:szCs w:val="24"/>
        </w:rPr>
        <w:t>p</w:t>
      </w:r>
      <w:r w:rsidRPr="001263B7">
        <w:rPr>
          <w:sz w:val="24"/>
          <w:szCs w:val="24"/>
        </w:rPr>
        <w:t>å</w:t>
      </w:r>
      <w:r w:rsidRPr="001263B7">
        <w:rPr>
          <w:spacing w:val="-12"/>
          <w:sz w:val="24"/>
          <w:szCs w:val="24"/>
        </w:rPr>
        <w:t xml:space="preserve"> </w:t>
      </w:r>
      <w:r w:rsidRPr="001263B7">
        <w:rPr>
          <w:spacing w:val="-1"/>
          <w:sz w:val="24"/>
          <w:szCs w:val="24"/>
        </w:rPr>
        <w:t>m</w:t>
      </w:r>
      <w:r w:rsidRPr="001263B7">
        <w:rPr>
          <w:spacing w:val="-2"/>
          <w:sz w:val="24"/>
          <w:szCs w:val="24"/>
        </w:rPr>
        <w:t>å</w:t>
      </w:r>
      <w:r w:rsidRPr="001263B7">
        <w:rPr>
          <w:sz w:val="24"/>
          <w:szCs w:val="24"/>
        </w:rPr>
        <w:t>n</w:t>
      </w:r>
      <w:r w:rsidRPr="001263B7">
        <w:rPr>
          <w:spacing w:val="-11"/>
          <w:sz w:val="24"/>
          <w:szCs w:val="24"/>
        </w:rPr>
        <w:t>g</w:t>
      </w:r>
      <w:r w:rsidRPr="001263B7">
        <w:rPr>
          <w:sz w:val="24"/>
          <w:szCs w:val="24"/>
        </w:rPr>
        <w:t>a</w:t>
      </w:r>
      <w:r w:rsidRPr="001263B7">
        <w:rPr>
          <w:spacing w:val="-9"/>
          <w:sz w:val="24"/>
          <w:szCs w:val="24"/>
        </w:rPr>
        <w:t xml:space="preserve"> </w:t>
      </w:r>
      <w:r w:rsidRPr="001263B7">
        <w:rPr>
          <w:sz w:val="24"/>
          <w:szCs w:val="24"/>
        </w:rPr>
        <w:t>u</w:t>
      </w:r>
      <w:r w:rsidRPr="001263B7">
        <w:rPr>
          <w:spacing w:val="-3"/>
          <w:sz w:val="24"/>
          <w:szCs w:val="24"/>
        </w:rPr>
        <w:t>n</w:t>
      </w:r>
      <w:r w:rsidRPr="001263B7">
        <w:rPr>
          <w:spacing w:val="-8"/>
          <w:sz w:val="24"/>
          <w:szCs w:val="24"/>
        </w:rPr>
        <w:t>d</w:t>
      </w:r>
      <w:r w:rsidRPr="001263B7">
        <w:rPr>
          <w:sz w:val="24"/>
          <w:szCs w:val="24"/>
        </w:rPr>
        <w:t>e</w:t>
      </w:r>
      <w:r w:rsidRPr="001263B7">
        <w:rPr>
          <w:spacing w:val="-1"/>
          <w:sz w:val="24"/>
          <w:szCs w:val="24"/>
        </w:rPr>
        <w:t>r</w:t>
      </w:r>
      <w:r w:rsidRPr="001263B7">
        <w:rPr>
          <w:sz w:val="24"/>
          <w:szCs w:val="24"/>
        </w:rPr>
        <w:t>ligg</w:t>
      </w:r>
      <w:r w:rsidRPr="001263B7">
        <w:rPr>
          <w:spacing w:val="-4"/>
          <w:sz w:val="24"/>
          <w:szCs w:val="24"/>
        </w:rPr>
        <w:t>a</w:t>
      </w:r>
      <w:r w:rsidRPr="001263B7">
        <w:rPr>
          <w:spacing w:val="-1"/>
          <w:sz w:val="24"/>
          <w:szCs w:val="24"/>
        </w:rPr>
        <w:t>n</w:t>
      </w:r>
      <w:r w:rsidRPr="001263B7">
        <w:rPr>
          <w:spacing w:val="-3"/>
          <w:sz w:val="24"/>
          <w:szCs w:val="24"/>
        </w:rPr>
        <w:t>d</w:t>
      </w:r>
      <w:r w:rsidRPr="001263B7">
        <w:rPr>
          <w:sz w:val="24"/>
          <w:szCs w:val="24"/>
        </w:rPr>
        <w:t>e</w:t>
      </w:r>
      <w:r w:rsidRPr="001263B7">
        <w:rPr>
          <w:spacing w:val="-10"/>
          <w:sz w:val="24"/>
          <w:szCs w:val="24"/>
        </w:rPr>
        <w:t xml:space="preserve"> </w:t>
      </w:r>
      <w:r w:rsidRPr="001263B7">
        <w:rPr>
          <w:spacing w:val="-1"/>
          <w:sz w:val="24"/>
          <w:szCs w:val="24"/>
        </w:rPr>
        <w:t>o</w:t>
      </w:r>
      <w:r w:rsidRPr="001263B7">
        <w:rPr>
          <w:spacing w:val="-6"/>
          <w:sz w:val="24"/>
          <w:szCs w:val="24"/>
        </w:rPr>
        <w:t>r</w:t>
      </w:r>
      <w:r w:rsidRPr="001263B7">
        <w:rPr>
          <w:spacing w:val="-7"/>
          <w:sz w:val="24"/>
          <w:szCs w:val="24"/>
        </w:rPr>
        <w:t>s</w:t>
      </w:r>
      <w:r w:rsidRPr="001263B7">
        <w:rPr>
          <w:sz w:val="24"/>
          <w:szCs w:val="24"/>
        </w:rPr>
        <w:t>a</w:t>
      </w:r>
      <w:r w:rsidRPr="001263B7">
        <w:rPr>
          <w:spacing w:val="-8"/>
          <w:sz w:val="24"/>
          <w:szCs w:val="24"/>
        </w:rPr>
        <w:t>k</w:t>
      </w:r>
      <w:r w:rsidRPr="001263B7">
        <w:rPr>
          <w:sz w:val="24"/>
          <w:szCs w:val="24"/>
        </w:rPr>
        <w:t>er</w:t>
      </w:r>
      <w:r w:rsidRPr="001263B7">
        <w:rPr>
          <w:spacing w:val="-12"/>
          <w:sz w:val="24"/>
          <w:szCs w:val="24"/>
        </w:rPr>
        <w:t xml:space="preserve"> </w:t>
      </w:r>
      <w:r w:rsidRPr="001263B7">
        <w:rPr>
          <w:spacing w:val="-1"/>
          <w:sz w:val="24"/>
          <w:szCs w:val="24"/>
        </w:rPr>
        <w:t>m</w:t>
      </w:r>
      <w:r w:rsidRPr="001263B7">
        <w:rPr>
          <w:sz w:val="24"/>
          <w:szCs w:val="24"/>
        </w:rPr>
        <w:t>en</w:t>
      </w:r>
      <w:r w:rsidRPr="001263B7">
        <w:rPr>
          <w:spacing w:val="-14"/>
          <w:sz w:val="24"/>
          <w:szCs w:val="24"/>
        </w:rPr>
        <w:t xml:space="preserve"> </w:t>
      </w:r>
      <w:r w:rsidRPr="001263B7">
        <w:rPr>
          <w:spacing w:val="-8"/>
          <w:sz w:val="24"/>
          <w:szCs w:val="24"/>
        </w:rPr>
        <w:t>k</w:t>
      </w:r>
      <w:r w:rsidRPr="001263B7">
        <w:rPr>
          <w:spacing w:val="-7"/>
          <w:sz w:val="24"/>
          <w:szCs w:val="24"/>
        </w:rPr>
        <w:t>a</w:t>
      </w:r>
      <w:r w:rsidRPr="001263B7">
        <w:rPr>
          <w:sz w:val="24"/>
          <w:szCs w:val="24"/>
        </w:rPr>
        <w:t>n</w:t>
      </w:r>
      <w:r w:rsidRPr="001263B7">
        <w:rPr>
          <w:spacing w:val="-13"/>
          <w:sz w:val="24"/>
          <w:szCs w:val="24"/>
        </w:rPr>
        <w:t xml:space="preserve"> </w:t>
      </w:r>
      <w:r w:rsidRPr="001263B7">
        <w:rPr>
          <w:sz w:val="24"/>
          <w:szCs w:val="24"/>
        </w:rPr>
        <w:t>ges</w:t>
      </w:r>
      <w:r w:rsidRPr="001263B7">
        <w:rPr>
          <w:spacing w:val="-16"/>
          <w:sz w:val="24"/>
          <w:szCs w:val="24"/>
        </w:rPr>
        <w:t xml:space="preserve"> </w:t>
      </w:r>
      <w:r w:rsidRPr="001263B7">
        <w:rPr>
          <w:spacing w:val="-1"/>
          <w:sz w:val="24"/>
          <w:szCs w:val="24"/>
        </w:rPr>
        <w:t>f</w:t>
      </w:r>
      <w:r w:rsidRPr="001263B7">
        <w:rPr>
          <w:sz w:val="24"/>
          <w:szCs w:val="24"/>
        </w:rPr>
        <w:t>ö</w:t>
      </w:r>
      <w:r w:rsidRPr="001263B7">
        <w:rPr>
          <w:spacing w:val="-6"/>
          <w:sz w:val="24"/>
          <w:szCs w:val="24"/>
        </w:rPr>
        <w:t>r</w:t>
      </w:r>
      <w:r w:rsidRPr="001263B7">
        <w:rPr>
          <w:spacing w:val="-7"/>
          <w:sz w:val="24"/>
          <w:szCs w:val="24"/>
        </w:rPr>
        <w:t>s</w:t>
      </w:r>
      <w:r w:rsidRPr="001263B7">
        <w:rPr>
          <w:sz w:val="24"/>
          <w:szCs w:val="24"/>
        </w:rPr>
        <w:t>t</w:t>
      </w:r>
      <w:r w:rsidRPr="001263B7">
        <w:rPr>
          <w:spacing w:val="-13"/>
          <w:sz w:val="24"/>
          <w:szCs w:val="24"/>
        </w:rPr>
        <w:t xml:space="preserve"> </w:t>
      </w:r>
      <w:r w:rsidRPr="001263B7">
        <w:rPr>
          <w:spacing w:val="-1"/>
          <w:sz w:val="24"/>
          <w:szCs w:val="24"/>
        </w:rPr>
        <w:t>n</w:t>
      </w:r>
      <w:r w:rsidRPr="001263B7">
        <w:rPr>
          <w:sz w:val="24"/>
          <w:szCs w:val="24"/>
        </w:rPr>
        <w:t>är</w:t>
      </w:r>
      <w:r w:rsidRPr="001263B7">
        <w:rPr>
          <w:spacing w:val="-15"/>
          <w:sz w:val="24"/>
          <w:szCs w:val="24"/>
        </w:rPr>
        <w:t xml:space="preserve"> </w:t>
      </w:r>
      <w:r w:rsidRPr="001263B7">
        <w:rPr>
          <w:spacing w:val="-1"/>
          <w:sz w:val="24"/>
          <w:szCs w:val="24"/>
        </w:rPr>
        <w:t>f</w:t>
      </w:r>
      <w:r w:rsidRPr="001263B7">
        <w:rPr>
          <w:spacing w:val="-6"/>
          <w:sz w:val="24"/>
          <w:szCs w:val="24"/>
        </w:rPr>
        <w:t>r</w:t>
      </w:r>
      <w:r w:rsidRPr="001263B7">
        <w:rPr>
          <w:sz w:val="24"/>
          <w:szCs w:val="24"/>
        </w:rPr>
        <w:t>a</w:t>
      </w:r>
      <w:r w:rsidRPr="001263B7">
        <w:rPr>
          <w:spacing w:val="-1"/>
          <w:sz w:val="24"/>
          <w:szCs w:val="24"/>
        </w:rPr>
        <w:t>mf</w:t>
      </w:r>
      <w:r w:rsidRPr="001263B7">
        <w:rPr>
          <w:sz w:val="24"/>
          <w:szCs w:val="24"/>
        </w:rPr>
        <w:t>ör</w:t>
      </w:r>
      <w:r w:rsidRPr="001263B7">
        <w:rPr>
          <w:spacing w:val="-15"/>
          <w:sz w:val="24"/>
          <w:szCs w:val="24"/>
        </w:rPr>
        <w:t xml:space="preserve"> </w:t>
      </w:r>
      <w:r w:rsidRPr="001263B7">
        <w:rPr>
          <w:sz w:val="24"/>
          <w:szCs w:val="24"/>
        </w:rPr>
        <w:t>allt</w:t>
      </w:r>
      <w:r w:rsidRPr="001263B7">
        <w:rPr>
          <w:spacing w:val="-14"/>
          <w:sz w:val="24"/>
          <w:szCs w:val="24"/>
        </w:rPr>
        <w:t xml:space="preserve"> </w:t>
      </w:r>
      <w:r w:rsidRPr="001263B7">
        <w:rPr>
          <w:sz w:val="24"/>
          <w:szCs w:val="24"/>
        </w:rPr>
        <w:t>in</w:t>
      </w:r>
      <w:r w:rsidRPr="001263B7">
        <w:rPr>
          <w:spacing w:val="-1"/>
          <w:sz w:val="24"/>
          <w:szCs w:val="24"/>
        </w:rPr>
        <w:t>f</w:t>
      </w:r>
      <w:r w:rsidRPr="001263B7">
        <w:rPr>
          <w:sz w:val="24"/>
          <w:szCs w:val="24"/>
        </w:rPr>
        <w:t>la</w:t>
      </w:r>
      <w:r w:rsidRPr="001263B7">
        <w:rPr>
          <w:spacing w:val="-1"/>
          <w:sz w:val="24"/>
          <w:szCs w:val="24"/>
        </w:rPr>
        <w:t>m</w:t>
      </w:r>
      <w:r w:rsidRPr="001263B7">
        <w:rPr>
          <w:spacing w:val="-11"/>
          <w:sz w:val="24"/>
          <w:szCs w:val="24"/>
        </w:rPr>
        <w:t>m</w:t>
      </w:r>
      <w:r w:rsidRPr="001263B7">
        <w:rPr>
          <w:sz w:val="24"/>
          <w:szCs w:val="24"/>
        </w:rPr>
        <w:t>a</w:t>
      </w:r>
      <w:r w:rsidRPr="001263B7">
        <w:rPr>
          <w:spacing w:val="-1"/>
          <w:sz w:val="24"/>
          <w:szCs w:val="24"/>
        </w:rPr>
        <w:t>t</w:t>
      </w:r>
      <w:r w:rsidRPr="001263B7">
        <w:rPr>
          <w:sz w:val="24"/>
          <w:szCs w:val="24"/>
        </w:rPr>
        <w:t>o</w:t>
      </w:r>
      <w:r w:rsidRPr="001263B7">
        <w:rPr>
          <w:spacing w:val="-9"/>
          <w:sz w:val="24"/>
          <w:szCs w:val="24"/>
        </w:rPr>
        <w:t>r</w:t>
      </w:r>
      <w:r w:rsidRPr="001263B7">
        <w:rPr>
          <w:sz w:val="24"/>
          <w:szCs w:val="24"/>
        </w:rPr>
        <w:t>i</w:t>
      </w:r>
      <w:r w:rsidRPr="001263B7">
        <w:rPr>
          <w:spacing w:val="-7"/>
          <w:sz w:val="24"/>
          <w:szCs w:val="24"/>
        </w:rPr>
        <w:t>s</w:t>
      </w:r>
      <w:r w:rsidRPr="001263B7">
        <w:rPr>
          <w:sz w:val="24"/>
          <w:szCs w:val="24"/>
        </w:rPr>
        <w:t xml:space="preserve">k </w:t>
      </w:r>
      <w:r w:rsidRPr="001263B7">
        <w:rPr>
          <w:spacing w:val="-1"/>
          <w:sz w:val="24"/>
          <w:szCs w:val="24"/>
        </w:rPr>
        <w:t>t</w:t>
      </w:r>
      <w:r w:rsidRPr="001263B7">
        <w:rPr>
          <w:sz w:val="24"/>
          <w:szCs w:val="24"/>
        </w:rPr>
        <w:t>a</w:t>
      </w:r>
      <w:r w:rsidRPr="001263B7">
        <w:rPr>
          <w:spacing w:val="-1"/>
          <w:sz w:val="24"/>
          <w:szCs w:val="24"/>
        </w:rPr>
        <w:t>r</w:t>
      </w:r>
      <w:r w:rsidRPr="001263B7">
        <w:rPr>
          <w:spacing w:val="-3"/>
          <w:sz w:val="24"/>
          <w:szCs w:val="24"/>
        </w:rPr>
        <w:t>m</w:t>
      </w:r>
      <w:r w:rsidRPr="001263B7">
        <w:rPr>
          <w:spacing w:val="-7"/>
          <w:sz w:val="24"/>
          <w:szCs w:val="24"/>
        </w:rPr>
        <w:t>s</w:t>
      </w:r>
      <w:r w:rsidRPr="001263B7">
        <w:rPr>
          <w:sz w:val="24"/>
          <w:szCs w:val="24"/>
        </w:rPr>
        <w:t>jukdom</w:t>
      </w:r>
      <w:r w:rsidRPr="001263B7">
        <w:rPr>
          <w:spacing w:val="-30"/>
          <w:sz w:val="24"/>
          <w:szCs w:val="24"/>
        </w:rPr>
        <w:t xml:space="preserve"> </w:t>
      </w:r>
      <w:r w:rsidRPr="001263B7">
        <w:rPr>
          <w:sz w:val="24"/>
          <w:szCs w:val="24"/>
        </w:rPr>
        <w:t>är</w:t>
      </w:r>
      <w:r w:rsidRPr="001263B7">
        <w:rPr>
          <w:spacing w:val="-33"/>
          <w:sz w:val="24"/>
          <w:szCs w:val="24"/>
        </w:rPr>
        <w:t xml:space="preserve"> </w:t>
      </w:r>
      <w:r w:rsidRPr="001263B7">
        <w:rPr>
          <w:sz w:val="24"/>
          <w:szCs w:val="24"/>
        </w:rPr>
        <w:t>u</w:t>
      </w:r>
      <w:r w:rsidRPr="001263B7">
        <w:rPr>
          <w:spacing w:val="-1"/>
          <w:sz w:val="24"/>
          <w:szCs w:val="24"/>
        </w:rPr>
        <w:t>t</w:t>
      </w:r>
      <w:r w:rsidRPr="001263B7">
        <w:rPr>
          <w:sz w:val="24"/>
          <w:szCs w:val="24"/>
        </w:rPr>
        <w:t>e</w:t>
      </w:r>
      <w:r w:rsidRPr="001263B7">
        <w:rPr>
          <w:spacing w:val="-7"/>
          <w:sz w:val="24"/>
          <w:szCs w:val="24"/>
        </w:rPr>
        <w:t>s</w:t>
      </w:r>
      <w:r w:rsidRPr="001263B7">
        <w:rPr>
          <w:sz w:val="24"/>
          <w:szCs w:val="24"/>
        </w:rPr>
        <w:t>l</w:t>
      </w:r>
      <w:r w:rsidRPr="001263B7">
        <w:rPr>
          <w:spacing w:val="-3"/>
          <w:sz w:val="24"/>
          <w:szCs w:val="24"/>
        </w:rPr>
        <w:t>u</w:t>
      </w:r>
      <w:r w:rsidRPr="001263B7">
        <w:rPr>
          <w:spacing w:val="-1"/>
          <w:sz w:val="24"/>
          <w:szCs w:val="24"/>
        </w:rPr>
        <w:t>t</w:t>
      </w:r>
      <w:r w:rsidRPr="001263B7">
        <w:rPr>
          <w:sz w:val="24"/>
          <w:szCs w:val="24"/>
        </w:rPr>
        <w:t>e</w:t>
      </w:r>
      <w:r w:rsidRPr="001263B7">
        <w:rPr>
          <w:spacing w:val="-5"/>
          <w:sz w:val="24"/>
          <w:szCs w:val="24"/>
        </w:rPr>
        <w:t xml:space="preserve">n. </w:t>
      </w:r>
      <w:r w:rsidRPr="001263B7">
        <w:rPr>
          <w:sz w:val="24"/>
          <w:szCs w:val="24"/>
        </w:rPr>
        <w:t xml:space="preserve">Gallsaltsbindare kan provas, ensamt eller i kombination med loperamid, om ej tillräcklig effekt uppnås med loperamid eller bulkmedel. Man börjar med 0,5 dospåse 2 gånger per dag av gallsaltsbindare och ökar dosen tills effekt erhålls, eller till den angivna maximala dosen enligt produktresumé/FASS. </w:t>
      </w:r>
    </w:p>
    <w:p w14:paraId="603EB0DA" w14:textId="77777777" w:rsidR="00702564" w:rsidRPr="00AA3868" w:rsidRDefault="00702564" w:rsidP="00702564">
      <w:pPr>
        <w:pStyle w:val="Rubrik2"/>
      </w:pPr>
      <w:r w:rsidRPr="00AA3868">
        <w:lastRenderedPageBreak/>
        <w:t>Hemorroider</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1263B7" w14:paraId="343EFE94" w14:textId="77777777" w:rsidTr="00632FCC">
        <w:tc>
          <w:tcPr>
            <w:tcW w:w="4531" w:type="dxa"/>
          </w:tcPr>
          <w:p w14:paraId="60139002" w14:textId="77777777" w:rsidR="00702564" w:rsidRPr="001263B7" w:rsidRDefault="00702564" w:rsidP="00632FCC">
            <w:pPr>
              <w:rPr>
                <w:spacing w:val="-1"/>
                <w:sz w:val="24"/>
                <w:szCs w:val="28"/>
              </w:rPr>
            </w:pPr>
            <w:r w:rsidRPr="001263B7">
              <w:rPr>
                <w:rFonts w:eastAsia="Garamond" w:cs="Garamond"/>
                <w:b/>
                <w:bCs/>
                <w:iCs/>
                <w:sz w:val="24"/>
                <w:szCs w:val="28"/>
              </w:rPr>
              <w:t>lid</w:t>
            </w:r>
            <w:r w:rsidRPr="001263B7">
              <w:rPr>
                <w:rFonts w:eastAsia="Garamond" w:cs="Garamond"/>
                <w:b/>
                <w:bCs/>
                <w:iCs/>
                <w:spacing w:val="-1"/>
                <w:sz w:val="24"/>
                <w:szCs w:val="28"/>
              </w:rPr>
              <w:t>ok</w:t>
            </w:r>
            <w:r w:rsidRPr="001263B7">
              <w:rPr>
                <w:rFonts w:eastAsia="Garamond" w:cs="Garamond"/>
                <w:b/>
                <w:bCs/>
                <w:iCs/>
                <w:spacing w:val="-2"/>
                <w:sz w:val="24"/>
                <w:szCs w:val="28"/>
              </w:rPr>
              <w:t>a</w:t>
            </w:r>
            <w:r w:rsidRPr="001263B7">
              <w:rPr>
                <w:rFonts w:eastAsia="Garamond" w:cs="Garamond"/>
                <w:b/>
                <w:bCs/>
                <w:iCs/>
                <w:spacing w:val="-3"/>
                <w:sz w:val="24"/>
                <w:szCs w:val="28"/>
              </w:rPr>
              <w:t>i</w:t>
            </w:r>
            <w:r w:rsidRPr="001263B7">
              <w:rPr>
                <w:rFonts w:eastAsia="Garamond" w:cs="Garamond"/>
                <w:b/>
                <w:bCs/>
                <w:iCs/>
                <w:sz w:val="24"/>
                <w:szCs w:val="28"/>
              </w:rPr>
              <w:t>n</w:t>
            </w:r>
            <w:r w:rsidRPr="001263B7">
              <w:rPr>
                <w:rFonts w:eastAsia="Garamond" w:cs="Garamond"/>
                <w:b/>
                <w:bCs/>
                <w:iCs/>
                <w:spacing w:val="-1"/>
                <w:sz w:val="24"/>
                <w:szCs w:val="28"/>
              </w:rPr>
              <w:t>/</w:t>
            </w:r>
            <w:r w:rsidRPr="001263B7">
              <w:rPr>
                <w:rFonts w:eastAsia="Garamond" w:cs="Garamond"/>
                <w:b/>
                <w:bCs/>
                <w:iCs/>
                <w:sz w:val="24"/>
                <w:szCs w:val="28"/>
              </w:rPr>
              <w:t>h</w:t>
            </w:r>
            <w:r w:rsidRPr="001263B7">
              <w:rPr>
                <w:rFonts w:eastAsia="Garamond" w:cs="Garamond"/>
                <w:b/>
                <w:bCs/>
                <w:iCs/>
                <w:spacing w:val="-6"/>
                <w:sz w:val="24"/>
                <w:szCs w:val="28"/>
              </w:rPr>
              <w:t>y</w:t>
            </w:r>
            <w:r w:rsidRPr="001263B7">
              <w:rPr>
                <w:rFonts w:eastAsia="Garamond" w:cs="Garamond"/>
                <w:b/>
                <w:bCs/>
                <w:iCs/>
                <w:spacing w:val="-2"/>
                <w:sz w:val="24"/>
                <w:szCs w:val="28"/>
              </w:rPr>
              <w:t>d</w:t>
            </w:r>
            <w:r w:rsidRPr="001263B7">
              <w:rPr>
                <w:rFonts w:eastAsia="Garamond" w:cs="Garamond"/>
                <w:b/>
                <w:bCs/>
                <w:iCs/>
                <w:spacing w:val="-1"/>
                <w:sz w:val="24"/>
                <w:szCs w:val="28"/>
              </w:rPr>
              <w:t>r</w:t>
            </w:r>
            <w:r w:rsidRPr="001263B7">
              <w:rPr>
                <w:rFonts w:eastAsia="Garamond" w:cs="Garamond"/>
                <w:b/>
                <w:bCs/>
                <w:iCs/>
                <w:spacing w:val="-4"/>
                <w:sz w:val="24"/>
                <w:szCs w:val="28"/>
              </w:rPr>
              <w:t>o</w:t>
            </w:r>
            <w:r w:rsidRPr="001263B7">
              <w:rPr>
                <w:rFonts w:eastAsia="Garamond" w:cs="Garamond"/>
                <w:b/>
                <w:bCs/>
                <w:iCs/>
                <w:spacing w:val="-1"/>
                <w:sz w:val="24"/>
                <w:szCs w:val="28"/>
              </w:rPr>
              <w:t>k</w:t>
            </w:r>
            <w:r w:rsidRPr="001263B7">
              <w:rPr>
                <w:rFonts w:eastAsia="Garamond" w:cs="Garamond"/>
                <w:b/>
                <w:bCs/>
                <w:iCs/>
                <w:spacing w:val="-4"/>
                <w:sz w:val="24"/>
                <w:szCs w:val="28"/>
              </w:rPr>
              <w:t>o</w:t>
            </w:r>
            <w:r w:rsidRPr="001263B7">
              <w:rPr>
                <w:rFonts w:eastAsia="Garamond" w:cs="Garamond"/>
                <w:b/>
                <w:bCs/>
                <w:iCs/>
                <w:spacing w:val="-1"/>
                <w:sz w:val="24"/>
                <w:szCs w:val="28"/>
              </w:rPr>
              <w:t>r</w:t>
            </w:r>
            <w:r w:rsidRPr="001263B7">
              <w:rPr>
                <w:rFonts w:eastAsia="Garamond" w:cs="Garamond"/>
                <w:b/>
                <w:bCs/>
                <w:iCs/>
                <w:spacing w:val="-3"/>
                <w:sz w:val="24"/>
                <w:szCs w:val="28"/>
              </w:rPr>
              <w:t>ti</w:t>
            </w:r>
            <w:r w:rsidRPr="001263B7">
              <w:rPr>
                <w:rFonts w:eastAsia="Garamond" w:cs="Garamond"/>
                <w:b/>
                <w:bCs/>
                <w:iCs/>
                <w:spacing w:val="-1"/>
                <w:sz w:val="24"/>
                <w:szCs w:val="28"/>
              </w:rPr>
              <w:t>s</w:t>
            </w:r>
            <w:r w:rsidRPr="001263B7">
              <w:rPr>
                <w:rFonts w:eastAsia="Garamond" w:cs="Garamond"/>
                <w:b/>
                <w:bCs/>
                <w:iCs/>
                <w:spacing w:val="-6"/>
                <w:sz w:val="24"/>
                <w:szCs w:val="28"/>
              </w:rPr>
              <w:t>o</w:t>
            </w:r>
            <w:r w:rsidRPr="001263B7">
              <w:rPr>
                <w:rFonts w:eastAsia="Garamond" w:cs="Garamond"/>
                <w:b/>
                <w:bCs/>
                <w:iCs/>
                <w:sz w:val="24"/>
                <w:szCs w:val="28"/>
              </w:rPr>
              <w:t>n</w:t>
            </w:r>
          </w:p>
        </w:tc>
        <w:tc>
          <w:tcPr>
            <w:tcW w:w="4531" w:type="dxa"/>
          </w:tcPr>
          <w:p w14:paraId="69887D62" w14:textId="77777777" w:rsidR="00702564" w:rsidRPr="001263B7" w:rsidRDefault="00702564" w:rsidP="00632FCC">
            <w:pPr>
              <w:rPr>
                <w:spacing w:val="-1"/>
                <w:sz w:val="24"/>
                <w:szCs w:val="28"/>
              </w:rPr>
            </w:pPr>
            <w:r w:rsidRPr="001263B7">
              <w:rPr>
                <w:rFonts w:eastAsia="Garamond" w:cs="Garamond"/>
                <w:sz w:val="24"/>
                <w:szCs w:val="28"/>
              </w:rPr>
              <w:t>Xylo</w:t>
            </w:r>
            <w:r w:rsidRPr="001263B7">
              <w:rPr>
                <w:rFonts w:eastAsia="Garamond" w:cs="Garamond"/>
                <w:spacing w:val="-1"/>
                <w:sz w:val="24"/>
                <w:szCs w:val="28"/>
              </w:rPr>
              <w:t>p</w:t>
            </w:r>
            <w:r w:rsidRPr="001263B7">
              <w:rPr>
                <w:rFonts w:eastAsia="Garamond" w:cs="Garamond"/>
                <w:spacing w:val="-10"/>
                <w:sz w:val="24"/>
                <w:szCs w:val="28"/>
              </w:rPr>
              <w:t>r</w:t>
            </w:r>
            <w:r w:rsidRPr="001263B7">
              <w:rPr>
                <w:rFonts w:eastAsia="Garamond" w:cs="Garamond"/>
                <w:spacing w:val="-1"/>
                <w:sz w:val="24"/>
                <w:szCs w:val="28"/>
              </w:rPr>
              <w:t>o</w:t>
            </w:r>
            <w:r w:rsidRPr="001263B7">
              <w:rPr>
                <w:rFonts w:eastAsia="Garamond" w:cs="Garamond"/>
                <w:sz w:val="24"/>
                <w:szCs w:val="28"/>
              </w:rPr>
              <w:t>ct</w:t>
            </w:r>
          </w:p>
        </w:tc>
      </w:tr>
      <w:tr w:rsidR="00702564" w:rsidRPr="001263B7" w14:paraId="3E3E00BB" w14:textId="77777777" w:rsidTr="00632FCC">
        <w:tc>
          <w:tcPr>
            <w:tcW w:w="4531" w:type="dxa"/>
          </w:tcPr>
          <w:p w14:paraId="6FB955C5" w14:textId="77777777" w:rsidR="00702564" w:rsidRPr="001263B7" w:rsidRDefault="00702564" w:rsidP="00632FCC">
            <w:pPr>
              <w:rPr>
                <w:spacing w:val="-1"/>
                <w:sz w:val="24"/>
                <w:szCs w:val="28"/>
              </w:rPr>
            </w:pPr>
            <w:r w:rsidRPr="001263B7">
              <w:rPr>
                <w:rFonts w:eastAsia="Garamond" w:cs="Garamond"/>
                <w:b/>
                <w:bCs/>
                <w:sz w:val="24"/>
                <w:szCs w:val="28"/>
              </w:rPr>
              <w:t>cinkokain/prednisolon</w:t>
            </w:r>
          </w:p>
        </w:tc>
        <w:tc>
          <w:tcPr>
            <w:tcW w:w="4531" w:type="dxa"/>
          </w:tcPr>
          <w:p w14:paraId="341C56E3" w14:textId="77777777" w:rsidR="00702564" w:rsidRPr="001263B7" w:rsidRDefault="00702564" w:rsidP="00632FCC">
            <w:pPr>
              <w:rPr>
                <w:spacing w:val="-1"/>
                <w:sz w:val="24"/>
                <w:szCs w:val="28"/>
              </w:rPr>
            </w:pPr>
            <w:r w:rsidRPr="001263B7">
              <w:rPr>
                <w:rFonts w:eastAsia="Garamond" w:cs="Garamond"/>
                <w:sz w:val="24"/>
                <w:szCs w:val="28"/>
              </w:rPr>
              <w:t>Scheriproct</w:t>
            </w:r>
          </w:p>
        </w:tc>
      </w:tr>
    </w:tbl>
    <w:p w14:paraId="6BAEDD99" w14:textId="77777777" w:rsidR="00702564" w:rsidRDefault="00702564" w:rsidP="00702564">
      <w:pPr>
        <w:rPr>
          <w:rFonts w:eastAsia="Aptos" w:cs="Arial"/>
          <w:color w:val="1A1A1A"/>
          <w:sz w:val="20"/>
          <w:szCs w:val="20"/>
          <w:lang w:eastAsia="sv-SE"/>
        </w:rPr>
      </w:pPr>
      <w:r w:rsidRPr="002E6060">
        <w:rPr>
          <w:rFonts w:eastAsia="Aptos" w:cs="Arial"/>
          <w:color w:val="1A1A1A"/>
          <w:sz w:val="20"/>
          <w:szCs w:val="20"/>
          <w:lang w:eastAsia="sv-SE"/>
        </w:rPr>
        <w:t>Man bör undvika långvarig behandling innehållande steroider då anodermet och perianal vävnad riskerar att bli skör</w:t>
      </w:r>
    </w:p>
    <w:p w14:paraId="2E78245A" w14:textId="77777777" w:rsidR="00702564" w:rsidRPr="000872B7" w:rsidRDefault="00702564" w:rsidP="00702564">
      <w:pPr>
        <w:rPr>
          <w:spacing w:val="-1"/>
          <w:szCs w:val="24"/>
        </w:rPr>
      </w:pPr>
    </w:p>
    <w:p w14:paraId="52176E94" w14:textId="77777777" w:rsidR="00702564" w:rsidRPr="003F79DC" w:rsidRDefault="00702564" w:rsidP="00702564">
      <w:pPr>
        <w:rPr>
          <w:spacing w:val="1"/>
          <w:sz w:val="24"/>
          <w:szCs w:val="24"/>
        </w:rPr>
      </w:pPr>
      <w:r w:rsidRPr="003F79DC">
        <w:rPr>
          <w:spacing w:val="1"/>
          <w:sz w:val="24"/>
          <w:szCs w:val="24"/>
        </w:rPr>
        <w:t xml:space="preserve">Hemorrojder bör endast behandlas om de är symtomgivande (prolaberade, trombotiserade eller blödande). De vanligaste riskfaktorerna för att utveckla besvär med hemorrojder anses vara krystning, förstoppning, diarré, sittande arbete, fetma och graviditet. Innan behandling startas skall undersökning innefattande rektalundersökning, rektalpalpation och prokto- och rektoskopi vara gjord. Det är också viktigt att kartlägga patientens avföringsvanor. Reglering av avföringskonsistens och behandling av förstoppning samt undvika krysning är grunden för behandlingen och bör gås igenom med patienten. </w:t>
      </w:r>
      <w:r w:rsidRPr="003F79DC">
        <w:rPr>
          <w:sz w:val="24"/>
          <w:szCs w:val="24"/>
        </w:rPr>
        <w:t xml:space="preserve">Vid hemorroider och fissurer är det särskilt viktigt att avföringen hålls mjuk och förstoppning undviks. </w:t>
      </w:r>
      <w:r w:rsidRPr="003F79DC">
        <w:rPr>
          <w:spacing w:val="1"/>
          <w:sz w:val="24"/>
          <w:szCs w:val="24"/>
        </w:rPr>
        <w:t>Som läkemedelsbehandling mot förstoppning rekommenderas bulkmedel (exv Vi-siblin, Inolaxol), alternativt osmotiska (exv Movicol, Laktulos)</w:t>
      </w:r>
    </w:p>
    <w:p w14:paraId="67FA1475" w14:textId="77777777" w:rsidR="00702564" w:rsidRPr="003F79DC" w:rsidRDefault="00702564" w:rsidP="00702564">
      <w:pPr>
        <w:rPr>
          <w:spacing w:val="1"/>
          <w:sz w:val="24"/>
          <w:szCs w:val="24"/>
        </w:rPr>
      </w:pPr>
    </w:p>
    <w:p w14:paraId="7FEFAD88" w14:textId="77777777" w:rsidR="00702564" w:rsidRPr="003F79DC" w:rsidRDefault="00702564" w:rsidP="00702564">
      <w:pPr>
        <w:rPr>
          <w:spacing w:val="1"/>
          <w:sz w:val="24"/>
          <w:szCs w:val="24"/>
        </w:rPr>
      </w:pPr>
      <w:r w:rsidRPr="003F79DC">
        <w:rPr>
          <w:b/>
          <w:bCs/>
          <w:spacing w:val="1"/>
          <w:sz w:val="24"/>
          <w:szCs w:val="24"/>
        </w:rPr>
        <w:t>Analfissur </w:t>
      </w:r>
    </w:p>
    <w:p w14:paraId="28E1433A" w14:textId="77777777" w:rsidR="00702564" w:rsidRPr="003F79DC" w:rsidRDefault="00702564" w:rsidP="00702564">
      <w:pPr>
        <w:rPr>
          <w:spacing w:val="1"/>
          <w:sz w:val="24"/>
          <w:szCs w:val="24"/>
        </w:rPr>
      </w:pPr>
      <w:r w:rsidRPr="003F79DC">
        <w:rPr>
          <w:spacing w:val="1"/>
          <w:sz w:val="24"/>
          <w:szCs w:val="24"/>
        </w:rPr>
        <w:t>Analfissurer är en spricka i anodermet och patientens huvudsymptom är smärta vid tarmtömning, ofta också med mindre rektal blödning. Fissuren är vanligen lokaliserad rakt bakåt, En akut analfissur uppstår ofta vid en period av lös avföring eller förstoppning. Ofta ses en så kallad portvaktstagg distalt om fissuren och ibland en hypertrofierad anal papill, proximalt om fissuren. </w:t>
      </w:r>
    </w:p>
    <w:p w14:paraId="64DCD59F" w14:textId="77777777" w:rsidR="00702564" w:rsidRPr="003F79DC" w:rsidRDefault="00702564" w:rsidP="00702564">
      <w:pPr>
        <w:rPr>
          <w:spacing w:val="1"/>
          <w:sz w:val="24"/>
          <w:szCs w:val="24"/>
        </w:rPr>
      </w:pPr>
      <w:r w:rsidRPr="003F79DC">
        <w:rPr>
          <w:spacing w:val="1"/>
          <w:sz w:val="24"/>
          <w:szCs w:val="24"/>
        </w:rPr>
        <w:t>Undersökning sker genom retraktion av perianal hud varpå man ofta kan blotta fissuren. Ofta är prokto- och rektoskopi allt för smärtsamt att utföra i akutskedet och måste då göras när smärtan avtagit eller i narkos på operation. Två tredjedelar av alla akuta fissurer läker spontant. Kroniska fissurer läker sällan spontant. </w:t>
      </w:r>
    </w:p>
    <w:p w14:paraId="06FC0E88" w14:textId="77777777" w:rsidR="00702564" w:rsidRPr="003F79DC" w:rsidRDefault="00702564" w:rsidP="00702564">
      <w:pPr>
        <w:rPr>
          <w:spacing w:val="1"/>
          <w:sz w:val="24"/>
          <w:szCs w:val="24"/>
        </w:rPr>
      </w:pPr>
    </w:p>
    <w:p w14:paraId="0EC61BC0" w14:textId="77777777" w:rsidR="00702564" w:rsidRPr="003F79DC" w:rsidRDefault="00702564" w:rsidP="00702564">
      <w:pPr>
        <w:rPr>
          <w:spacing w:val="1"/>
          <w:sz w:val="24"/>
          <w:szCs w:val="24"/>
        </w:rPr>
      </w:pPr>
      <w:r w:rsidRPr="003F79DC">
        <w:rPr>
          <w:spacing w:val="1"/>
          <w:sz w:val="24"/>
          <w:szCs w:val="24"/>
        </w:rPr>
        <w:t>Patienten med analfissur skall alltid undvika förstoppning och vid behov använda laxantia. Man kan i smärtlindrande syfte använda Lokalbedövningssalva, Lidokainsalva. Fissurer behandlas med rektalsalva Diltiazem eller Rectogesic. Huvudvärk är en vanlig biverkan vid Rectogesic. </w:t>
      </w:r>
    </w:p>
    <w:p w14:paraId="61234BE5" w14:textId="77777777" w:rsidR="00702564" w:rsidRDefault="00702564" w:rsidP="00702564">
      <w:r>
        <w:rPr>
          <w:sz w:val="24"/>
          <w:szCs w:val="24"/>
        </w:rPr>
        <w:br/>
      </w:r>
    </w:p>
    <w:p w14:paraId="22238468" w14:textId="77777777" w:rsidR="00702564" w:rsidRPr="00AA3868" w:rsidRDefault="00702564" w:rsidP="00702564">
      <w:pPr>
        <w:rPr>
          <w:rStyle w:val="Rubrik3Char"/>
        </w:rPr>
      </w:pPr>
      <w:r w:rsidRPr="00285BF5">
        <w:rPr>
          <w:rStyle w:val="Rubrik2Char"/>
        </w:rPr>
        <w:t>Divertikulit</w:t>
      </w:r>
      <w:r w:rsidRPr="00AA3868">
        <w:rPr>
          <w:rStyle w:val="Rubrik3Char"/>
        </w:rPr>
        <w:t xml:space="preserve"> </w:t>
      </w:r>
    </w:p>
    <w:p w14:paraId="479B590E" w14:textId="77777777" w:rsidR="00702564" w:rsidRDefault="00702564" w:rsidP="00702564">
      <w:pPr>
        <w:rPr>
          <w:szCs w:val="24"/>
        </w:rPr>
      </w:pPr>
      <w:r w:rsidRPr="0071138D">
        <w:rPr>
          <w:szCs w:val="24"/>
        </w:rPr>
        <w:t>Se Antibiotikaval</w:t>
      </w:r>
      <w:r>
        <w:rPr>
          <w:szCs w:val="24"/>
        </w:rPr>
        <w:t>.</w:t>
      </w:r>
    </w:p>
    <w:p w14:paraId="2DB44EAC" w14:textId="77777777" w:rsidR="00702564" w:rsidRPr="003F79DC" w:rsidRDefault="00702564" w:rsidP="00702564">
      <w:pPr>
        <w:rPr>
          <w:szCs w:val="24"/>
        </w:rPr>
      </w:pPr>
    </w:p>
    <w:p w14:paraId="793AD521" w14:textId="77777777" w:rsidR="00702564" w:rsidRPr="003F79DC" w:rsidRDefault="00702564" w:rsidP="00702564">
      <w:pPr>
        <w:tabs>
          <w:tab w:val="clear" w:pos="284"/>
        </w:tabs>
        <w:spacing w:line="240" w:lineRule="auto"/>
        <w:rPr>
          <w:rFonts w:eastAsia="Aptos" w:cs="Arial"/>
          <w:sz w:val="24"/>
          <w:szCs w:val="24"/>
          <w:lang w:eastAsia="sv-SE"/>
        </w:rPr>
      </w:pPr>
      <w:r w:rsidRPr="003F79DC">
        <w:rPr>
          <w:rFonts w:eastAsia="Aptos" w:cs="Arial"/>
          <w:sz w:val="24"/>
          <w:szCs w:val="24"/>
          <w:lang w:eastAsia="sv-SE"/>
        </w:rPr>
        <w:t>Vid okomplicerad divertikulit hos patient med opåverkat allmäntillstånd där snar uppföljning kan ske behandlas i regel inte med ab, med undantagsfall; sepsis/bakteremi, peritonit, särskillda riskfaktorer Bla. immunosuppression, graviditet. </w:t>
      </w:r>
    </w:p>
    <w:p w14:paraId="610F391D" w14:textId="77777777" w:rsidR="00702564" w:rsidRPr="003F79DC" w:rsidRDefault="00702564" w:rsidP="00702564">
      <w:pPr>
        <w:tabs>
          <w:tab w:val="clear" w:pos="284"/>
        </w:tabs>
        <w:spacing w:line="240" w:lineRule="auto"/>
        <w:rPr>
          <w:rFonts w:eastAsia="Aptos" w:cs="Arial"/>
          <w:sz w:val="24"/>
          <w:szCs w:val="24"/>
          <w:lang w:eastAsia="sv-SE"/>
        </w:rPr>
      </w:pPr>
    </w:p>
    <w:p w14:paraId="200EFD8E" w14:textId="77777777" w:rsidR="00702564" w:rsidRDefault="00702564" w:rsidP="00702564">
      <w:pPr>
        <w:rPr>
          <w:rFonts w:eastAsia="Aptos" w:cs="Arial"/>
          <w:sz w:val="24"/>
          <w:szCs w:val="24"/>
          <w:lang w:eastAsia="sv-SE"/>
        </w:rPr>
      </w:pPr>
      <w:r w:rsidRPr="003F79DC">
        <w:rPr>
          <w:rFonts w:eastAsia="Aptos" w:cs="Arial"/>
          <w:sz w:val="24"/>
          <w:szCs w:val="24"/>
          <w:lang w:eastAsia="sv-SE"/>
        </w:rPr>
        <w:t>Komplicerad divertikulit skall alltid antibiotikabehandlas, med täckning av både anaerob och aerob tarmflora och kräver som regel inneliggande vård.</w:t>
      </w:r>
    </w:p>
    <w:p w14:paraId="7A21F943" w14:textId="77777777" w:rsidR="00702564" w:rsidRDefault="00702564" w:rsidP="00702564">
      <w:pPr>
        <w:rPr>
          <w:rFonts w:eastAsia="Aptos" w:cs="Arial"/>
          <w:sz w:val="24"/>
          <w:szCs w:val="24"/>
          <w:lang w:eastAsia="sv-SE"/>
        </w:rPr>
      </w:pPr>
    </w:p>
    <w:p w14:paraId="046486E4" w14:textId="77777777" w:rsidR="00702564" w:rsidRPr="003F79DC" w:rsidRDefault="00702564" w:rsidP="00702564">
      <w:pPr>
        <w:rPr>
          <w:sz w:val="20"/>
          <w:szCs w:val="20"/>
        </w:rPr>
      </w:pPr>
    </w:p>
    <w:p w14:paraId="1F977C92" w14:textId="77777777" w:rsidR="00702564" w:rsidRPr="004D5D27" w:rsidRDefault="00702564" w:rsidP="00702564">
      <w:pPr>
        <w:pStyle w:val="Rubrik2"/>
      </w:pPr>
      <w:r w:rsidRPr="004D5D27">
        <w:lastRenderedPageBreak/>
        <w:t>IBS</w:t>
      </w:r>
      <w:r>
        <w:t xml:space="preserve"> </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1263B7" w14:paraId="71701E8A" w14:textId="77777777" w:rsidTr="00632FCC">
        <w:tc>
          <w:tcPr>
            <w:tcW w:w="4531" w:type="dxa"/>
          </w:tcPr>
          <w:p w14:paraId="1192B92B" w14:textId="77777777" w:rsidR="00702564" w:rsidRPr="00523789" w:rsidRDefault="00702564" w:rsidP="00632FCC">
            <w:pPr>
              <w:rPr>
                <w:b/>
                <w:bCs/>
                <w:sz w:val="24"/>
                <w:szCs w:val="28"/>
              </w:rPr>
            </w:pPr>
            <w:r>
              <w:rPr>
                <w:b/>
                <w:bCs/>
                <w:sz w:val="24"/>
                <w:szCs w:val="28"/>
              </w:rPr>
              <w:t>isphagula</w:t>
            </w:r>
          </w:p>
        </w:tc>
        <w:tc>
          <w:tcPr>
            <w:tcW w:w="4531" w:type="dxa"/>
          </w:tcPr>
          <w:p w14:paraId="44D66F14" w14:textId="77777777" w:rsidR="00702564" w:rsidRPr="001263B7" w:rsidRDefault="00702564" w:rsidP="00632FCC">
            <w:pPr>
              <w:rPr>
                <w:sz w:val="24"/>
                <w:szCs w:val="28"/>
              </w:rPr>
            </w:pPr>
            <w:r w:rsidRPr="001263B7">
              <w:rPr>
                <w:rFonts w:eastAsia="Garamond" w:cs="Garamond"/>
                <w:sz w:val="24"/>
                <w:szCs w:val="28"/>
              </w:rPr>
              <w:t>V</w:t>
            </w:r>
            <w:r w:rsidRPr="001263B7">
              <w:rPr>
                <w:rFonts w:eastAsia="Garamond" w:cs="Garamond"/>
                <w:spacing w:val="-1"/>
                <w:sz w:val="24"/>
                <w:szCs w:val="28"/>
              </w:rPr>
              <w:t>i-S</w:t>
            </w:r>
            <w:r w:rsidRPr="001263B7">
              <w:rPr>
                <w:rFonts w:eastAsia="Garamond" w:cs="Garamond"/>
                <w:spacing w:val="-3"/>
                <w:sz w:val="24"/>
                <w:szCs w:val="28"/>
              </w:rPr>
              <w:t>i</w:t>
            </w:r>
            <w:r w:rsidRPr="001263B7">
              <w:rPr>
                <w:rFonts w:eastAsia="Garamond" w:cs="Garamond"/>
                <w:spacing w:val="-1"/>
                <w:sz w:val="24"/>
                <w:szCs w:val="28"/>
              </w:rPr>
              <w:t>b</w:t>
            </w:r>
            <w:r w:rsidRPr="001263B7">
              <w:rPr>
                <w:rFonts w:eastAsia="Garamond" w:cs="Garamond"/>
                <w:sz w:val="24"/>
                <w:szCs w:val="28"/>
              </w:rPr>
              <w:t>l</w:t>
            </w:r>
            <w:r w:rsidRPr="001263B7">
              <w:rPr>
                <w:rFonts w:eastAsia="Garamond" w:cs="Garamond"/>
                <w:spacing w:val="-1"/>
                <w:sz w:val="24"/>
                <w:szCs w:val="28"/>
              </w:rPr>
              <w:t>i</w:t>
            </w:r>
            <w:r w:rsidRPr="001263B7">
              <w:rPr>
                <w:rFonts w:eastAsia="Garamond" w:cs="Garamond"/>
                <w:sz w:val="24"/>
                <w:szCs w:val="28"/>
              </w:rPr>
              <w:t>n</w:t>
            </w:r>
          </w:p>
        </w:tc>
      </w:tr>
      <w:tr w:rsidR="00702564" w:rsidRPr="001263B7" w14:paraId="79225B5F" w14:textId="77777777" w:rsidTr="00632FCC">
        <w:tc>
          <w:tcPr>
            <w:tcW w:w="4531" w:type="dxa"/>
          </w:tcPr>
          <w:p w14:paraId="755090E3" w14:textId="77777777" w:rsidR="00702564" w:rsidRPr="00523789" w:rsidRDefault="00702564" w:rsidP="00632FCC">
            <w:pPr>
              <w:rPr>
                <w:b/>
                <w:bCs/>
                <w:sz w:val="24"/>
                <w:szCs w:val="28"/>
              </w:rPr>
            </w:pPr>
            <w:r w:rsidRPr="00523789">
              <w:rPr>
                <w:b/>
                <w:bCs/>
                <w:sz w:val="24"/>
                <w:szCs w:val="28"/>
              </w:rPr>
              <w:t>sterkuliagummi</w:t>
            </w:r>
          </w:p>
        </w:tc>
        <w:tc>
          <w:tcPr>
            <w:tcW w:w="4531" w:type="dxa"/>
          </w:tcPr>
          <w:p w14:paraId="2ED33EF0" w14:textId="77777777" w:rsidR="00702564" w:rsidRPr="001263B7" w:rsidRDefault="00702564" w:rsidP="00632FCC">
            <w:pPr>
              <w:rPr>
                <w:sz w:val="24"/>
                <w:szCs w:val="28"/>
              </w:rPr>
            </w:pPr>
            <w:r w:rsidRPr="001263B7">
              <w:rPr>
                <w:rFonts w:eastAsia="Garamond" w:cs="Garamond"/>
                <w:sz w:val="24"/>
                <w:szCs w:val="28"/>
              </w:rPr>
              <w:t>I</w:t>
            </w:r>
            <w:r w:rsidRPr="001263B7">
              <w:rPr>
                <w:rFonts w:eastAsia="Garamond" w:cs="Garamond"/>
                <w:spacing w:val="-1"/>
                <w:sz w:val="24"/>
                <w:szCs w:val="28"/>
              </w:rPr>
              <w:t>nol</w:t>
            </w:r>
            <w:r w:rsidRPr="001263B7">
              <w:rPr>
                <w:rFonts w:eastAsia="Garamond" w:cs="Garamond"/>
                <w:spacing w:val="-3"/>
                <w:sz w:val="24"/>
                <w:szCs w:val="28"/>
              </w:rPr>
              <w:t>a</w:t>
            </w:r>
            <w:r w:rsidRPr="001263B7">
              <w:rPr>
                <w:rFonts w:eastAsia="Garamond" w:cs="Garamond"/>
                <w:spacing w:val="-5"/>
                <w:sz w:val="24"/>
                <w:szCs w:val="28"/>
              </w:rPr>
              <w:t>x</w:t>
            </w:r>
            <w:r w:rsidRPr="001263B7">
              <w:rPr>
                <w:rFonts w:eastAsia="Garamond" w:cs="Garamond"/>
                <w:spacing w:val="-1"/>
                <w:sz w:val="24"/>
                <w:szCs w:val="28"/>
              </w:rPr>
              <w:t>o</w:t>
            </w:r>
            <w:r w:rsidRPr="001263B7">
              <w:rPr>
                <w:rFonts w:eastAsia="Garamond" w:cs="Garamond"/>
                <w:sz w:val="24"/>
                <w:szCs w:val="28"/>
              </w:rPr>
              <w:t>l</w:t>
            </w:r>
          </w:p>
        </w:tc>
      </w:tr>
      <w:tr w:rsidR="00702564" w:rsidRPr="001263B7" w14:paraId="55E5927F" w14:textId="77777777" w:rsidTr="00632FCC">
        <w:tc>
          <w:tcPr>
            <w:tcW w:w="4531" w:type="dxa"/>
          </w:tcPr>
          <w:p w14:paraId="361831B7" w14:textId="77777777" w:rsidR="00702564" w:rsidRPr="001263B7" w:rsidRDefault="00702564" w:rsidP="00632FCC">
            <w:pPr>
              <w:rPr>
                <w:sz w:val="24"/>
                <w:szCs w:val="28"/>
              </w:rPr>
            </w:pPr>
            <w:r w:rsidRPr="001263B7">
              <w:rPr>
                <w:b/>
                <w:bCs/>
                <w:iCs/>
                <w:sz w:val="24"/>
                <w:szCs w:val="28"/>
              </w:rPr>
              <w:t>loperamid</w:t>
            </w:r>
          </w:p>
        </w:tc>
        <w:tc>
          <w:tcPr>
            <w:tcW w:w="4531" w:type="dxa"/>
          </w:tcPr>
          <w:p w14:paraId="59380A07" w14:textId="77777777" w:rsidR="00702564" w:rsidRPr="001263B7" w:rsidRDefault="00702564" w:rsidP="00632FCC">
            <w:pPr>
              <w:rPr>
                <w:sz w:val="24"/>
                <w:szCs w:val="28"/>
              </w:rPr>
            </w:pPr>
            <w:r w:rsidRPr="001263B7">
              <w:rPr>
                <w:bCs/>
                <w:sz w:val="24"/>
                <w:szCs w:val="28"/>
              </w:rPr>
              <w:t>Loperamid</w:t>
            </w:r>
          </w:p>
        </w:tc>
      </w:tr>
    </w:tbl>
    <w:p w14:paraId="6331F7D0" w14:textId="77777777" w:rsidR="00702564" w:rsidRPr="00103D6A" w:rsidRDefault="00702564" w:rsidP="00702564"/>
    <w:p w14:paraId="0EFCD310" w14:textId="77777777" w:rsidR="00702564" w:rsidRPr="001263B7" w:rsidRDefault="00702564" w:rsidP="00702564">
      <w:pPr>
        <w:rPr>
          <w:sz w:val="24"/>
          <w:szCs w:val="24"/>
        </w:rPr>
      </w:pPr>
      <w:r w:rsidRPr="001263B7">
        <w:rPr>
          <w:sz w:val="24"/>
          <w:szCs w:val="24"/>
        </w:rPr>
        <w:t xml:space="preserve">IBS är i första hand en uteslutningsdiagnos och baseras på Rom IV-kriterierna. </w:t>
      </w:r>
    </w:p>
    <w:p w14:paraId="1439C0E4" w14:textId="77777777" w:rsidR="00702564" w:rsidRPr="001263B7" w:rsidRDefault="00702564" w:rsidP="00702564">
      <w:pPr>
        <w:autoSpaceDE w:val="0"/>
        <w:autoSpaceDN w:val="0"/>
        <w:adjustRightInd w:val="0"/>
        <w:rPr>
          <w:rFonts w:cs="TimesNewRomanPS-BoldMT"/>
          <w:b/>
          <w:bCs/>
          <w:sz w:val="24"/>
          <w:szCs w:val="24"/>
        </w:rPr>
      </w:pPr>
      <w:r w:rsidRPr="001263B7">
        <w:rPr>
          <w:rFonts w:cs="TimesNewRomanPSMT"/>
          <w:sz w:val="24"/>
          <w:szCs w:val="24"/>
        </w:rPr>
        <w:t xml:space="preserve">Återkommande episoder </w:t>
      </w:r>
      <w:r w:rsidRPr="00DB3871">
        <w:rPr>
          <w:rFonts w:cs="TimesNewRomanPSMT"/>
          <w:sz w:val="24"/>
          <w:szCs w:val="24"/>
        </w:rPr>
        <w:t xml:space="preserve">med </w:t>
      </w:r>
      <w:r w:rsidRPr="00DB3871">
        <w:rPr>
          <w:rFonts w:cs="TimesNewRomanPS-BoldMT"/>
          <w:sz w:val="24"/>
          <w:szCs w:val="24"/>
        </w:rPr>
        <w:t xml:space="preserve">buksmärta/bukobehag, </w:t>
      </w:r>
      <w:r w:rsidRPr="00DB3871">
        <w:rPr>
          <w:rFonts w:cs="TimesNewRomanPSMT"/>
          <w:sz w:val="24"/>
          <w:szCs w:val="24"/>
        </w:rPr>
        <w:t xml:space="preserve">minst 1 dag/vecka under de </w:t>
      </w:r>
      <w:r w:rsidRPr="00DB3871">
        <w:rPr>
          <w:rFonts w:cs="TimesNewRomanPSMT"/>
          <w:sz w:val="24"/>
          <w:szCs w:val="24"/>
        </w:rPr>
        <w:br/>
        <w:t>senaste 3 månaderna, symptom</w:t>
      </w:r>
      <w:r w:rsidRPr="00DB3871">
        <w:rPr>
          <w:rFonts w:cs="TimesNewRomanPS-BoldMT"/>
          <w:sz w:val="24"/>
          <w:szCs w:val="24"/>
        </w:rPr>
        <w:t xml:space="preserve">debut för minst 6 månader sedan </w:t>
      </w:r>
      <w:r w:rsidRPr="00DB3871">
        <w:rPr>
          <w:rFonts w:cs="TimesNewRomanPSMT"/>
          <w:sz w:val="24"/>
          <w:szCs w:val="24"/>
        </w:rPr>
        <w:t xml:space="preserve">och med </w:t>
      </w:r>
      <w:r w:rsidRPr="00DB3871">
        <w:rPr>
          <w:rFonts w:cs="TimesNewRomanPS-BoldMT"/>
          <w:sz w:val="24"/>
          <w:szCs w:val="24"/>
        </w:rPr>
        <w:t>minst 2 av följande:</w:t>
      </w:r>
      <w:r w:rsidRPr="00DB3871">
        <w:rPr>
          <w:rFonts w:cs="TimesNewRomanPS-BoldMT"/>
          <w:sz w:val="24"/>
          <w:szCs w:val="24"/>
        </w:rPr>
        <w:br/>
      </w:r>
    </w:p>
    <w:p w14:paraId="06A9A786" w14:textId="77777777" w:rsidR="00702564" w:rsidRPr="001263B7" w:rsidRDefault="00702564" w:rsidP="00702564">
      <w:pPr>
        <w:numPr>
          <w:ilvl w:val="0"/>
          <w:numId w:val="45"/>
        </w:numPr>
        <w:contextualSpacing/>
        <w:rPr>
          <w:sz w:val="24"/>
          <w:szCs w:val="24"/>
        </w:rPr>
      </w:pPr>
      <w:r w:rsidRPr="001263B7">
        <w:rPr>
          <w:sz w:val="24"/>
          <w:szCs w:val="24"/>
        </w:rPr>
        <w:t>Förändras vid tarmtömning</w:t>
      </w:r>
    </w:p>
    <w:p w14:paraId="358C781A" w14:textId="77777777" w:rsidR="00702564" w:rsidRPr="001263B7" w:rsidRDefault="00702564" w:rsidP="00702564">
      <w:pPr>
        <w:numPr>
          <w:ilvl w:val="0"/>
          <w:numId w:val="45"/>
        </w:numPr>
        <w:contextualSpacing/>
        <w:rPr>
          <w:sz w:val="24"/>
          <w:szCs w:val="24"/>
        </w:rPr>
      </w:pPr>
      <w:r w:rsidRPr="001263B7">
        <w:rPr>
          <w:sz w:val="24"/>
          <w:szCs w:val="24"/>
        </w:rPr>
        <w:t>Associeras med förändrad tarmtömningsfrekvens</w:t>
      </w:r>
    </w:p>
    <w:p w14:paraId="68E84EAA" w14:textId="77777777" w:rsidR="00702564" w:rsidRPr="001263B7" w:rsidRDefault="00702564" w:rsidP="00702564">
      <w:pPr>
        <w:numPr>
          <w:ilvl w:val="0"/>
          <w:numId w:val="45"/>
        </w:numPr>
        <w:contextualSpacing/>
        <w:rPr>
          <w:sz w:val="24"/>
          <w:szCs w:val="24"/>
        </w:rPr>
      </w:pPr>
      <w:r w:rsidRPr="001263B7">
        <w:rPr>
          <w:sz w:val="24"/>
          <w:szCs w:val="24"/>
        </w:rPr>
        <w:t xml:space="preserve">Associeras med förändrad avföringskonsistens </w:t>
      </w:r>
    </w:p>
    <w:p w14:paraId="331ECC11" w14:textId="77777777" w:rsidR="00702564" w:rsidRPr="001263B7" w:rsidRDefault="00702564" w:rsidP="00702564">
      <w:pPr>
        <w:autoSpaceDE w:val="0"/>
        <w:autoSpaceDN w:val="0"/>
        <w:adjustRightInd w:val="0"/>
        <w:rPr>
          <w:rFonts w:cs="TimesNewRomanPS-BoldMT"/>
          <w:b/>
          <w:bCs/>
          <w:sz w:val="24"/>
          <w:szCs w:val="24"/>
        </w:rPr>
      </w:pPr>
    </w:p>
    <w:p w14:paraId="3F8768C4" w14:textId="77777777" w:rsidR="00702564" w:rsidRPr="00681B5B" w:rsidRDefault="00702564" w:rsidP="00702564">
      <w:pPr>
        <w:rPr>
          <w:sz w:val="24"/>
          <w:szCs w:val="24"/>
        </w:rPr>
      </w:pPr>
      <w:r w:rsidRPr="00681B5B">
        <w:rPr>
          <w:sz w:val="24"/>
          <w:szCs w:val="24"/>
        </w:rPr>
        <w:t>Behandlingen inriktas på de symtom som dominerar</w:t>
      </w:r>
    </w:p>
    <w:p w14:paraId="48CAF0B5" w14:textId="77777777" w:rsidR="00702564" w:rsidRPr="00681B5B" w:rsidRDefault="00702564" w:rsidP="00702564">
      <w:pPr>
        <w:pStyle w:val="Liststycke"/>
        <w:numPr>
          <w:ilvl w:val="0"/>
          <w:numId w:val="101"/>
        </w:numPr>
        <w:rPr>
          <w:sz w:val="24"/>
          <w:szCs w:val="24"/>
        </w:rPr>
      </w:pPr>
      <w:r w:rsidRPr="00681B5B">
        <w:rPr>
          <w:sz w:val="24"/>
          <w:szCs w:val="24"/>
        </w:rPr>
        <w:t>IBS-D (övervägande lös avföring).</w:t>
      </w:r>
    </w:p>
    <w:p w14:paraId="2C8130DD" w14:textId="77777777" w:rsidR="00702564" w:rsidRPr="00681B5B" w:rsidRDefault="00702564" w:rsidP="00702564">
      <w:pPr>
        <w:pStyle w:val="Liststycke"/>
        <w:numPr>
          <w:ilvl w:val="0"/>
          <w:numId w:val="101"/>
        </w:numPr>
        <w:rPr>
          <w:sz w:val="24"/>
          <w:szCs w:val="24"/>
        </w:rPr>
      </w:pPr>
      <w:r w:rsidRPr="00681B5B">
        <w:rPr>
          <w:sz w:val="24"/>
          <w:szCs w:val="24"/>
        </w:rPr>
        <w:t>IBS-M (omväxlande lös och hård avföring).</w:t>
      </w:r>
    </w:p>
    <w:p w14:paraId="733C5158" w14:textId="77777777" w:rsidR="00702564" w:rsidRPr="00681B5B" w:rsidRDefault="00702564" w:rsidP="00702564">
      <w:pPr>
        <w:pStyle w:val="Liststycke"/>
        <w:numPr>
          <w:ilvl w:val="0"/>
          <w:numId w:val="101"/>
        </w:numPr>
        <w:rPr>
          <w:sz w:val="24"/>
          <w:szCs w:val="24"/>
        </w:rPr>
      </w:pPr>
      <w:r w:rsidRPr="00681B5B">
        <w:rPr>
          <w:sz w:val="24"/>
          <w:szCs w:val="24"/>
        </w:rPr>
        <w:t>IBS-C (övervägande hård avföring).I</w:t>
      </w:r>
    </w:p>
    <w:p w14:paraId="6C098C9C" w14:textId="77777777" w:rsidR="00702564" w:rsidRPr="00681B5B" w:rsidRDefault="00702564" w:rsidP="00702564">
      <w:pPr>
        <w:rPr>
          <w:sz w:val="24"/>
          <w:szCs w:val="24"/>
        </w:rPr>
      </w:pPr>
    </w:p>
    <w:p w14:paraId="45642F63" w14:textId="77777777" w:rsidR="00702564" w:rsidRDefault="00702564" w:rsidP="00702564">
      <w:pPr>
        <w:rPr>
          <w:sz w:val="24"/>
          <w:szCs w:val="24"/>
        </w:rPr>
      </w:pPr>
      <w:r w:rsidRPr="00681B5B">
        <w:rPr>
          <w:sz w:val="24"/>
          <w:szCs w:val="24"/>
        </w:rPr>
        <w:t>Livsstilsförändringar, framför allt kostanpassning, är den viktigaste och mest effektiva behandlingen (se nedan)</w:t>
      </w:r>
      <w:r>
        <w:rPr>
          <w:sz w:val="24"/>
          <w:szCs w:val="24"/>
        </w:rPr>
        <w:t xml:space="preserve">. </w:t>
      </w:r>
      <w:r w:rsidRPr="00681B5B">
        <w:rPr>
          <w:sz w:val="24"/>
          <w:szCs w:val="24"/>
        </w:rPr>
        <w:t>Läkemedelsbehandling kan användas som komplement</w:t>
      </w:r>
      <w:r>
        <w:rPr>
          <w:sz w:val="24"/>
          <w:szCs w:val="24"/>
        </w:rPr>
        <w:t>.</w:t>
      </w:r>
    </w:p>
    <w:p w14:paraId="5469E8CC" w14:textId="77777777" w:rsidR="00A40F5A" w:rsidRDefault="00A40F5A" w:rsidP="00A40F5A">
      <w:pPr>
        <w:tabs>
          <w:tab w:val="clear" w:pos="284"/>
        </w:tabs>
        <w:spacing w:after="120" w:line="260" w:lineRule="atLeast"/>
        <w:rPr>
          <w:sz w:val="24"/>
          <w:szCs w:val="24"/>
        </w:rPr>
      </w:pPr>
    </w:p>
    <w:p w14:paraId="141A244E" w14:textId="74BB66F6" w:rsidR="00702564" w:rsidRPr="00A40F5A" w:rsidRDefault="00702564" w:rsidP="00A40F5A">
      <w:pPr>
        <w:tabs>
          <w:tab w:val="clear" w:pos="284"/>
        </w:tabs>
        <w:spacing w:after="120" w:line="260" w:lineRule="atLeast"/>
        <w:rPr>
          <w:rFonts w:asciiTheme="majorHAnsi" w:hAnsiTheme="majorHAnsi"/>
          <w:b/>
          <w:bCs/>
          <w:sz w:val="24"/>
          <w:szCs w:val="24"/>
        </w:rPr>
      </w:pPr>
      <w:r w:rsidRPr="00A40F5A">
        <w:rPr>
          <w:rFonts w:asciiTheme="majorHAnsi" w:hAnsiTheme="majorHAnsi"/>
          <w:b/>
          <w:bCs/>
          <w:sz w:val="24"/>
          <w:szCs w:val="24"/>
        </w:rPr>
        <w:t>Livsstilsförändringar/Livsstilsåtgärder (enligt Skånelistan)</w:t>
      </w:r>
    </w:p>
    <w:p w14:paraId="49EF715E" w14:textId="77777777" w:rsidR="00702564" w:rsidRPr="00681B5B" w:rsidRDefault="00702564" w:rsidP="00702564">
      <w:pPr>
        <w:numPr>
          <w:ilvl w:val="0"/>
          <w:numId w:val="102"/>
        </w:numPr>
        <w:tabs>
          <w:tab w:val="clear" w:pos="284"/>
        </w:tabs>
        <w:spacing w:before="100" w:beforeAutospacing="1" w:after="100" w:afterAutospacing="1" w:line="240" w:lineRule="auto"/>
        <w:rPr>
          <w:sz w:val="24"/>
          <w:szCs w:val="24"/>
        </w:rPr>
      </w:pPr>
      <w:r w:rsidRPr="00681B5B">
        <w:rPr>
          <w:sz w:val="24"/>
          <w:szCs w:val="24"/>
        </w:rPr>
        <w:t>Regelbunden motion</w:t>
      </w:r>
    </w:p>
    <w:p w14:paraId="01DD035C" w14:textId="77777777" w:rsidR="00702564" w:rsidRPr="00681B5B" w:rsidRDefault="00702564" w:rsidP="00702564">
      <w:pPr>
        <w:numPr>
          <w:ilvl w:val="0"/>
          <w:numId w:val="102"/>
        </w:numPr>
        <w:tabs>
          <w:tab w:val="clear" w:pos="284"/>
        </w:tabs>
        <w:spacing w:before="100" w:beforeAutospacing="1" w:after="100" w:afterAutospacing="1" w:line="240" w:lineRule="auto"/>
        <w:rPr>
          <w:sz w:val="24"/>
          <w:szCs w:val="24"/>
        </w:rPr>
      </w:pPr>
      <w:r w:rsidRPr="00681B5B">
        <w:rPr>
          <w:sz w:val="24"/>
          <w:szCs w:val="24"/>
        </w:rPr>
        <w:t>Ät regelbundet, små portioner</w:t>
      </w:r>
    </w:p>
    <w:p w14:paraId="16D69C98" w14:textId="77777777" w:rsidR="00702564" w:rsidRPr="00681B5B" w:rsidRDefault="00702564" w:rsidP="00702564">
      <w:pPr>
        <w:numPr>
          <w:ilvl w:val="0"/>
          <w:numId w:val="102"/>
        </w:numPr>
        <w:tabs>
          <w:tab w:val="clear" w:pos="284"/>
        </w:tabs>
        <w:spacing w:before="100" w:beforeAutospacing="1" w:after="100" w:afterAutospacing="1" w:line="240" w:lineRule="auto"/>
        <w:rPr>
          <w:sz w:val="24"/>
          <w:szCs w:val="24"/>
        </w:rPr>
      </w:pPr>
      <w:r w:rsidRPr="00681B5B">
        <w:rPr>
          <w:sz w:val="24"/>
          <w:szCs w:val="24"/>
        </w:rPr>
        <w:t>Remiss till dietist vid behov</w:t>
      </w:r>
    </w:p>
    <w:p w14:paraId="4242213A" w14:textId="77777777" w:rsidR="00702564" w:rsidRPr="00681B5B" w:rsidRDefault="00702564" w:rsidP="00702564">
      <w:pPr>
        <w:numPr>
          <w:ilvl w:val="0"/>
          <w:numId w:val="102"/>
        </w:numPr>
        <w:tabs>
          <w:tab w:val="clear" w:pos="284"/>
        </w:tabs>
        <w:spacing w:before="100" w:beforeAutospacing="1" w:after="100" w:afterAutospacing="1" w:line="240" w:lineRule="auto"/>
        <w:rPr>
          <w:sz w:val="24"/>
          <w:szCs w:val="24"/>
        </w:rPr>
      </w:pPr>
      <w:r w:rsidRPr="00681B5B">
        <w:rPr>
          <w:sz w:val="24"/>
          <w:szCs w:val="24"/>
        </w:rPr>
        <w:t xml:space="preserve">Anpassa fiberintaget, både för högt och för lågt intag kan ge symtom. </w:t>
      </w:r>
      <w:r w:rsidRPr="00681B5B">
        <w:rPr>
          <w:sz w:val="24"/>
          <w:szCs w:val="24"/>
        </w:rPr>
        <w:br/>
        <w:t xml:space="preserve">Om lågt fiberintag öka framför allt mängden lösliga fibrer </w:t>
      </w:r>
      <w:r>
        <w:rPr>
          <w:sz w:val="24"/>
          <w:szCs w:val="24"/>
        </w:rPr>
        <w:br/>
      </w:r>
      <w:r w:rsidRPr="00681B5B">
        <w:rPr>
          <w:sz w:val="24"/>
          <w:szCs w:val="24"/>
        </w:rPr>
        <w:t>(lösliga fibrer; havregryn, chiafrön, psyllium, frukt, grönsaker)</w:t>
      </w:r>
    </w:p>
    <w:p w14:paraId="7E018CC7" w14:textId="77777777" w:rsidR="00702564" w:rsidRPr="00681B5B" w:rsidRDefault="00702564" w:rsidP="00702564">
      <w:pPr>
        <w:numPr>
          <w:ilvl w:val="0"/>
          <w:numId w:val="102"/>
        </w:numPr>
        <w:tabs>
          <w:tab w:val="clear" w:pos="284"/>
        </w:tabs>
        <w:spacing w:before="100" w:beforeAutospacing="1" w:after="100" w:afterAutospacing="1" w:line="240" w:lineRule="auto"/>
        <w:rPr>
          <w:sz w:val="24"/>
          <w:szCs w:val="24"/>
        </w:rPr>
      </w:pPr>
      <w:r w:rsidRPr="00681B5B">
        <w:rPr>
          <w:sz w:val="24"/>
          <w:szCs w:val="24"/>
        </w:rPr>
        <w:t>Ät mindre gasbildande föda såsom lök, kål och livsmedel som innehåller sorbitol och xylitol. Low-FODMAP-diet kan provas men med stöd av dietist. Det är mycket individuellt vad man tål.</w:t>
      </w:r>
    </w:p>
    <w:p w14:paraId="1C829EEA" w14:textId="77777777" w:rsidR="00702564" w:rsidRPr="00681B5B" w:rsidRDefault="00702564" w:rsidP="00702564">
      <w:pPr>
        <w:numPr>
          <w:ilvl w:val="0"/>
          <w:numId w:val="102"/>
        </w:numPr>
        <w:tabs>
          <w:tab w:val="clear" w:pos="284"/>
        </w:tabs>
        <w:spacing w:before="100" w:beforeAutospacing="1" w:after="100" w:afterAutospacing="1" w:line="240" w:lineRule="auto"/>
        <w:rPr>
          <w:sz w:val="24"/>
          <w:szCs w:val="24"/>
        </w:rPr>
      </w:pPr>
      <w:r w:rsidRPr="00681B5B">
        <w:rPr>
          <w:sz w:val="24"/>
          <w:szCs w:val="24"/>
        </w:rPr>
        <w:t>Probiotika kan provas</w:t>
      </w:r>
    </w:p>
    <w:p w14:paraId="5A172AC8" w14:textId="77777777" w:rsidR="00702564" w:rsidRPr="00681B5B" w:rsidRDefault="00702564" w:rsidP="00702564">
      <w:pPr>
        <w:numPr>
          <w:ilvl w:val="0"/>
          <w:numId w:val="102"/>
        </w:numPr>
        <w:tabs>
          <w:tab w:val="clear" w:pos="284"/>
        </w:tabs>
        <w:spacing w:before="100" w:beforeAutospacing="1" w:after="100" w:afterAutospacing="1" w:line="240" w:lineRule="auto"/>
        <w:rPr>
          <w:sz w:val="24"/>
          <w:szCs w:val="24"/>
        </w:rPr>
      </w:pPr>
      <w:r w:rsidRPr="00681B5B">
        <w:rPr>
          <w:sz w:val="24"/>
          <w:szCs w:val="24"/>
        </w:rPr>
        <w:t>Vid förstoppning – är vätskeintaget tillräckligt?</w:t>
      </w:r>
    </w:p>
    <w:p w14:paraId="45D12834" w14:textId="77777777" w:rsidR="00702564" w:rsidRDefault="00702564" w:rsidP="00702564">
      <w:pPr>
        <w:numPr>
          <w:ilvl w:val="0"/>
          <w:numId w:val="102"/>
        </w:numPr>
        <w:tabs>
          <w:tab w:val="clear" w:pos="284"/>
        </w:tabs>
        <w:spacing w:before="100" w:beforeAutospacing="1" w:after="100" w:afterAutospacing="1" w:line="240" w:lineRule="auto"/>
        <w:rPr>
          <w:sz w:val="24"/>
          <w:szCs w:val="24"/>
        </w:rPr>
      </w:pPr>
      <w:r w:rsidRPr="00681B5B">
        <w:rPr>
          <w:sz w:val="24"/>
          <w:szCs w:val="24"/>
        </w:rPr>
        <w:t xml:space="preserve">Psykologiska behandlingsmetoder vid uttalade besvär. Avslappningsövningar, yoga, </w:t>
      </w:r>
      <w:r>
        <w:rPr>
          <w:sz w:val="24"/>
          <w:szCs w:val="24"/>
        </w:rPr>
        <w:br/>
      </w:r>
      <w:r w:rsidRPr="00681B5B">
        <w:rPr>
          <w:sz w:val="24"/>
          <w:szCs w:val="24"/>
        </w:rPr>
        <w:t>KBT (även via nätet), patientskolor på nätet, hypnos.</w:t>
      </w:r>
    </w:p>
    <w:p w14:paraId="04001BCD" w14:textId="77777777" w:rsidR="00702564" w:rsidRDefault="00702564" w:rsidP="00702564">
      <w:pPr>
        <w:pStyle w:val="Rubrik3"/>
      </w:pPr>
      <w:r>
        <w:t>Läkemedelsbehandling</w:t>
      </w:r>
    </w:p>
    <w:p w14:paraId="133730D6" w14:textId="77777777" w:rsidR="00702564" w:rsidRDefault="00702564" w:rsidP="00702564">
      <w:pPr>
        <w:pStyle w:val="Normal10"/>
        <w:spacing w:before="0" w:beforeAutospacing="0" w:after="240" w:afterAutospacing="0"/>
        <w:rPr>
          <w:rFonts w:ascii="Garamond" w:eastAsiaTheme="minorHAnsi" w:hAnsi="Garamond" w:cstheme="minorBidi"/>
          <w:lang w:eastAsia="en-US"/>
        </w:rPr>
      </w:pPr>
      <w:r w:rsidRPr="00681B5B">
        <w:rPr>
          <w:rFonts w:ascii="Garamond" w:eastAsiaTheme="minorHAnsi" w:hAnsi="Garamond" w:cstheme="minorBidi"/>
          <w:lang w:eastAsia="en-US"/>
        </w:rPr>
        <w:t>Hos de patienter som har svåra symptom eller önskar prova behandling väljs denna utifrån dominant symptom. Man bör begränsa antalet farmakologiska behandlingsinsatser till en åt gången och med bestämt avstämningsintervall. Tydlig behandlingseffekt bör eftersträvas vid fortsatt läkemedelsbehandling</w:t>
      </w:r>
    </w:p>
    <w:p w14:paraId="00FB1ABE" w14:textId="77777777" w:rsidR="00E87E0C" w:rsidRDefault="00E87E0C" w:rsidP="00702564">
      <w:pPr>
        <w:pStyle w:val="Rubrik3"/>
        <w:rPr>
          <w:lang w:eastAsia="sv-SE"/>
        </w:rPr>
      </w:pPr>
    </w:p>
    <w:p w14:paraId="47593F68" w14:textId="7364E6E7" w:rsidR="00702564" w:rsidRPr="006D0B96" w:rsidRDefault="00702564" w:rsidP="00702564">
      <w:pPr>
        <w:pStyle w:val="Rubrik3"/>
        <w:rPr>
          <w:lang w:eastAsia="sv-SE"/>
        </w:rPr>
      </w:pPr>
      <w:r w:rsidRPr="006D0B96">
        <w:rPr>
          <w:lang w:eastAsia="sv-SE"/>
        </w:rPr>
        <w:t>Läkemedel vid diarré</w:t>
      </w:r>
    </w:p>
    <w:p w14:paraId="45E2656D" w14:textId="77777777" w:rsidR="00702564" w:rsidRPr="008C5236" w:rsidRDefault="00702564" w:rsidP="00702564">
      <w:pPr>
        <w:pStyle w:val="Liststycke"/>
        <w:numPr>
          <w:ilvl w:val="0"/>
          <w:numId w:val="103"/>
        </w:numPr>
        <w:rPr>
          <w:sz w:val="24"/>
          <w:szCs w:val="24"/>
        </w:rPr>
      </w:pPr>
      <w:r w:rsidRPr="008C5236">
        <w:rPr>
          <w:sz w:val="24"/>
          <w:szCs w:val="24"/>
        </w:rPr>
        <w:t>Inolaxol (karayagummi) – kan ha tarmstabiliserande effekt. Bör tas kontinuerligt.</w:t>
      </w:r>
    </w:p>
    <w:p w14:paraId="1959EEFA" w14:textId="77777777" w:rsidR="00702564" w:rsidRPr="008C5236" w:rsidRDefault="00702564" w:rsidP="00702564">
      <w:pPr>
        <w:pStyle w:val="Liststycke"/>
        <w:numPr>
          <w:ilvl w:val="0"/>
          <w:numId w:val="103"/>
        </w:numPr>
        <w:rPr>
          <w:sz w:val="24"/>
          <w:szCs w:val="24"/>
        </w:rPr>
      </w:pPr>
      <w:r w:rsidRPr="008C5236">
        <w:rPr>
          <w:sz w:val="24"/>
          <w:szCs w:val="24"/>
        </w:rPr>
        <w:t>Loperamid – ofta räcker låg dos (2 mg) vid behov, kan dock även ges kontinuerligt.</w:t>
      </w:r>
    </w:p>
    <w:p w14:paraId="2A31A146" w14:textId="77777777" w:rsidR="00702564" w:rsidRPr="008C5236" w:rsidRDefault="00702564" w:rsidP="00702564">
      <w:pPr>
        <w:pStyle w:val="Liststycke"/>
        <w:numPr>
          <w:ilvl w:val="0"/>
          <w:numId w:val="103"/>
        </w:numPr>
        <w:rPr>
          <w:sz w:val="24"/>
          <w:szCs w:val="24"/>
        </w:rPr>
      </w:pPr>
      <w:r w:rsidRPr="008C5236">
        <w:rPr>
          <w:sz w:val="24"/>
          <w:szCs w:val="24"/>
        </w:rPr>
        <w:t>Questran (kolestyramin) – används framför allt vid gallsyrainducerad diarré men kan även prövas mot diarré vid IBS. Initialt ½ dospåse x 2, ökas sedan till önskad effekt.</w:t>
      </w:r>
    </w:p>
    <w:p w14:paraId="4D04B399" w14:textId="77777777" w:rsidR="00702564" w:rsidRPr="006D0B96" w:rsidRDefault="00702564" w:rsidP="00702564">
      <w:pPr>
        <w:pStyle w:val="Rubrik3"/>
        <w:rPr>
          <w:lang w:eastAsia="sv-SE"/>
        </w:rPr>
      </w:pPr>
      <w:r w:rsidRPr="006D0B96">
        <w:rPr>
          <w:lang w:eastAsia="sv-SE"/>
        </w:rPr>
        <w:t>Läkemedel när besvären växlar</w:t>
      </w:r>
    </w:p>
    <w:p w14:paraId="486AE520" w14:textId="77777777" w:rsidR="00702564" w:rsidRPr="008C5236" w:rsidRDefault="00702564" w:rsidP="00702564">
      <w:pPr>
        <w:rPr>
          <w:sz w:val="24"/>
          <w:szCs w:val="24"/>
          <w:lang w:eastAsia="sv-SE"/>
        </w:rPr>
      </w:pPr>
      <w:r w:rsidRPr="008C5236">
        <w:rPr>
          <w:sz w:val="24"/>
          <w:szCs w:val="24"/>
          <w:lang w:eastAsia="sv-SE"/>
        </w:rPr>
        <w:t>Inolaxol (karayagummi) kan ha tarmstabiliserande effekt. I övrigt kan läkemedel mot de symtom som för tillfället dominerar användas.</w:t>
      </w:r>
    </w:p>
    <w:p w14:paraId="47E4CFB8" w14:textId="77777777" w:rsidR="00702564" w:rsidRPr="003D08BF" w:rsidRDefault="00702564" w:rsidP="00702564">
      <w:pPr>
        <w:pStyle w:val="Rubrik3"/>
        <w:rPr>
          <w:lang w:eastAsia="sv-SE"/>
        </w:rPr>
      </w:pPr>
      <w:r w:rsidRPr="003D08BF">
        <w:rPr>
          <w:lang w:eastAsia="sv-SE"/>
        </w:rPr>
        <w:t>Läkemedel vid förstoppning</w:t>
      </w:r>
    </w:p>
    <w:p w14:paraId="3001B08B" w14:textId="77777777" w:rsidR="00702564" w:rsidRPr="00681B5B" w:rsidRDefault="00702564" w:rsidP="00702564">
      <w:pPr>
        <w:rPr>
          <w:b/>
          <w:bCs/>
          <w:lang w:eastAsia="sv-SE"/>
        </w:rPr>
      </w:pPr>
      <w:r w:rsidRPr="00681B5B">
        <w:rPr>
          <w:b/>
          <w:bCs/>
          <w:lang w:eastAsia="sv-SE"/>
        </w:rPr>
        <w:t>Bulkmedel:</w:t>
      </w:r>
    </w:p>
    <w:p w14:paraId="4BDE9126" w14:textId="77777777" w:rsidR="00702564" w:rsidRPr="008C5236" w:rsidRDefault="00702564" w:rsidP="00702564">
      <w:pPr>
        <w:pStyle w:val="Liststycke"/>
        <w:numPr>
          <w:ilvl w:val="0"/>
          <w:numId w:val="104"/>
        </w:numPr>
        <w:rPr>
          <w:sz w:val="24"/>
          <w:szCs w:val="24"/>
          <w:lang w:eastAsia="sv-SE"/>
        </w:rPr>
      </w:pPr>
      <w:r w:rsidRPr="008C5236">
        <w:rPr>
          <w:sz w:val="24"/>
          <w:szCs w:val="24"/>
          <w:lang w:eastAsia="sv-SE"/>
        </w:rPr>
        <w:t>Kombineras med rikligt vätskeintag. Mindre bra till äldre som dricker lite.</w:t>
      </w:r>
    </w:p>
    <w:p w14:paraId="347331AD" w14:textId="77777777" w:rsidR="00702564" w:rsidRPr="008C5236" w:rsidRDefault="00702564" w:rsidP="00702564">
      <w:pPr>
        <w:pStyle w:val="Liststycke"/>
        <w:numPr>
          <w:ilvl w:val="0"/>
          <w:numId w:val="104"/>
        </w:numPr>
        <w:rPr>
          <w:sz w:val="24"/>
          <w:szCs w:val="24"/>
          <w:lang w:eastAsia="sv-SE"/>
        </w:rPr>
      </w:pPr>
      <w:r w:rsidRPr="008C5236">
        <w:rPr>
          <w:sz w:val="24"/>
          <w:szCs w:val="24"/>
          <w:lang w:eastAsia="sv-SE"/>
        </w:rPr>
        <w:t>Inolaxol (karayagummi) – passar de flesta patienter med förstoppning inklusive de med IBS.</w:t>
      </w:r>
    </w:p>
    <w:p w14:paraId="01A45F99" w14:textId="27095059" w:rsidR="00702564" w:rsidRPr="00E87E0C" w:rsidRDefault="00702564" w:rsidP="00E87E0C">
      <w:pPr>
        <w:pStyle w:val="Liststycke"/>
        <w:numPr>
          <w:ilvl w:val="0"/>
          <w:numId w:val="104"/>
        </w:numPr>
        <w:rPr>
          <w:sz w:val="24"/>
          <w:szCs w:val="24"/>
          <w:lang w:eastAsia="sv-SE"/>
        </w:rPr>
      </w:pPr>
      <w:r w:rsidRPr="008C5236">
        <w:rPr>
          <w:sz w:val="24"/>
          <w:szCs w:val="24"/>
          <w:lang w:eastAsia="sv-SE"/>
        </w:rPr>
        <w:t>Vi-Siblin (ispaghulaskal) – mindre bra till IBS-patienter med förstoppning p g a gasbildning, men en del patienter svarar bra.</w:t>
      </w:r>
    </w:p>
    <w:p w14:paraId="19F41BF8" w14:textId="77777777" w:rsidR="00702564" w:rsidRPr="00042805" w:rsidRDefault="00702564" w:rsidP="00702564">
      <w:pPr>
        <w:rPr>
          <w:b/>
          <w:bCs/>
          <w:lang w:eastAsia="sv-SE"/>
        </w:rPr>
      </w:pPr>
      <w:r w:rsidRPr="00042805">
        <w:rPr>
          <w:b/>
          <w:bCs/>
          <w:lang w:eastAsia="sv-SE"/>
        </w:rPr>
        <w:t>Osmotiska preparat:</w:t>
      </w:r>
    </w:p>
    <w:p w14:paraId="44E1B317" w14:textId="77777777" w:rsidR="00702564" w:rsidRPr="008C5236" w:rsidRDefault="00702564" w:rsidP="00702564">
      <w:pPr>
        <w:pStyle w:val="Liststycke"/>
        <w:numPr>
          <w:ilvl w:val="0"/>
          <w:numId w:val="106"/>
        </w:numPr>
        <w:rPr>
          <w:sz w:val="24"/>
          <w:szCs w:val="24"/>
          <w:lang w:eastAsia="sv-SE"/>
        </w:rPr>
      </w:pPr>
      <w:r w:rsidRPr="008C5236">
        <w:rPr>
          <w:sz w:val="24"/>
          <w:szCs w:val="24"/>
          <w:lang w:eastAsia="sv-SE"/>
        </w:rPr>
        <w:t>Makrogol med elektrolyter (Moxalole m fl) – lätt att inta. Ger viss gasbildning men mindre än laktulos. Makrogol är bättre än laktulos vid IBS. Bra alternativ till äldre med otillräckligt vätskeintag.</w:t>
      </w:r>
    </w:p>
    <w:p w14:paraId="21A04EF7" w14:textId="77777777" w:rsidR="00702564" w:rsidRPr="008C5236" w:rsidRDefault="00702564" w:rsidP="00702564">
      <w:pPr>
        <w:pStyle w:val="Liststycke"/>
        <w:numPr>
          <w:ilvl w:val="0"/>
          <w:numId w:val="106"/>
        </w:numPr>
        <w:rPr>
          <w:sz w:val="24"/>
          <w:szCs w:val="24"/>
          <w:lang w:eastAsia="sv-SE"/>
        </w:rPr>
      </w:pPr>
      <w:r w:rsidRPr="008C5236">
        <w:rPr>
          <w:sz w:val="24"/>
          <w:szCs w:val="24"/>
          <w:lang w:eastAsia="sv-SE"/>
        </w:rPr>
        <w:t>Laktulos – lätt att inta p g a relativt små volymer. Väl beprövat och med god effekt. Dosen är lätt att anpassa efter behov. Orsakar dock mer gasbildning än andra preparat.</w:t>
      </w:r>
    </w:p>
    <w:p w14:paraId="1E020E2F" w14:textId="77777777" w:rsidR="00702564" w:rsidRPr="00042805" w:rsidRDefault="00702564" w:rsidP="00702564">
      <w:pPr>
        <w:rPr>
          <w:b/>
          <w:bCs/>
          <w:lang w:eastAsia="sv-SE"/>
        </w:rPr>
      </w:pPr>
      <w:r w:rsidRPr="00042805">
        <w:rPr>
          <w:b/>
          <w:bCs/>
          <w:lang w:eastAsia="sv-SE"/>
        </w:rPr>
        <w:t>Motorikstimulerare:</w:t>
      </w:r>
    </w:p>
    <w:p w14:paraId="4FE6DA3E" w14:textId="77777777" w:rsidR="00702564" w:rsidRPr="008C5236" w:rsidRDefault="00702564" w:rsidP="00702564">
      <w:pPr>
        <w:pStyle w:val="Liststycke"/>
        <w:numPr>
          <w:ilvl w:val="0"/>
          <w:numId w:val="107"/>
        </w:numPr>
        <w:rPr>
          <w:sz w:val="24"/>
          <w:szCs w:val="24"/>
          <w:lang w:eastAsia="sv-SE"/>
        </w:rPr>
      </w:pPr>
      <w:r w:rsidRPr="008C5236">
        <w:rPr>
          <w:sz w:val="24"/>
          <w:szCs w:val="24"/>
          <w:lang w:eastAsia="sv-SE"/>
        </w:rPr>
        <w:t>Natriumpikosulfat (Cilaxoral/Laxoberal) – bra vid tillfällig förstoppning eller som tillägg till annan behandling. Kan användas kontinuerligt. Mycket små volymer intas. Bra till äldre-äldre och funktionsnedsatta patienter</w:t>
      </w:r>
    </w:p>
    <w:p w14:paraId="664F6D10" w14:textId="77777777" w:rsidR="00702564" w:rsidRPr="008D49AC" w:rsidRDefault="00702564" w:rsidP="00702564">
      <w:pPr>
        <w:pStyle w:val="Rubrik3"/>
        <w:rPr>
          <w:lang w:eastAsia="sv-SE"/>
        </w:rPr>
      </w:pPr>
      <w:r w:rsidRPr="008D49AC">
        <w:rPr>
          <w:lang w:eastAsia="sv-SE"/>
        </w:rPr>
        <w:t>Läkemedel vid smärta</w:t>
      </w:r>
    </w:p>
    <w:p w14:paraId="1017F846" w14:textId="77777777" w:rsidR="00702564" w:rsidRPr="008C5236" w:rsidRDefault="00702564" w:rsidP="00702564">
      <w:pPr>
        <w:rPr>
          <w:sz w:val="24"/>
          <w:szCs w:val="24"/>
          <w:lang w:eastAsia="sv-SE"/>
        </w:rPr>
      </w:pPr>
      <w:r w:rsidRPr="008C5236">
        <w:rPr>
          <w:sz w:val="24"/>
          <w:szCs w:val="24"/>
          <w:lang w:eastAsia="sv-SE"/>
        </w:rPr>
        <w:t>Läkemedel och växtbaserade läkemedel kan ibland fungera. IBS-patienter är ofta biverkningskänsliga. Börja med låg dos och trappa upp försiktigt.</w:t>
      </w:r>
      <w:r>
        <w:rPr>
          <w:sz w:val="24"/>
          <w:szCs w:val="24"/>
          <w:lang w:eastAsia="sv-SE"/>
        </w:rPr>
        <w:br/>
      </w:r>
    </w:p>
    <w:p w14:paraId="029C59C5" w14:textId="77777777" w:rsidR="00702564" w:rsidRPr="008C5236" w:rsidRDefault="00702564" w:rsidP="00702564">
      <w:pPr>
        <w:pStyle w:val="Liststycke"/>
        <w:numPr>
          <w:ilvl w:val="0"/>
          <w:numId w:val="105"/>
        </w:numPr>
        <w:rPr>
          <w:rFonts w:asciiTheme="minorHAnsi" w:hAnsiTheme="minorHAnsi"/>
          <w:sz w:val="24"/>
          <w:szCs w:val="24"/>
          <w:lang w:eastAsia="sv-SE"/>
        </w:rPr>
      </w:pPr>
      <w:r w:rsidRPr="008C5236">
        <w:rPr>
          <w:rFonts w:asciiTheme="minorHAnsi" w:hAnsiTheme="minorHAnsi"/>
          <w:sz w:val="24"/>
          <w:szCs w:val="24"/>
          <w:lang w:eastAsia="sv-SE"/>
        </w:rPr>
        <w:t xml:space="preserve">TCA (tricykliska antidepressiva) – vid samtidig diarréproblematik kan TCA provas, </w:t>
      </w:r>
      <w:r>
        <w:rPr>
          <w:rFonts w:asciiTheme="minorHAnsi" w:hAnsiTheme="minorHAnsi"/>
          <w:sz w:val="24"/>
          <w:szCs w:val="24"/>
          <w:lang w:eastAsia="sv-SE"/>
        </w:rPr>
        <w:br/>
      </w:r>
      <w:r w:rsidRPr="008C5236">
        <w:rPr>
          <w:rFonts w:asciiTheme="minorHAnsi" w:hAnsiTheme="minorHAnsi"/>
          <w:sz w:val="24"/>
          <w:szCs w:val="24"/>
          <w:lang w:eastAsia="sv-SE"/>
        </w:rPr>
        <w:t>t ex amitriptylin (Saroten). Börja med 10 mg till natten och öka upp med 10 mg varannan vecka. Måldosen ligger ofta mellan 20–50 mg till natten.</w:t>
      </w:r>
    </w:p>
    <w:p w14:paraId="432C80DB" w14:textId="77777777" w:rsidR="00702564" w:rsidRPr="008C5236" w:rsidRDefault="00702564" w:rsidP="00702564">
      <w:pPr>
        <w:pStyle w:val="Liststycke"/>
        <w:numPr>
          <w:ilvl w:val="0"/>
          <w:numId w:val="105"/>
        </w:numPr>
        <w:rPr>
          <w:rFonts w:asciiTheme="minorHAnsi" w:hAnsiTheme="minorHAnsi"/>
          <w:sz w:val="24"/>
          <w:szCs w:val="24"/>
          <w:lang w:eastAsia="sv-SE"/>
        </w:rPr>
      </w:pPr>
      <w:r w:rsidRPr="008C5236">
        <w:rPr>
          <w:rFonts w:asciiTheme="minorHAnsi" w:hAnsiTheme="minorHAnsi"/>
          <w:sz w:val="24"/>
          <w:szCs w:val="24"/>
          <w:lang w:eastAsia="sv-SE"/>
        </w:rPr>
        <w:t xml:space="preserve">SSRI – vid samtidig förstoppningsproblematik kan SSRI-preparat provas. </w:t>
      </w:r>
      <w:r>
        <w:rPr>
          <w:rFonts w:asciiTheme="minorHAnsi" w:hAnsiTheme="minorHAnsi"/>
          <w:sz w:val="24"/>
          <w:szCs w:val="24"/>
          <w:lang w:eastAsia="sv-SE"/>
        </w:rPr>
        <w:br/>
      </w:r>
      <w:r w:rsidRPr="008C5236">
        <w:rPr>
          <w:rFonts w:asciiTheme="minorHAnsi" w:hAnsiTheme="minorHAnsi"/>
          <w:sz w:val="24"/>
          <w:szCs w:val="24"/>
          <w:lang w:eastAsia="sv-SE"/>
        </w:rPr>
        <w:t>Välj ett preparat du är förtrogen. Börja med lägsta dos och öka sedan försiktigt dosen.</w:t>
      </w:r>
    </w:p>
    <w:p w14:paraId="1D58246F" w14:textId="77777777" w:rsidR="00702564" w:rsidRPr="008C5236" w:rsidRDefault="00702564" w:rsidP="00702564">
      <w:pPr>
        <w:pStyle w:val="Liststycke"/>
        <w:numPr>
          <w:ilvl w:val="0"/>
          <w:numId w:val="105"/>
        </w:numPr>
        <w:rPr>
          <w:rFonts w:asciiTheme="minorHAnsi" w:hAnsiTheme="minorHAnsi"/>
          <w:sz w:val="24"/>
          <w:szCs w:val="24"/>
          <w:lang w:eastAsia="sv-SE"/>
        </w:rPr>
      </w:pPr>
      <w:r w:rsidRPr="008C5236">
        <w:rPr>
          <w:rFonts w:asciiTheme="minorHAnsi" w:hAnsiTheme="minorHAnsi"/>
          <w:sz w:val="24"/>
          <w:szCs w:val="24"/>
          <w:lang w:eastAsia="sv-SE"/>
        </w:rPr>
        <w:t>Dimetikon – kan prövas vid gasbesvär, effekten är dock ofta begränsad.</w:t>
      </w:r>
    </w:p>
    <w:p w14:paraId="597A7CC1" w14:textId="77777777" w:rsidR="00702564" w:rsidRPr="008C5236" w:rsidRDefault="00702564" w:rsidP="00702564">
      <w:pPr>
        <w:pStyle w:val="Liststycke"/>
        <w:numPr>
          <w:ilvl w:val="0"/>
          <w:numId w:val="105"/>
        </w:numPr>
        <w:rPr>
          <w:rFonts w:asciiTheme="minorHAnsi" w:hAnsiTheme="minorHAnsi"/>
          <w:sz w:val="24"/>
          <w:szCs w:val="24"/>
          <w:lang w:eastAsia="sv-SE"/>
        </w:rPr>
      </w:pPr>
      <w:r w:rsidRPr="008C5236">
        <w:rPr>
          <w:rFonts w:asciiTheme="minorHAnsi" w:hAnsiTheme="minorHAnsi"/>
          <w:sz w:val="24"/>
          <w:szCs w:val="24"/>
          <w:lang w:eastAsia="sv-SE"/>
        </w:rPr>
        <w:t>Colpermin (pepparmyntsolja) – tycks ha viss effekt mot buksmärta</w:t>
      </w:r>
      <w:r>
        <w:rPr>
          <w:rFonts w:asciiTheme="minorHAnsi" w:hAnsiTheme="minorHAnsi"/>
          <w:sz w:val="24"/>
          <w:szCs w:val="24"/>
          <w:lang w:eastAsia="sv-SE"/>
        </w:rPr>
        <w:t>. P</w:t>
      </w:r>
      <w:r w:rsidRPr="008C5236">
        <w:rPr>
          <w:rFonts w:asciiTheme="minorHAnsi" w:hAnsiTheme="minorHAnsi"/>
          <w:sz w:val="24"/>
          <w:szCs w:val="24"/>
          <w:lang w:eastAsia="sv-SE"/>
        </w:rPr>
        <w:t>a</w:t>
      </w:r>
      <w:r>
        <w:rPr>
          <w:rFonts w:asciiTheme="minorHAnsi" w:hAnsiTheme="minorHAnsi"/>
          <w:sz w:val="24"/>
          <w:szCs w:val="24"/>
          <w:lang w:eastAsia="sv-SE"/>
        </w:rPr>
        <w:t>pa</w:t>
      </w:r>
      <w:r w:rsidRPr="008C5236">
        <w:rPr>
          <w:rFonts w:asciiTheme="minorHAnsi" w:hAnsiTheme="minorHAnsi"/>
          <w:sz w:val="24"/>
          <w:szCs w:val="24"/>
          <w:lang w:eastAsia="sv-SE"/>
        </w:rPr>
        <w:t>verin</w:t>
      </w:r>
      <w:r>
        <w:rPr>
          <w:rFonts w:asciiTheme="minorHAnsi" w:hAnsiTheme="minorHAnsi"/>
          <w:sz w:val="24"/>
          <w:szCs w:val="24"/>
          <w:lang w:eastAsia="sv-SE"/>
        </w:rPr>
        <w:t xml:space="preserve"> APL kan användas som andrahandsalternativ.</w:t>
      </w:r>
    </w:p>
    <w:p w14:paraId="4B10EE6D" w14:textId="77777777" w:rsidR="00702564" w:rsidRPr="008C5236" w:rsidRDefault="00702564" w:rsidP="00702564">
      <w:pPr>
        <w:pStyle w:val="Liststycke"/>
        <w:numPr>
          <w:ilvl w:val="0"/>
          <w:numId w:val="105"/>
        </w:numPr>
        <w:rPr>
          <w:rFonts w:asciiTheme="minorHAnsi" w:hAnsiTheme="minorHAnsi"/>
          <w:sz w:val="24"/>
          <w:szCs w:val="24"/>
          <w:lang w:eastAsia="sv-SE"/>
        </w:rPr>
      </w:pPr>
      <w:r w:rsidRPr="008C5236">
        <w:rPr>
          <w:rFonts w:asciiTheme="minorHAnsi" w:hAnsiTheme="minorHAnsi"/>
          <w:sz w:val="24"/>
          <w:szCs w:val="24"/>
          <w:lang w:eastAsia="sv-SE"/>
        </w:rPr>
        <w:t>Iberogast – kan lindra smärta, uppspändhetskänsla, illamående.</w:t>
      </w:r>
    </w:p>
    <w:p w14:paraId="63979E2B" w14:textId="77777777" w:rsidR="00702564" w:rsidRPr="001958A5" w:rsidRDefault="00702564" w:rsidP="00702564">
      <w:pPr>
        <w:pStyle w:val="Rubrik2"/>
      </w:pPr>
      <w:r>
        <w:lastRenderedPageBreak/>
        <w:t>Specialist</w:t>
      </w:r>
      <w:r w:rsidRPr="001958A5">
        <w:t>läkemedel</w:t>
      </w:r>
    </w:p>
    <w:p w14:paraId="4A9BB7E7" w14:textId="77777777" w:rsidR="00702564" w:rsidRPr="001263B7" w:rsidRDefault="00702564" w:rsidP="00702564">
      <w:pPr>
        <w:rPr>
          <w:sz w:val="24"/>
          <w:szCs w:val="24"/>
        </w:rPr>
      </w:pPr>
      <w:r w:rsidRPr="001263B7">
        <w:rPr>
          <w:sz w:val="24"/>
          <w:szCs w:val="24"/>
        </w:rPr>
        <w:t xml:space="preserve">I fall med patienter som har fortsatta besvär trots läkemedelsbehandling enligt Rek-listan bör specialist kontaktas för diskussion. </w:t>
      </w:r>
    </w:p>
    <w:p w14:paraId="52EB026B" w14:textId="77777777" w:rsidR="00702564" w:rsidRPr="001263B7" w:rsidRDefault="00702564" w:rsidP="00702564">
      <w:pPr>
        <w:rPr>
          <w:sz w:val="24"/>
          <w:szCs w:val="24"/>
        </w:rPr>
      </w:pPr>
    </w:p>
    <w:p w14:paraId="1CC8931F" w14:textId="77777777" w:rsidR="00702564" w:rsidRPr="001263B7" w:rsidRDefault="00702564" w:rsidP="00702564">
      <w:pPr>
        <w:rPr>
          <w:sz w:val="24"/>
          <w:szCs w:val="24"/>
        </w:rPr>
      </w:pPr>
      <w:r w:rsidRPr="00DB3871">
        <w:rPr>
          <w:bCs/>
          <w:sz w:val="24"/>
          <w:szCs w:val="24"/>
        </w:rPr>
        <w:t>Prukaloprid</w:t>
      </w:r>
      <w:r w:rsidRPr="001263B7">
        <w:rPr>
          <w:sz w:val="24"/>
          <w:szCs w:val="24"/>
        </w:rPr>
        <w:t xml:space="preserve"> (Resolor) är en selektiv 5-HT</w:t>
      </w:r>
      <w:r w:rsidRPr="001263B7">
        <w:rPr>
          <w:sz w:val="24"/>
          <w:szCs w:val="24"/>
          <w:vertAlign w:val="subscript"/>
        </w:rPr>
        <w:t>4</w:t>
      </w:r>
      <w:r w:rsidRPr="001263B7">
        <w:rPr>
          <w:sz w:val="24"/>
          <w:szCs w:val="24"/>
        </w:rPr>
        <w:t xml:space="preserve">-serotoninreceptoragonist med gastrointestinal prokinetisk aktivitet som godkändes under 2009 för symptomatisk behandling av kronisk förstoppning (definierat som ≤2 spontana tarmtömningar/vecka i minst 6 månader) och där laxativ inte ger tillfredsställande lindring. </w:t>
      </w:r>
    </w:p>
    <w:p w14:paraId="55C0D457" w14:textId="749648A5" w:rsidR="00702564" w:rsidRPr="001263B7" w:rsidRDefault="00702564" w:rsidP="00702564">
      <w:pPr>
        <w:rPr>
          <w:sz w:val="24"/>
          <w:szCs w:val="24"/>
        </w:rPr>
      </w:pPr>
      <w:r w:rsidRPr="001263B7">
        <w:rPr>
          <w:sz w:val="24"/>
          <w:szCs w:val="24"/>
        </w:rPr>
        <w:t>Prukaloprids verkningsmekanism delas av andra läkemedel såsom cisaprid, tegaserod och metoklopramid men är betydligt mer selektiv och påverkar inte 5-HT</w:t>
      </w:r>
      <w:r w:rsidRPr="001263B7">
        <w:rPr>
          <w:sz w:val="24"/>
          <w:szCs w:val="24"/>
          <w:vertAlign w:val="subscript"/>
        </w:rPr>
        <w:t>1</w:t>
      </w:r>
      <w:r w:rsidRPr="001263B7">
        <w:rPr>
          <w:sz w:val="24"/>
          <w:szCs w:val="24"/>
        </w:rPr>
        <w:t xml:space="preserve">-receptorn </w:t>
      </w:r>
      <w:r>
        <w:rPr>
          <w:sz w:val="24"/>
          <w:szCs w:val="24"/>
        </w:rPr>
        <w:br/>
      </w:r>
      <w:r w:rsidRPr="001263B7">
        <w:rPr>
          <w:sz w:val="24"/>
          <w:szCs w:val="24"/>
        </w:rPr>
        <w:t>(cisaprid, tegaserod), hERG (cisaprid), eller D</w:t>
      </w:r>
      <w:r w:rsidRPr="001263B7">
        <w:rPr>
          <w:sz w:val="24"/>
          <w:szCs w:val="24"/>
          <w:vertAlign w:val="subscript"/>
        </w:rPr>
        <w:t>2-</w:t>
      </w:r>
      <w:r w:rsidRPr="001263B7">
        <w:rPr>
          <w:sz w:val="24"/>
          <w:szCs w:val="24"/>
        </w:rPr>
        <w:t xml:space="preserve">dopaminreceptorn (metoklopramid). </w:t>
      </w:r>
      <w:r>
        <w:rPr>
          <w:sz w:val="24"/>
          <w:szCs w:val="24"/>
        </w:rPr>
        <w:br/>
      </w:r>
      <w:r w:rsidRPr="001263B7">
        <w:rPr>
          <w:sz w:val="24"/>
          <w:szCs w:val="24"/>
        </w:rPr>
        <w:t>Därmed ses inte samma biverkningar som för cisaprid (QT-förlängning), tegaserod (ischemiska vaskulära händelser) och metoklopramid (extrapyramidala symptom</w:t>
      </w:r>
      <w:r>
        <w:rPr>
          <w:sz w:val="24"/>
          <w:szCs w:val="24"/>
        </w:rPr>
        <w:t>).</w:t>
      </w:r>
      <w:r w:rsidRPr="001263B7">
        <w:rPr>
          <w:sz w:val="24"/>
          <w:szCs w:val="24"/>
        </w:rPr>
        <w:t xml:space="preserve"> </w:t>
      </w:r>
      <w:r>
        <w:rPr>
          <w:sz w:val="24"/>
          <w:szCs w:val="24"/>
        </w:rPr>
        <w:br/>
        <w:t>E</w:t>
      </w:r>
      <w:r w:rsidRPr="001263B7">
        <w:rPr>
          <w:sz w:val="24"/>
          <w:szCs w:val="24"/>
        </w:rPr>
        <w:t>ftersom erfarenhet av prukaloprid fortfarande är begränsad ingår det inte i listan över rekommenderade läkemedel.</w:t>
      </w:r>
    </w:p>
    <w:p w14:paraId="2C606134" w14:textId="45374671" w:rsidR="00702564" w:rsidRDefault="00702564" w:rsidP="00BB6263">
      <w:pPr>
        <w:rPr>
          <w:bCs/>
          <w:sz w:val="24"/>
          <w:szCs w:val="24"/>
        </w:rPr>
      </w:pPr>
      <w:r w:rsidRPr="001263B7">
        <w:rPr>
          <w:sz w:val="24"/>
          <w:szCs w:val="24"/>
        </w:rPr>
        <w:t xml:space="preserve">I de fall prukaloprid (Resolor) sätts in, så är det viktigt med </w:t>
      </w:r>
      <w:r w:rsidRPr="00DB3871">
        <w:rPr>
          <w:bCs/>
          <w:sz w:val="24"/>
          <w:szCs w:val="24"/>
        </w:rPr>
        <w:t xml:space="preserve">utvärdering av nyttan efter </w:t>
      </w:r>
      <w:r w:rsidRPr="00DB3871">
        <w:rPr>
          <w:bCs/>
          <w:sz w:val="24"/>
          <w:szCs w:val="24"/>
        </w:rPr>
        <w:br/>
        <w:t>cirka 4 veckor.</w:t>
      </w:r>
    </w:p>
    <w:p w14:paraId="5CBD3D79" w14:textId="446DDBDA" w:rsidR="00702564" w:rsidRPr="001263B7" w:rsidRDefault="00702564" w:rsidP="00702564">
      <w:pPr>
        <w:rPr>
          <w:sz w:val="24"/>
          <w:szCs w:val="24"/>
        </w:rPr>
      </w:pPr>
      <w:r w:rsidRPr="00DB3871">
        <w:rPr>
          <w:bCs/>
          <w:sz w:val="24"/>
          <w:szCs w:val="24"/>
        </w:rPr>
        <w:t>Linaklotid</w:t>
      </w:r>
      <w:r w:rsidRPr="001263B7">
        <w:rPr>
          <w:sz w:val="24"/>
          <w:szCs w:val="24"/>
        </w:rPr>
        <w:t xml:space="preserve"> (Constella) är ett nytt läkemedel godkänt vid medelsvår till svår IBS med förstoppning (IBS-C) hos vuxna. TLV har </w:t>
      </w:r>
      <w:r w:rsidRPr="000074D4">
        <w:rPr>
          <w:sz w:val="24"/>
          <w:szCs w:val="24"/>
        </w:rPr>
        <w:t>begränsat subventionen</w:t>
      </w:r>
      <w:r w:rsidRPr="001263B7">
        <w:rPr>
          <w:sz w:val="24"/>
          <w:szCs w:val="24"/>
        </w:rPr>
        <w:t xml:space="preserve"> till patienter med svår IBS-C vilka inte fått effekt av eller inte tolererat annan behandling. Man ska därmed ha provat exempelvis fulldos av sterakuliagummi</w:t>
      </w:r>
      <w:r w:rsidRPr="001263B7">
        <w:rPr>
          <w:b/>
          <w:bCs/>
          <w:sz w:val="24"/>
          <w:szCs w:val="24"/>
        </w:rPr>
        <w:t xml:space="preserve"> </w:t>
      </w:r>
      <w:r w:rsidRPr="001263B7">
        <w:rPr>
          <w:sz w:val="24"/>
          <w:szCs w:val="24"/>
        </w:rPr>
        <w:t xml:space="preserve">(Inolaxol) eller makrogol i kombination med elektrolyter (Movicol eller motsvarande generika) innan linaklotid sätts in. </w:t>
      </w:r>
    </w:p>
    <w:p w14:paraId="62EC223F" w14:textId="77777777" w:rsidR="00702564" w:rsidRDefault="00702564" w:rsidP="00702564">
      <w:pPr>
        <w:rPr>
          <w:sz w:val="24"/>
          <w:szCs w:val="24"/>
        </w:rPr>
      </w:pPr>
      <w:r w:rsidRPr="001263B7">
        <w:rPr>
          <w:sz w:val="24"/>
          <w:szCs w:val="24"/>
        </w:rPr>
        <w:t>Linaklotid verkar lokalt i tarmen och har en visceral smärtlindrande samt en sekretorisk verkan (leder till snabbare tarmpassage). Effekten på förstoppningen kommer snabbt medan effekten på smärtan dröjer cirka 2</w:t>
      </w:r>
      <w:r w:rsidRPr="001263B7">
        <w:rPr>
          <w:sz w:val="24"/>
          <w:szCs w:val="24"/>
        </w:rPr>
        <w:noBreakHyphen/>
        <w:t xml:space="preserve">4 veckor. Den helt dominerande biverkan är diarré som förekommer hos cirka 20% av de behandlade. Patienter med svår IBS-C är relativt få, men förekommer sannolikt även i primärvården. </w:t>
      </w:r>
      <w:r>
        <w:rPr>
          <w:sz w:val="24"/>
          <w:szCs w:val="24"/>
        </w:rPr>
        <w:br/>
      </w:r>
      <w:r w:rsidRPr="001263B7">
        <w:rPr>
          <w:sz w:val="24"/>
          <w:szCs w:val="24"/>
        </w:rPr>
        <w:t xml:space="preserve">Linaklotid kan vara ett alternativ till patienter med svår förstoppningsdominerad IBS vilka inte fått effekt av annan behandling. </w:t>
      </w:r>
      <w:r w:rsidRPr="001263B7">
        <w:rPr>
          <w:b/>
          <w:sz w:val="24"/>
          <w:szCs w:val="24"/>
        </w:rPr>
        <w:br/>
      </w:r>
      <w:r w:rsidRPr="00DB3871">
        <w:rPr>
          <w:bCs/>
          <w:sz w:val="24"/>
          <w:szCs w:val="24"/>
        </w:rPr>
        <w:t xml:space="preserve">Utvärdering av effekt och biverkningar ska göras efter 4 veckor </w:t>
      </w:r>
      <w:r w:rsidRPr="00DB3871">
        <w:rPr>
          <w:bCs/>
          <w:sz w:val="24"/>
          <w:szCs w:val="24"/>
        </w:rPr>
        <w:br/>
      </w:r>
      <w:r>
        <w:rPr>
          <w:sz w:val="24"/>
          <w:szCs w:val="24"/>
        </w:rPr>
        <w:t>P</w:t>
      </w:r>
      <w:r w:rsidRPr="001263B7">
        <w:rPr>
          <w:sz w:val="24"/>
          <w:szCs w:val="24"/>
        </w:rPr>
        <w:t>rovförpackning förskrivs då cirka hälften av patienterna inte svarar på behandlingen och då placeboeffekten i studierna varit stor.</w:t>
      </w:r>
    </w:p>
    <w:p w14:paraId="17EABC2E" w14:textId="77777777" w:rsidR="00702564" w:rsidRPr="004D5D27" w:rsidRDefault="00702564" w:rsidP="00702564">
      <w:pPr>
        <w:pStyle w:val="Rubrik3"/>
      </w:pPr>
      <w:r w:rsidRPr="004D5D27">
        <w:t>Pancreasinsufficiens</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1263B7" w14:paraId="240FD2B3" w14:textId="77777777" w:rsidTr="00632FCC">
        <w:trPr>
          <w:trHeight w:val="517"/>
        </w:trPr>
        <w:tc>
          <w:tcPr>
            <w:tcW w:w="4531" w:type="dxa"/>
          </w:tcPr>
          <w:p w14:paraId="2341FCC4" w14:textId="77777777" w:rsidR="00702564" w:rsidRPr="001263B7" w:rsidRDefault="00702564" w:rsidP="00632FCC">
            <w:pPr>
              <w:rPr>
                <w:sz w:val="24"/>
                <w:szCs w:val="28"/>
                <w:lang w:val="en-US"/>
              </w:rPr>
            </w:pPr>
            <w:r w:rsidRPr="001263B7">
              <w:rPr>
                <w:rFonts w:eastAsia="Garamond" w:cs="Garamond"/>
                <w:b/>
                <w:bCs/>
                <w:iCs/>
                <w:sz w:val="24"/>
                <w:szCs w:val="28"/>
                <w:lang w:val="en-US"/>
              </w:rPr>
              <w:t>pa</w:t>
            </w:r>
            <w:r w:rsidRPr="001263B7">
              <w:rPr>
                <w:rFonts w:eastAsia="Garamond" w:cs="Garamond"/>
                <w:b/>
                <w:bCs/>
                <w:iCs/>
                <w:spacing w:val="1"/>
                <w:sz w:val="24"/>
                <w:szCs w:val="28"/>
                <w:lang w:val="en-US"/>
              </w:rPr>
              <w:t>n</w:t>
            </w:r>
            <w:r w:rsidRPr="001263B7">
              <w:rPr>
                <w:rFonts w:eastAsia="Garamond" w:cs="Garamond"/>
                <w:b/>
                <w:bCs/>
                <w:iCs/>
                <w:spacing w:val="-3"/>
                <w:sz w:val="24"/>
                <w:szCs w:val="28"/>
                <w:lang w:val="en-US"/>
              </w:rPr>
              <w:t>kr</w:t>
            </w:r>
            <w:r w:rsidRPr="001263B7">
              <w:rPr>
                <w:rFonts w:eastAsia="Garamond" w:cs="Garamond"/>
                <w:b/>
                <w:bCs/>
                <w:iCs/>
                <w:spacing w:val="-1"/>
                <w:sz w:val="24"/>
                <w:szCs w:val="28"/>
                <w:lang w:val="en-US"/>
              </w:rPr>
              <w:t>e</w:t>
            </w:r>
            <w:r w:rsidRPr="001263B7">
              <w:rPr>
                <w:rFonts w:eastAsia="Garamond" w:cs="Garamond"/>
                <w:b/>
                <w:bCs/>
                <w:iCs/>
                <w:sz w:val="24"/>
                <w:szCs w:val="28"/>
                <w:lang w:val="en-US"/>
              </w:rPr>
              <w:t>a</w:t>
            </w:r>
            <w:r w:rsidRPr="001263B7">
              <w:rPr>
                <w:rFonts w:eastAsia="Garamond" w:cs="Garamond"/>
                <w:b/>
                <w:bCs/>
                <w:iCs/>
                <w:spacing w:val="-7"/>
                <w:sz w:val="24"/>
                <w:szCs w:val="28"/>
                <w:lang w:val="en-US"/>
              </w:rPr>
              <w:t>s</w:t>
            </w:r>
            <w:r w:rsidRPr="001263B7">
              <w:rPr>
                <w:rFonts w:eastAsia="Garamond" w:cs="Garamond"/>
                <w:b/>
                <w:bCs/>
                <w:iCs/>
                <w:spacing w:val="-3"/>
                <w:sz w:val="24"/>
                <w:szCs w:val="28"/>
                <w:lang w:val="en-US"/>
              </w:rPr>
              <w:t>e</w:t>
            </w:r>
            <w:r w:rsidRPr="001263B7">
              <w:rPr>
                <w:rFonts w:eastAsia="Garamond" w:cs="Garamond"/>
                <w:b/>
                <w:bCs/>
                <w:iCs/>
                <w:sz w:val="24"/>
                <w:szCs w:val="28"/>
                <w:lang w:val="en-US"/>
              </w:rPr>
              <w:t>nz</w:t>
            </w:r>
            <w:r w:rsidRPr="001263B7">
              <w:rPr>
                <w:rFonts w:eastAsia="Garamond" w:cs="Garamond"/>
                <w:b/>
                <w:bCs/>
                <w:iCs/>
                <w:spacing w:val="-9"/>
                <w:sz w:val="24"/>
                <w:szCs w:val="28"/>
                <w:lang w:val="en-US"/>
              </w:rPr>
              <w:t>y</w:t>
            </w:r>
            <w:r w:rsidRPr="001263B7">
              <w:rPr>
                <w:rFonts w:eastAsia="Garamond" w:cs="Garamond"/>
                <w:b/>
                <w:bCs/>
                <w:iCs/>
                <w:spacing w:val="-2"/>
                <w:sz w:val="24"/>
                <w:szCs w:val="28"/>
                <w:lang w:val="en-US"/>
              </w:rPr>
              <w:t>m</w:t>
            </w:r>
            <w:r w:rsidRPr="001263B7">
              <w:rPr>
                <w:rFonts w:eastAsia="Garamond" w:cs="Garamond"/>
                <w:b/>
                <w:bCs/>
                <w:iCs/>
                <w:spacing w:val="-1"/>
                <w:sz w:val="24"/>
                <w:szCs w:val="28"/>
                <w:lang w:val="en-US"/>
              </w:rPr>
              <w:t>e</w:t>
            </w:r>
            <w:r w:rsidRPr="001263B7">
              <w:rPr>
                <w:rFonts w:eastAsia="Garamond" w:cs="Garamond"/>
                <w:b/>
                <w:bCs/>
                <w:iCs/>
                <w:sz w:val="24"/>
                <w:szCs w:val="28"/>
                <w:lang w:val="en-US"/>
              </w:rPr>
              <w:t>r</w:t>
            </w:r>
          </w:p>
        </w:tc>
        <w:tc>
          <w:tcPr>
            <w:tcW w:w="4531" w:type="dxa"/>
          </w:tcPr>
          <w:p w14:paraId="358AACB1" w14:textId="77777777" w:rsidR="00702564" w:rsidRPr="001263B7" w:rsidRDefault="00702564" w:rsidP="00632FCC">
            <w:pPr>
              <w:rPr>
                <w:sz w:val="24"/>
                <w:szCs w:val="28"/>
                <w:lang w:val="en-US"/>
              </w:rPr>
            </w:pPr>
            <w:r w:rsidRPr="001263B7">
              <w:rPr>
                <w:rFonts w:eastAsia="Garamond" w:cs="Garamond"/>
                <w:sz w:val="24"/>
                <w:szCs w:val="28"/>
                <w:lang w:val="en-US"/>
              </w:rPr>
              <w:t>C</w:t>
            </w:r>
            <w:r w:rsidRPr="001263B7">
              <w:rPr>
                <w:rFonts w:eastAsia="Garamond" w:cs="Garamond"/>
                <w:spacing w:val="-1"/>
                <w:sz w:val="24"/>
                <w:szCs w:val="28"/>
                <w:lang w:val="en-US"/>
              </w:rPr>
              <w:t>r</w:t>
            </w:r>
            <w:r w:rsidRPr="001263B7">
              <w:rPr>
                <w:rFonts w:eastAsia="Garamond" w:cs="Garamond"/>
                <w:sz w:val="24"/>
                <w:szCs w:val="28"/>
                <w:lang w:val="en-US"/>
              </w:rPr>
              <w:t>e</w:t>
            </w:r>
            <w:r w:rsidRPr="001263B7">
              <w:rPr>
                <w:rFonts w:eastAsia="Garamond" w:cs="Garamond"/>
                <w:spacing w:val="-1"/>
                <w:sz w:val="24"/>
                <w:szCs w:val="28"/>
                <w:lang w:val="en-US"/>
              </w:rPr>
              <w:t>o</w:t>
            </w:r>
            <w:r w:rsidRPr="001263B7">
              <w:rPr>
                <w:rFonts w:eastAsia="Garamond" w:cs="Garamond"/>
                <w:sz w:val="24"/>
                <w:szCs w:val="28"/>
                <w:lang w:val="en-US"/>
              </w:rPr>
              <w:t>n</w:t>
            </w:r>
          </w:p>
        </w:tc>
      </w:tr>
    </w:tbl>
    <w:p w14:paraId="0E12F30C" w14:textId="77777777" w:rsidR="00702564" w:rsidRPr="00E2416B" w:rsidRDefault="00702564" w:rsidP="00702564">
      <w:pPr>
        <w:rPr>
          <w:rFonts w:eastAsia="Garamond" w:cs="Garamond"/>
          <w:szCs w:val="24"/>
          <w:lang w:val="en-US"/>
        </w:rPr>
      </w:pPr>
    </w:p>
    <w:p w14:paraId="0802DAEB" w14:textId="77777777" w:rsidR="00702564" w:rsidRPr="001263B7" w:rsidRDefault="00702564" w:rsidP="00702564">
      <w:pPr>
        <w:rPr>
          <w:sz w:val="24"/>
          <w:szCs w:val="24"/>
        </w:rPr>
      </w:pPr>
      <w:r w:rsidRPr="001263B7">
        <w:rPr>
          <w:sz w:val="24"/>
          <w:szCs w:val="24"/>
        </w:rPr>
        <w:t>Vid exokrin pancreasdysfunktion användes endast Creon. Diagnosen kräver särskild utredning och patienter med klar misstanke bör remitteras till sjukhus. Enkel bra laboratoriediagnostik för att bekräfta eller utesluta diagnosen finns inte.</w:t>
      </w:r>
      <w:r>
        <w:rPr>
          <w:sz w:val="24"/>
          <w:szCs w:val="24"/>
        </w:rPr>
        <w:t xml:space="preserve"> </w:t>
      </w:r>
      <w:r w:rsidRPr="001263B7">
        <w:rPr>
          <w:sz w:val="24"/>
          <w:szCs w:val="24"/>
        </w:rPr>
        <w:t xml:space="preserve">Doseringen av Creon vid pancreasinsufficiens är vanligen 40 000 – 50 000 E till varje huvudmål samt 25 000 E till mellanmål. Doseringen anpassas individuellt. Det är viktigt att ta kapslarna tillsammans med maten. En metod att prova ut behandlingen och se om den har effekt är en provmånad med medicinering enligt ovan och </w:t>
      </w:r>
      <w:r w:rsidRPr="001263B7">
        <w:rPr>
          <w:sz w:val="24"/>
          <w:szCs w:val="24"/>
        </w:rPr>
        <w:lastRenderedPageBreak/>
        <w:t xml:space="preserve">därefter utsättning av preparatet. Patienten bör då bli klart förbättrad inom en vecka och motsvarande försämrad inom en vecka efter utsättning. </w:t>
      </w:r>
    </w:p>
    <w:p w14:paraId="70952EC1" w14:textId="77777777" w:rsidR="00702564" w:rsidRPr="001263B7" w:rsidRDefault="00702564" w:rsidP="00702564">
      <w:pPr>
        <w:pStyle w:val="Rubrik2"/>
      </w:pPr>
      <w:r w:rsidRPr="00426269">
        <w:t>Inflammatorisk tarmsjukdom</w:t>
      </w:r>
      <w:r>
        <w:br/>
      </w:r>
      <w:r w:rsidRPr="00426269">
        <w:br/>
      </w:r>
      <w:r w:rsidRPr="00AA3868">
        <w:rPr>
          <w:sz w:val="24"/>
          <w:szCs w:val="24"/>
        </w:rPr>
        <w:t>Rektala beredningar</w:t>
      </w:r>
    </w:p>
    <w:tbl>
      <w:tblPr>
        <w:tblStyle w:val="Tabellrutnt"/>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8"/>
        <w:gridCol w:w="4893"/>
      </w:tblGrid>
      <w:tr w:rsidR="00702564" w:rsidRPr="001263B7" w14:paraId="0EBD142C" w14:textId="77777777" w:rsidTr="00632FCC">
        <w:tc>
          <w:tcPr>
            <w:tcW w:w="4458" w:type="dxa"/>
          </w:tcPr>
          <w:p w14:paraId="262F8399" w14:textId="77777777" w:rsidR="00702564" w:rsidRPr="001263B7" w:rsidRDefault="00702564" w:rsidP="00632FCC">
            <w:pPr>
              <w:rPr>
                <w:rFonts w:eastAsia="Garamond" w:cs="Garamond"/>
                <w:b/>
                <w:bCs/>
                <w:sz w:val="24"/>
                <w:szCs w:val="28"/>
              </w:rPr>
            </w:pPr>
            <w:r w:rsidRPr="001263B7">
              <w:rPr>
                <w:rFonts w:eastAsia="Garamond" w:cs="Garamond"/>
                <w:b/>
                <w:bCs/>
                <w:iCs/>
                <w:spacing w:val="1"/>
                <w:sz w:val="24"/>
                <w:szCs w:val="28"/>
              </w:rPr>
              <w:t>m</w:t>
            </w:r>
            <w:r w:rsidRPr="001263B7">
              <w:rPr>
                <w:rFonts w:eastAsia="Garamond" w:cs="Garamond"/>
                <w:b/>
                <w:bCs/>
                <w:iCs/>
                <w:spacing w:val="-1"/>
                <w:sz w:val="24"/>
                <w:szCs w:val="28"/>
              </w:rPr>
              <w:t>es</w:t>
            </w:r>
            <w:r w:rsidRPr="001263B7">
              <w:rPr>
                <w:rFonts w:eastAsia="Garamond" w:cs="Garamond"/>
                <w:b/>
                <w:bCs/>
                <w:iCs/>
                <w:sz w:val="24"/>
                <w:szCs w:val="28"/>
              </w:rPr>
              <w:t>al</w:t>
            </w:r>
            <w:r w:rsidRPr="001263B7">
              <w:rPr>
                <w:rFonts w:eastAsia="Garamond" w:cs="Garamond"/>
                <w:b/>
                <w:bCs/>
                <w:iCs/>
                <w:spacing w:val="-2"/>
                <w:sz w:val="24"/>
                <w:szCs w:val="28"/>
              </w:rPr>
              <w:t>a</w:t>
            </w:r>
            <w:r w:rsidRPr="001263B7">
              <w:rPr>
                <w:rFonts w:eastAsia="Garamond" w:cs="Garamond"/>
                <w:b/>
                <w:bCs/>
                <w:iCs/>
                <w:spacing w:val="-8"/>
                <w:sz w:val="24"/>
                <w:szCs w:val="28"/>
              </w:rPr>
              <w:t>z</w:t>
            </w:r>
            <w:r w:rsidRPr="001263B7">
              <w:rPr>
                <w:rFonts w:eastAsia="Garamond" w:cs="Garamond"/>
                <w:b/>
                <w:bCs/>
                <w:iCs/>
                <w:spacing w:val="-3"/>
                <w:sz w:val="24"/>
                <w:szCs w:val="28"/>
              </w:rPr>
              <w:t>in</w:t>
            </w:r>
          </w:p>
        </w:tc>
        <w:tc>
          <w:tcPr>
            <w:tcW w:w="4893" w:type="dxa"/>
          </w:tcPr>
          <w:p w14:paraId="07D84433" w14:textId="77777777" w:rsidR="00702564" w:rsidRPr="001263B7" w:rsidRDefault="00702564" w:rsidP="00632FCC">
            <w:pPr>
              <w:rPr>
                <w:rFonts w:eastAsia="Garamond" w:cs="Garamond"/>
                <w:b/>
                <w:bCs/>
                <w:sz w:val="24"/>
                <w:szCs w:val="28"/>
              </w:rPr>
            </w:pPr>
            <w:r w:rsidRPr="001263B7">
              <w:rPr>
                <w:rFonts w:eastAsia="Garamond" w:cs="Garamond"/>
                <w:sz w:val="24"/>
                <w:szCs w:val="28"/>
              </w:rPr>
              <w:t>Asac</w:t>
            </w:r>
            <w:r w:rsidRPr="001263B7">
              <w:rPr>
                <w:rFonts w:eastAsia="Garamond" w:cs="Garamond"/>
                <w:spacing w:val="-1"/>
                <w:sz w:val="24"/>
                <w:szCs w:val="28"/>
              </w:rPr>
              <w:t>o</w:t>
            </w:r>
            <w:r w:rsidRPr="001263B7">
              <w:rPr>
                <w:rFonts w:eastAsia="Garamond" w:cs="Garamond"/>
                <w:sz w:val="24"/>
                <w:szCs w:val="28"/>
              </w:rPr>
              <w:t>l</w:t>
            </w:r>
            <w:r w:rsidRPr="001263B7">
              <w:rPr>
                <w:rFonts w:eastAsia="Garamond" w:cs="Garamond"/>
                <w:b/>
                <w:bCs/>
                <w:sz w:val="24"/>
                <w:szCs w:val="28"/>
              </w:rPr>
              <w:t xml:space="preserve"> </w:t>
            </w:r>
            <w:r w:rsidRPr="001263B7">
              <w:rPr>
                <w:rFonts w:eastAsia="Garamond" w:cs="Garamond"/>
                <w:bCs/>
                <w:sz w:val="24"/>
                <w:szCs w:val="28"/>
              </w:rPr>
              <w:t>(supp., rektalsusp.)</w:t>
            </w:r>
          </w:p>
        </w:tc>
      </w:tr>
      <w:tr w:rsidR="00702564" w:rsidRPr="001263B7" w14:paraId="299065B9" w14:textId="77777777" w:rsidTr="00632FCC">
        <w:tc>
          <w:tcPr>
            <w:tcW w:w="4458" w:type="dxa"/>
          </w:tcPr>
          <w:p w14:paraId="06BBA5F1" w14:textId="77777777" w:rsidR="00702564" w:rsidRPr="001263B7" w:rsidRDefault="00702564" w:rsidP="00632FCC">
            <w:pPr>
              <w:rPr>
                <w:rFonts w:eastAsia="Garamond" w:cs="Garamond"/>
                <w:b/>
                <w:bCs/>
                <w:sz w:val="24"/>
                <w:szCs w:val="28"/>
              </w:rPr>
            </w:pPr>
          </w:p>
        </w:tc>
        <w:tc>
          <w:tcPr>
            <w:tcW w:w="4893" w:type="dxa"/>
          </w:tcPr>
          <w:p w14:paraId="67D9CCBD" w14:textId="77777777" w:rsidR="00702564" w:rsidRPr="001263B7" w:rsidRDefault="00702564" w:rsidP="00632FCC">
            <w:pPr>
              <w:rPr>
                <w:rFonts w:eastAsia="Garamond" w:cs="Garamond"/>
                <w:b/>
                <w:bCs/>
                <w:sz w:val="24"/>
                <w:szCs w:val="28"/>
              </w:rPr>
            </w:pPr>
            <w:r w:rsidRPr="001263B7">
              <w:rPr>
                <w:rFonts w:eastAsia="Garamond" w:cs="Garamond"/>
                <w:spacing w:val="-10"/>
                <w:sz w:val="24"/>
                <w:szCs w:val="28"/>
              </w:rPr>
              <w:t>P</w:t>
            </w:r>
            <w:r w:rsidRPr="001263B7">
              <w:rPr>
                <w:rFonts w:eastAsia="Garamond" w:cs="Garamond"/>
                <w:sz w:val="24"/>
                <w:szCs w:val="28"/>
              </w:rPr>
              <w:t>e</w:t>
            </w:r>
            <w:r w:rsidRPr="001263B7">
              <w:rPr>
                <w:rFonts w:eastAsia="Garamond" w:cs="Garamond"/>
                <w:spacing w:val="-1"/>
                <w:sz w:val="24"/>
                <w:szCs w:val="28"/>
              </w:rPr>
              <w:t>nt</w:t>
            </w:r>
            <w:r w:rsidRPr="001263B7">
              <w:rPr>
                <w:rFonts w:eastAsia="Garamond" w:cs="Garamond"/>
                <w:sz w:val="24"/>
                <w:szCs w:val="28"/>
              </w:rPr>
              <w:t>asa</w:t>
            </w:r>
            <w:r w:rsidRPr="001263B7">
              <w:rPr>
                <w:rFonts w:eastAsia="Garamond" w:cs="Garamond"/>
                <w:b/>
                <w:bCs/>
                <w:sz w:val="24"/>
                <w:szCs w:val="28"/>
              </w:rPr>
              <w:t xml:space="preserve"> </w:t>
            </w:r>
            <w:r w:rsidRPr="001263B7">
              <w:rPr>
                <w:rFonts w:eastAsia="Garamond" w:cs="Garamond"/>
                <w:bCs/>
                <w:sz w:val="24"/>
                <w:szCs w:val="28"/>
              </w:rPr>
              <w:t>(supp. rektalsusp.)</w:t>
            </w:r>
          </w:p>
        </w:tc>
      </w:tr>
      <w:tr w:rsidR="00702564" w:rsidRPr="001263B7" w14:paraId="2664D52E" w14:textId="77777777" w:rsidTr="00632FCC">
        <w:tc>
          <w:tcPr>
            <w:tcW w:w="4458" w:type="dxa"/>
          </w:tcPr>
          <w:p w14:paraId="239B35BD" w14:textId="77777777" w:rsidR="00702564" w:rsidRPr="001263B7" w:rsidRDefault="00702564" w:rsidP="00632FCC">
            <w:pPr>
              <w:rPr>
                <w:rFonts w:eastAsia="Garamond" w:cs="Garamond"/>
                <w:b/>
                <w:bCs/>
                <w:sz w:val="24"/>
                <w:szCs w:val="28"/>
              </w:rPr>
            </w:pPr>
            <w:r w:rsidRPr="001263B7">
              <w:rPr>
                <w:rFonts w:eastAsia="Garamond" w:cs="Garamond"/>
                <w:b/>
                <w:bCs/>
                <w:iCs/>
                <w:sz w:val="24"/>
                <w:szCs w:val="28"/>
              </w:rPr>
              <w:t>budesonid</w:t>
            </w:r>
          </w:p>
        </w:tc>
        <w:tc>
          <w:tcPr>
            <w:tcW w:w="4893" w:type="dxa"/>
          </w:tcPr>
          <w:p w14:paraId="14694ABC" w14:textId="77777777" w:rsidR="00702564" w:rsidRPr="001263B7" w:rsidRDefault="00702564" w:rsidP="00632FCC">
            <w:pPr>
              <w:rPr>
                <w:rFonts w:eastAsia="Garamond" w:cs="Garamond"/>
                <w:b/>
                <w:bCs/>
                <w:sz w:val="24"/>
                <w:szCs w:val="28"/>
              </w:rPr>
            </w:pPr>
            <w:r w:rsidRPr="001263B7">
              <w:rPr>
                <w:rFonts w:eastAsia="Garamond" w:cs="Garamond"/>
                <w:sz w:val="24"/>
                <w:szCs w:val="28"/>
              </w:rPr>
              <w:t>Budenofalk</w:t>
            </w:r>
            <w:r w:rsidRPr="001263B7">
              <w:rPr>
                <w:rFonts w:eastAsia="Garamond" w:cs="Garamond"/>
                <w:b/>
                <w:bCs/>
                <w:sz w:val="24"/>
                <w:szCs w:val="28"/>
              </w:rPr>
              <w:t xml:space="preserve"> </w:t>
            </w:r>
            <w:r w:rsidRPr="001263B7">
              <w:rPr>
                <w:rFonts w:eastAsia="Garamond" w:cs="Garamond"/>
                <w:bCs/>
                <w:sz w:val="24"/>
                <w:szCs w:val="28"/>
              </w:rPr>
              <w:t>(rektalskum)</w:t>
            </w:r>
          </w:p>
        </w:tc>
      </w:tr>
    </w:tbl>
    <w:p w14:paraId="0553191C" w14:textId="77777777" w:rsidR="00702564" w:rsidRDefault="00702564" w:rsidP="00702564">
      <w:pPr>
        <w:pStyle w:val="Rubrik3"/>
      </w:pPr>
      <w:r w:rsidRPr="0071138D">
        <w:t>Perorala beredningar</w:t>
      </w:r>
    </w:p>
    <w:tbl>
      <w:tblPr>
        <w:tblStyle w:val="Tabellrutnt"/>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4901"/>
      </w:tblGrid>
      <w:tr w:rsidR="00702564" w:rsidRPr="001263B7" w14:paraId="63070FEA" w14:textId="77777777" w:rsidTr="00632FCC">
        <w:tc>
          <w:tcPr>
            <w:tcW w:w="4450" w:type="dxa"/>
          </w:tcPr>
          <w:p w14:paraId="5FF70104" w14:textId="77777777" w:rsidR="00702564" w:rsidRPr="001263B7" w:rsidRDefault="00702564" w:rsidP="00632FCC">
            <w:pPr>
              <w:rPr>
                <w:rFonts w:eastAsia="Garamond" w:cs="Garamond"/>
                <w:b/>
                <w:spacing w:val="-9"/>
                <w:sz w:val="24"/>
                <w:szCs w:val="28"/>
              </w:rPr>
            </w:pPr>
            <w:r w:rsidRPr="001263B7">
              <w:rPr>
                <w:rFonts w:eastAsia="Garamond" w:cs="Garamond"/>
                <w:b/>
                <w:bCs/>
                <w:iCs/>
                <w:spacing w:val="1"/>
                <w:sz w:val="24"/>
                <w:szCs w:val="28"/>
              </w:rPr>
              <w:t>m</w:t>
            </w:r>
            <w:r w:rsidRPr="001263B7">
              <w:rPr>
                <w:rFonts w:eastAsia="Garamond" w:cs="Garamond"/>
                <w:b/>
                <w:bCs/>
                <w:iCs/>
                <w:spacing w:val="-1"/>
                <w:sz w:val="24"/>
                <w:szCs w:val="28"/>
              </w:rPr>
              <w:t>es</w:t>
            </w:r>
            <w:r w:rsidRPr="001263B7">
              <w:rPr>
                <w:rFonts w:eastAsia="Garamond" w:cs="Garamond"/>
                <w:b/>
                <w:bCs/>
                <w:iCs/>
                <w:sz w:val="24"/>
                <w:szCs w:val="28"/>
              </w:rPr>
              <w:t>al</w:t>
            </w:r>
            <w:r w:rsidRPr="001263B7">
              <w:rPr>
                <w:rFonts w:eastAsia="Garamond" w:cs="Garamond"/>
                <w:b/>
                <w:bCs/>
                <w:iCs/>
                <w:spacing w:val="-2"/>
                <w:sz w:val="24"/>
                <w:szCs w:val="28"/>
              </w:rPr>
              <w:t>a</w:t>
            </w:r>
            <w:r w:rsidRPr="001263B7">
              <w:rPr>
                <w:rFonts w:eastAsia="Garamond" w:cs="Garamond"/>
                <w:b/>
                <w:bCs/>
                <w:iCs/>
                <w:spacing w:val="-8"/>
                <w:sz w:val="24"/>
                <w:szCs w:val="28"/>
              </w:rPr>
              <w:t>z</w:t>
            </w:r>
            <w:r w:rsidRPr="001263B7">
              <w:rPr>
                <w:rFonts w:eastAsia="Garamond" w:cs="Garamond"/>
                <w:b/>
                <w:bCs/>
                <w:iCs/>
                <w:spacing w:val="-3"/>
                <w:sz w:val="24"/>
                <w:szCs w:val="28"/>
              </w:rPr>
              <w:t>in</w:t>
            </w:r>
          </w:p>
        </w:tc>
        <w:tc>
          <w:tcPr>
            <w:tcW w:w="4901" w:type="dxa"/>
          </w:tcPr>
          <w:p w14:paraId="21EED8FC" w14:textId="77777777" w:rsidR="00702564" w:rsidRPr="001263B7" w:rsidRDefault="00702564" w:rsidP="00632FCC">
            <w:pPr>
              <w:rPr>
                <w:rFonts w:eastAsia="Garamond" w:cs="Garamond"/>
                <w:b/>
                <w:spacing w:val="-9"/>
                <w:sz w:val="24"/>
                <w:szCs w:val="28"/>
              </w:rPr>
            </w:pPr>
            <w:r w:rsidRPr="001263B7">
              <w:rPr>
                <w:rFonts w:eastAsia="Garamond" w:cs="Garamond"/>
                <w:sz w:val="24"/>
                <w:szCs w:val="28"/>
              </w:rPr>
              <w:t>Mesalazin Orion (enterotablett)</w:t>
            </w:r>
          </w:p>
        </w:tc>
      </w:tr>
    </w:tbl>
    <w:p w14:paraId="20FA7214" w14:textId="77777777" w:rsidR="00702564" w:rsidRDefault="00702564" w:rsidP="00702564">
      <w:pPr>
        <w:rPr>
          <w:rFonts w:eastAsia="Garamond" w:cs="Garamond"/>
          <w:b/>
          <w:spacing w:val="-9"/>
          <w:szCs w:val="24"/>
        </w:rPr>
      </w:pPr>
    </w:p>
    <w:p w14:paraId="42F73C96" w14:textId="1AD75B6C" w:rsidR="00702564" w:rsidRDefault="00702564" w:rsidP="00702564">
      <w:pPr>
        <w:tabs>
          <w:tab w:val="clear" w:pos="284"/>
        </w:tabs>
        <w:spacing w:after="120" w:line="260" w:lineRule="atLeast"/>
        <w:rPr>
          <w:rFonts w:eastAsia="Garamond" w:cs="Garamond"/>
          <w:b/>
          <w:spacing w:val="-9"/>
          <w:szCs w:val="24"/>
        </w:rPr>
      </w:pPr>
      <w:r w:rsidRPr="00523789">
        <w:rPr>
          <w:rFonts w:eastAsia="Garamond" w:cs="Garamond"/>
          <w:bCs/>
          <w:spacing w:val="-9"/>
          <w:sz w:val="24"/>
          <w:szCs w:val="24"/>
        </w:rPr>
        <w:t>De tillgängliga perorala preparaten är ej utbytbara bla pga skillnader i styrka. Förstahandsrekommendationen Mesalazin Orion baseras på ett lägsta pris ”per gram” mesalazin. Det bedöms vara ett bra val för den generella patienten. Nedan listas alla perorala preparat och dess kara</w:t>
      </w:r>
      <w:r>
        <w:rPr>
          <w:rFonts w:eastAsia="Garamond" w:cs="Garamond"/>
          <w:bCs/>
          <w:spacing w:val="-9"/>
          <w:sz w:val="24"/>
          <w:szCs w:val="24"/>
        </w:rPr>
        <w:t>k</w:t>
      </w:r>
      <w:r w:rsidRPr="00523789">
        <w:rPr>
          <w:rFonts w:eastAsia="Garamond" w:cs="Garamond"/>
          <w:bCs/>
          <w:spacing w:val="-9"/>
          <w:sz w:val="24"/>
          <w:szCs w:val="24"/>
        </w:rPr>
        <w:t>t</w:t>
      </w:r>
      <w:r>
        <w:rPr>
          <w:rFonts w:eastAsia="Garamond" w:cs="Garamond"/>
          <w:bCs/>
          <w:spacing w:val="-9"/>
          <w:sz w:val="24"/>
          <w:szCs w:val="24"/>
        </w:rPr>
        <w:t>e</w:t>
      </w:r>
      <w:r w:rsidRPr="00523789">
        <w:rPr>
          <w:rFonts w:eastAsia="Garamond" w:cs="Garamond"/>
          <w:bCs/>
          <w:spacing w:val="-9"/>
          <w:sz w:val="24"/>
          <w:szCs w:val="24"/>
        </w:rPr>
        <w:t>ristika.</w:t>
      </w:r>
    </w:p>
    <w:tbl>
      <w:tblPr>
        <w:tblStyle w:val="Tabellrutnt"/>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119"/>
        <w:gridCol w:w="2410"/>
        <w:gridCol w:w="2693"/>
      </w:tblGrid>
      <w:tr w:rsidR="00702564" w:rsidRPr="001263B7" w14:paraId="4E262C24" w14:textId="77777777" w:rsidTr="00632FCC">
        <w:tc>
          <w:tcPr>
            <w:tcW w:w="1129" w:type="dxa"/>
          </w:tcPr>
          <w:p w14:paraId="21DC1FBC" w14:textId="77777777" w:rsidR="00702564" w:rsidRPr="001263B7" w:rsidRDefault="00702564" w:rsidP="00632FCC">
            <w:pPr>
              <w:rPr>
                <w:rFonts w:eastAsia="Garamond" w:cs="Garamond"/>
                <w:b/>
                <w:bCs/>
                <w:iCs/>
                <w:spacing w:val="1"/>
                <w:sz w:val="24"/>
                <w:szCs w:val="28"/>
              </w:rPr>
            </w:pPr>
            <w:r w:rsidRPr="001263B7">
              <w:rPr>
                <w:rFonts w:eastAsia="Garamond" w:cs="Garamond"/>
                <w:b/>
                <w:bCs/>
                <w:iCs/>
                <w:spacing w:val="1"/>
                <w:sz w:val="24"/>
                <w:szCs w:val="28"/>
              </w:rPr>
              <w:t>Substans</w:t>
            </w:r>
          </w:p>
        </w:tc>
        <w:tc>
          <w:tcPr>
            <w:tcW w:w="3119" w:type="dxa"/>
          </w:tcPr>
          <w:p w14:paraId="14BA2F97" w14:textId="77777777" w:rsidR="00702564" w:rsidRPr="001263B7" w:rsidRDefault="00702564" w:rsidP="00632FCC">
            <w:pPr>
              <w:rPr>
                <w:rFonts w:eastAsia="Garamond" w:cs="Garamond"/>
                <w:b/>
                <w:bCs/>
                <w:sz w:val="24"/>
                <w:szCs w:val="28"/>
              </w:rPr>
            </w:pPr>
            <w:r w:rsidRPr="001263B7">
              <w:rPr>
                <w:rFonts w:eastAsia="Garamond" w:cs="Garamond"/>
                <w:b/>
                <w:bCs/>
                <w:sz w:val="24"/>
                <w:szCs w:val="28"/>
              </w:rPr>
              <w:t>Läkemedel, beredningsform</w:t>
            </w:r>
          </w:p>
        </w:tc>
        <w:tc>
          <w:tcPr>
            <w:tcW w:w="2410" w:type="dxa"/>
          </w:tcPr>
          <w:p w14:paraId="45C0617D" w14:textId="77777777" w:rsidR="00702564" w:rsidRPr="001263B7" w:rsidRDefault="00702564" w:rsidP="00632FCC">
            <w:pPr>
              <w:rPr>
                <w:rFonts w:eastAsia="Garamond" w:cs="Garamond"/>
                <w:b/>
                <w:bCs/>
                <w:sz w:val="24"/>
                <w:szCs w:val="28"/>
              </w:rPr>
            </w:pPr>
            <w:r w:rsidRPr="001263B7">
              <w:rPr>
                <w:rFonts w:eastAsia="Garamond" w:cs="Garamond"/>
                <w:b/>
                <w:bCs/>
                <w:sz w:val="24"/>
                <w:szCs w:val="28"/>
              </w:rPr>
              <w:t>Läkemedlets konstruktion</w:t>
            </w:r>
          </w:p>
        </w:tc>
        <w:tc>
          <w:tcPr>
            <w:tcW w:w="2693" w:type="dxa"/>
          </w:tcPr>
          <w:p w14:paraId="0068C3A4" w14:textId="77777777" w:rsidR="00702564" w:rsidRPr="001263B7" w:rsidRDefault="00702564" w:rsidP="00632FCC">
            <w:pPr>
              <w:rPr>
                <w:rFonts w:eastAsia="Garamond" w:cs="Garamond"/>
                <w:b/>
                <w:bCs/>
                <w:sz w:val="24"/>
                <w:szCs w:val="28"/>
              </w:rPr>
            </w:pPr>
            <w:r w:rsidRPr="001263B7">
              <w:rPr>
                <w:rFonts w:eastAsia="Garamond" w:cs="Garamond"/>
                <w:b/>
                <w:bCs/>
                <w:sz w:val="24"/>
                <w:szCs w:val="28"/>
              </w:rPr>
              <w:t>Frisättning</w:t>
            </w:r>
          </w:p>
        </w:tc>
      </w:tr>
      <w:tr w:rsidR="00702564" w:rsidRPr="001263B7" w14:paraId="5491594F" w14:textId="77777777" w:rsidTr="00632FCC">
        <w:tc>
          <w:tcPr>
            <w:tcW w:w="1129" w:type="dxa"/>
          </w:tcPr>
          <w:p w14:paraId="29783873" w14:textId="77777777" w:rsidR="00702564" w:rsidRPr="001263B7" w:rsidRDefault="00702564" w:rsidP="00632FCC">
            <w:pPr>
              <w:rPr>
                <w:rFonts w:eastAsia="Garamond" w:cs="Garamond"/>
                <w:b/>
                <w:spacing w:val="-9"/>
                <w:sz w:val="24"/>
                <w:szCs w:val="28"/>
              </w:rPr>
            </w:pPr>
            <w:r w:rsidRPr="001263B7">
              <w:rPr>
                <w:rFonts w:eastAsia="Garamond" w:cs="Garamond"/>
                <w:b/>
                <w:bCs/>
                <w:iCs/>
                <w:spacing w:val="1"/>
                <w:sz w:val="24"/>
                <w:szCs w:val="28"/>
              </w:rPr>
              <w:t>m</w:t>
            </w:r>
            <w:r w:rsidRPr="001263B7">
              <w:rPr>
                <w:rFonts w:eastAsia="Garamond" w:cs="Garamond"/>
                <w:b/>
                <w:bCs/>
                <w:iCs/>
                <w:spacing w:val="-1"/>
                <w:sz w:val="24"/>
                <w:szCs w:val="28"/>
              </w:rPr>
              <w:t>es</w:t>
            </w:r>
            <w:r w:rsidRPr="001263B7">
              <w:rPr>
                <w:rFonts w:eastAsia="Garamond" w:cs="Garamond"/>
                <w:b/>
                <w:bCs/>
                <w:iCs/>
                <w:sz w:val="24"/>
                <w:szCs w:val="28"/>
              </w:rPr>
              <w:t>al</w:t>
            </w:r>
            <w:r w:rsidRPr="001263B7">
              <w:rPr>
                <w:rFonts w:eastAsia="Garamond" w:cs="Garamond"/>
                <w:b/>
                <w:bCs/>
                <w:iCs/>
                <w:spacing w:val="-2"/>
                <w:sz w:val="24"/>
                <w:szCs w:val="28"/>
              </w:rPr>
              <w:t>a</w:t>
            </w:r>
            <w:r w:rsidRPr="001263B7">
              <w:rPr>
                <w:rFonts w:eastAsia="Garamond" w:cs="Garamond"/>
                <w:b/>
                <w:bCs/>
                <w:iCs/>
                <w:spacing w:val="-8"/>
                <w:sz w:val="24"/>
                <w:szCs w:val="28"/>
              </w:rPr>
              <w:t>z</w:t>
            </w:r>
            <w:r w:rsidRPr="001263B7">
              <w:rPr>
                <w:rFonts w:eastAsia="Garamond" w:cs="Garamond"/>
                <w:b/>
                <w:bCs/>
                <w:iCs/>
                <w:spacing w:val="-3"/>
                <w:sz w:val="24"/>
                <w:szCs w:val="28"/>
              </w:rPr>
              <w:t>in</w:t>
            </w:r>
          </w:p>
        </w:tc>
        <w:tc>
          <w:tcPr>
            <w:tcW w:w="3119" w:type="dxa"/>
          </w:tcPr>
          <w:p w14:paraId="041A4DB3" w14:textId="77777777" w:rsidR="00702564" w:rsidRPr="001263B7" w:rsidRDefault="00702564" w:rsidP="00632FCC">
            <w:pPr>
              <w:rPr>
                <w:rFonts w:eastAsia="Garamond" w:cs="Garamond"/>
                <w:b/>
                <w:spacing w:val="-9"/>
                <w:sz w:val="24"/>
                <w:szCs w:val="28"/>
              </w:rPr>
            </w:pPr>
            <w:r w:rsidRPr="001263B7">
              <w:rPr>
                <w:rFonts w:eastAsia="Garamond" w:cs="Garamond"/>
                <w:bCs/>
                <w:sz w:val="24"/>
                <w:szCs w:val="28"/>
              </w:rPr>
              <w:t>Asacol</w:t>
            </w:r>
            <w:r w:rsidRPr="001263B7">
              <w:rPr>
                <w:rFonts w:eastAsia="Garamond" w:cs="Garamond"/>
                <w:b/>
                <w:sz w:val="24"/>
                <w:szCs w:val="28"/>
              </w:rPr>
              <w:t xml:space="preserve"> </w:t>
            </w:r>
            <w:r w:rsidRPr="001263B7">
              <w:rPr>
                <w:rFonts w:eastAsia="Garamond" w:cs="Garamond"/>
                <w:sz w:val="24"/>
                <w:szCs w:val="28"/>
              </w:rPr>
              <w:t>(enterotablett)</w:t>
            </w:r>
          </w:p>
        </w:tc>
        <w:tc>
          <w:tcPr>
            <w:tcW w:w="2410" w:type="dxa"/>
          </w:tcPr>
          <w:p w14:paraId="00238F2B" w14:textId="77777777" w:rsidR="00702564" w:rsidRPr="001263B7" w:rsidRDefault="00702564" w:rsidP="00632FCC">
            <w:pPr>
              <w:rPr>
                <w:rFonts w:eastAsia="Garamond" w:cs="Garamond"/>
                <w:bCs/>
                <w:sz w:val="24"/>
                <w:szCs w:val="28"/>
              </w:rPr>
            </w:pPr>
            <w:r w:rsidRPr="001263B7">
              <w:rPr>
                <w:rFonts w:eastAsia="Garamond" w:cs="Garamond"/>
                <w:bCs/>
                <w:sz w:val="24"/>
                <w:szCs w:val="28"/>
              </w:rPr>
              <w:t>Tablett täckt med en pH-känslig polymer</w:t>
            </w:r>
          </w:p>
        </w:tc>
        <w:tc>
          <w:tcPr>
            <w:tcW w:w="2693" w:type="dxa"/>
          </w:tcPr>
          <w:p w14:paraId="6F380E81" w14:textId="77777777" w:rsidR="00702564" w:rsidRPr="001263B7" w:rsidRDefault="00702564" w:rsidP="00632FCC">
            <w:pPr>
              <w:rPr>
                <w:rFonts w:eastAsia="Garamond" w:cs="Garamond"/>
                <w:bCs/>
                <w:sz w:val="24"/>
                <w:szCs w:val="28"/>
              </w:rPr>
            </w:pPr>
            <w:r w:rsidRPr="001263B7">
              <w:rPr>
                <w:rFonts w:eastAsia="Garamond" w:cs="Garamond"/>
                <w:bCs/>
                <w:sz w:val="24"/>
                <w:szCs w:val="28"/>
              </w:rPr>
              <w:t xml:space="preserve">När pH är över </w:t>
            </w:r>
            <w:r>
              <w:rPr>
                <w:rFonts w:eastAsia="Garamond" w:cs="Garamond"/>
                <w:bCs/>
                <w:sz w:val="24"/>
                <w:szCs w:val="28"/>
              </w:rPr>
              <w:t>sju</w:t>
            </w:r>
            <w:r w:rsidRPr="001263B7">
              <w:rPr>
                <w:rFonts w:eastAsia="Garamond" w:cs="Garamond"/>
                <w:bCs/>
                <w:sz w:val="24"/>
                <w:szCs w:val="28"/>
              </w:rPr>
              <w:t>, t ex i terminala ileum och colon</w:t>
            </w:r>
          </w:p>
        </w:tc>
      </w:tr>
      <w:tr w:rsidR="00702564" w:rsidRPr="001263B7" w14:paraId="7B2025C3" w14:textId="77777777" w:rsidTr="00632FCC">
        <w:tc>
          <w:tcPr>
            <w:tcW w:w="1129" w:type="dxa"/>
          </w:tcPr>
          <w:p w14:paraId="671C09E2" w14:textId="77777777" w:rsidR="00702564" w:rsidRPr="001263B7" w:rsidRDefault="00702564" w:rsidP="00632FCC">
            <w:pPr>
              <w:rPr>
                <w:rFonts w:eastAsia="Garamond" w:cs="Garamond"/>
                <w:b/>
                <w:spacing w:val="-9"/>
                <w:sz w:val="24"/>
                <w:szCs w:val="28"/>
              </w:rPr>
            </w:pPr>
          </w:p>
        </w:tc>
        <w:tc>
          <w:tcPr>
            <w:tcW w:w="3119" w:type="dxa"/>
          </w:tcPr>
          <w:p w14:paraId="39B4094E" w14:textId="77777777" w:rsidR="00702564" w:rsidRPr="001263B7" w:rsidRDefault="00702564" w:rsidP="00632FCC">
            <w:pPr>
              <w:rPr>
                <w:rFonts w:eastAsia="Garamond" w:cs="Garamond"/>
                <w:b/>
                <w:spacing w:val="-9"/>
                <w:sz w:val="24"/>
                <w:szCs w:val="28"/>
              </w:rPr>
            </w:pPr>
            <w:r w:rsidRPr="001263B7">
              <w:rPr>
                <w:rFonts w:eastAsia="Garamond" w:cs="Garamond"/>
                <w:sz w:val="24"/>
                <w:szCs w:val="28"/>
              </w:rPr>
              <w:t>Mesalazin Orion (enterotablett)</w:t>
            </w:r>
          </w:p>
        </w:tc>
        <w:tc>
          <w:tcPr>
            <w:tcW w:w="2410" w:type="dxa"/>
          </w:tcPr>
          <w:p w14:paraId="4AD5C5E2" w14:textId="77777777" w:rsidR="00702564" w:rsidRPr="001263B7" w:rsidRDefault="00702564" w:rsidP="00632FCC">
            <w:pPr>
              <w:rPr>
                <w:rFonts w:eastAsia="Garamond" w:cs="Garamond"/>
                <w:sz w:val="24"/>
                <w:szCs w:val="28"/>
              </w:rPr>
            </w:pPr>
            <w:r w:rsidRPr="001263B7">
              <w:rPr>
                <w:rFonts w:eastAsia="Garamond" w:cs="Garamond"/>
                <w:bCs/>
                <w:sz w:val="24"/>
                <w:szCs w:val="28"/>
              </w:rPr>
              <w:t>Tablett täckt med en pH-känslig polymer</w:t>
            </w:r>
          </w:p>
        </w:tc>
        <w:tc>
          <w:tcPr>
            <w:tcW w:w="2693" w:type="dxa"/>
          </w:tcPr>
          <w:p w14:paraId="0615530F" w14:textId="77777777" w:rsidR="00702564" w:rsidRPr="001263B7" w:rsidRDefault="00702564" w:rsidP="00632FCC">
            <w:pPr>
              <w:rPr>
                <w:rFonts w:eastAsia="Garamond" w:cs="Garamond"/>
                <w:sz w:val="24"/>
                <w:szCs w:val="28"/>
              </w:rPr>
            </w:pPr>
            <w:r w:rsidRPr="001263B7">
              <w:rPr>
                <w:rFonts w:eastAsia="Garamond" w:cs="Garamond"/>
                <w:sz w:val="24"/>
                <w:szCs w:val="28"/>
              </w:rPr>
              <w:t>När pH är strax under sju, motsvarande det i proximala-distala ileum och colon</w:t>
            </w:r>
          </w:p>
        </w:tc>
      </w:tr>
      <w:tr w:rsidR="00702564" w:rsidRPr="001263B7" w14:paraId="68514CA1" w14:textId="77777777" w:rsidTr="00632FCC">
        <w:tc>
          <w:tcPr>
            <w:tcW w:w="1129" w:type="dxa"/>
          </w:tcPr>
          <w:p w14:paraId="1B559657" w14:textId="77777777" w:rsidR="00702564" w:rsidRPr="001263B7" w:rsidRDefault="00702564" w:rsidP="00632FCC">
            <w:pPr>
              <w:rPr>
                <w:rFonts w:eastAsia="Garamond" w:cs="Garamond"/>
                <w:b/>
                <w:spacing w:val="-9"/>
                <w:sz w:val="24"/>
                <w:szCs w:val="28"/>
              </w:rPr>
            </w:pPr>
          </w:p>
        </w:tc>
        <w:tc>
          <w:tcPr>
            <w:tcW w:w="3119" w:type="dxa"/>
          </w:tcPr>
          <w:p w14:paraId="3D753BAE" w14:textId="77777777" w:rsidR="00702564" w:rsidRPr="001263B7" w:rsidRDefault="00702564" w:rsidP="00632FCC">
            <w:pPr>
              <w:rPr>
                <w:rFonts w:eastAsia="Garamond" w:cs="Garamond"/>
                <w:b/>
                <w:spacing w:val="-9"/>
                <w:sz w:val="24"/>
                <w:szCs w:val="28"/>
              </w:rPr>
            </w:pPr>
            <w:r w:rsidRPr="001263B7">
              <w:rPr>
                <w:rFonts w:eastAsia="Garamond" w:cs="Garamond"/>
                <w:bCs/>
                <w:sz w:val="24"/>
                <w:szCs w:val="28"/>
              </w:rPr>
              <w:t>Mezavant</w:t>
            </w:r>
            <w:r w:rsidRPr="001263B7">
              <w:rPr>
                <w:rFonts w:eastAsia="Garamond" w:cs="Garamond"/>
                <w:b/>
                <w:sz w:val="24"/>
                <w:szCs w:val="28"/>
              </w:rPr>
              <w:t xml:space="preserve"> </w:t>
            </w:r>
            <w:r w:rsidRPr="001263B7">
              <w:rPr>
                <w:rFonts w:eastAsia="Garamond" w:cs="Garamond"/>
                <w:sz w:val="24"/>
                <w:szCs w:val="28"/>
              </w:rPr>
              <w:t>(enterodepottablett)</w:t>
            </w:r>
          </w:p>
        </w:tc>
        <w:tc>
          <w:tcPr>
            <w:tcW w:w="2410" w:type="dxa"/>
          </w:tcPr>
          <w:p w14:paraId="557F6544" w14:textId="77777777" w:rsidR="00702564" w:rsidRPr="001263B7" w:rsidRDefault="00702564" w:rsidP="00632FCC">
            <w:pPr>
              <w:rPr>
                <w:rFonts w:eastAsia="Garamond" w:cs="Garamond"/>
                <w:bCs/>
                <w:sz w:val="24"/>
                <w:szCs w:val="28"/>
              </w:rPr>
            </w:pPr>
            <w:r w:rsidRPr="001263B7">
              <w:rPr>
                <w:rFonts w:eastAsia="Garamond" w:cs="Garamond"/>
                <w:bCs/>
                <w:sz w:val="24"/>
                <w:szCs w:val="28"/>
              </w:rPr>
              <w:t>Tablett täckt med en pH-känslig polymer</w:t>
            </w:r>
          </w:p>
        </w:tc>
        <w:tc>
          <w:tcPr>
            <w:tcW w:w="2693" w:type="dxa"/>
          </w:tcPr>
          <w:p w14:paraId="135CC07E" w14:textId="77777777" w:rsidR="00702564" w:rsidRPr="001263B7" w:rsidRDefault="00702564" w:rsidP="00632FCC">
            <w:pPr>
              <w:rPr>
                <w:rFonts w:eastAsia="Garamond" w:cs="Garamond"/>
                <w:bCs/>
                <w:sz w:val="24"/>
                <w:szCs w:val="28"/>
              </w:rPr>
            </w:pPr>
            <w:r w:rsidRPr="001263B7">
              <w:rPr>
                <w:rFonts w:eastAsia="Garamond" w:cs="Garamond"/>
                <w:bCs/>
                <w:sz w:val="24"/>
                <w:szCs w:val="28"/>
              </w:rPr>
              <w:t xml:space="preserve">När pH är omkring </w:t>
            </w:r>
            <w:r>
              <w:rPr>
                <w:rFonts w:eastAsia="Garamond" w:cs="Garamond"/>
                <w:bCs/>
                <w:sz w:val="24"/>
                <w:szCs w:val="28"/>
              </w:rPr>
              <w:t xml:space="preserve">sju </w:t>
            </w:r>
          </w:p>
        </w:tc>
      </w:tr>
      <w:tr w:rsidR="00702564" w:rsidRPr="001263B7" w14:paraId="70F609BB" w14:textId="77777777" w:rsidTr="00632FCC">
        <w:tc>
          <w:tcPr>
            <w:tcW w:w="1129" w:type="dxa"/>
          </w:tcPr>
          <w:p w14:paraId="11F5B8CC" w14:textId="77777777" w:rsidR="00702564" w:rsidRPr="001263B7" w:rsidRDefault="00702564" w:rsidP="00632FCC">
            <w:pPr>
              <w:rPr>
                <w:rFonts w:eastAsia="Garamond" w:cs="Garamond"/>
                <w:b/>
                <w:spacing w:val="-9"/>
                <w:sz w:val="24"/>
                <w:szCs w:val="28"/>
              </w:rPr>
            </w:pPr>
          </w:p>
        </w:tc>
        <w:tc>
          <w:tcPr>
            <w:tcW w:w="3119" w:type="dxa"/>
          </w:tcPr>
          <w:p w14:paraId="1ABF2AB3" w14:textId="77777777" w:rsidR="00702564" w:rsidRPr="001263B7" w:rsidRDefault="00702564" w:rsidP="00632FCC">
            <w:pPr>
              <w:rPr>
                <w:rFonts w:eastAsia="Garamond" w:cs="Garamond"/>
                <w:sz w:val="24"/>
                <w:szCs w:val="28"/>
              </w:rPr>
            </w:pPr>
            <w:r w:rsidRPr="001263B7">
              <w:rPr>
                <w:rFonts w:eastAsia="Garamond" w:cs="Garamond"/>
                <w:bCs/>
                <w:sz w:val="24"/>
                <w:szCs w:val="28"/>
              </w:rPr>
              <w:t>Pentasa</w:t>
            </w:r>
            <w:r w:rsidRPr="001263B7">
              <w:rPr>
                <w:rFonts w:eastAsia="Garamond" w:cs="Garamond"/>
                <w:b/>
                <w:sz w:val="24"/>
                <w:szCs w:val="28"/>
              </w:rPr>
              <w:t xml:space="preserve"> </w:t>
            </w:r>
            <w:r w:rsidRPr="001263B7">
              <w:rPr>
                <w:rFonts w:eastAsia="Garamond" w:cs="Garamond"/>
                <w:sz w:val="24"/>
                <w:szCs w:val="28"/>
              </w:rPr>
              <w:t>(depottablett)</w:t>
            </w:r>
          </w:p>
          <w:p w14:paraId="32D5DE88" w14:textId="77777777" w:rsidR="00702564" w:rsidRPr="001263B7" w:rsidRDefault="00702564" w:rsidP="00632FCC">
            <w:pPr>
              <w:rPr>
                <w:rFonts w:eastAsia="Garamond" w:cs="Garamond"/>
                <w:b/>
                <w:spacing w:val="-9"/>
                <w:sz w:val="24"/>
                <w:szCs w:val="28"/>
              </w:rPr>
            </w:pPr>
          </w:p>
        </w:tc>
        <w:tc>
          <w:tcPr>
            <w:tcW w:w="2410" w:type="dxa"/>
          </w:tcPr>
          <w:p w14:paraId="51C6E883" w14:textId="77777777" w:rsidR="00702564" w:rsidRPr="001263B7" w:rsidRDefault="00702564" w:rsidP="00632FCC">
            <w:pPr>
              <w:rPr>
                <w:rFonts w:eastAsia="Garamond" w:cs="Garamond"/>
                <w:bCs/>
                <w:sz w:val="24"/>
                <w:szCs w:val="28"/>
              </w:rPr>
            </w:pPr>
            <w:r w:rsidRPr="001263B7">
              <w:rPr>
                <w:rFonts w:eastAsia="Garamond" w:cs="Garamond"/>
                <w:bCs/>
                <w:sz w:val="24"/>
                <w:szCs w:val="28"/>
              </w:rPr>
              <w:t>Tablett bestående av dragerat mikrogranulat av mesalazin</w:t>
            </w:r>
          </w:p>
        </w:tc>
        <w:tc>
          <w:tcPr>
            <w:tcW w:w="2693" w:type="dxa"/>
            <w:vMerge w:val="restart"/>
          </w:tcPr>
          <w:p w14:paraId="56D2D303" w14:textId="77777777" w:rsidR="00702564" w:rsidRPr="001263B7" w:rsidRDefault="00702564" w:rsidP="00632FCC">
            <w:pPr>
              <w:rPr>
                <w:rFonts w:eastAsia="Garamond" w:cs="Garamond"/>
                <w:bCs/>
                <w:sz w:val="24"/>
                <w:szCs w:val="28"/>
              </w:rPr>
            </w:pPr>
            <w:r w:rsidRPr="001263B7">
              <w:rPr>
                <w:rFonts w:eastAsia="Garamond" w:cs="Garamond"/>
                <w:bCs/>
                <w:sz w:val="24"/>
                <w:szCs w:val="28"/>
              </w:rPr>
              <w:t>Mesalazin frisätts successivt från mikrogranulerna genom hela magtarmkanalen vid alla pH-förhållanden i tarmen</w:t>
            </w:r>
          </w:p>
        </w:tc>
      </w:tr>
      <w:tr w:rsidR="00702564" w:rsidRPr="001263B7" w14:paraId="197FEE52" w14:textId="77777777" w:rsidTr="00632FCC">
        <w:tc>
          <w:tcPr>
            <w:tcW w:w="1129" w:type="dxa"/>
          </w:tcPr>
          <w:p w14:paraId="29E03D80" w14:textId="77777777" w:rsidR="00702564" w:rsidRPr="001263B7" w:rsidRDefault="00702564" w:rsidP="00632FCC">
            <w:pPr>
              <w:rPr>
                <w:rFonts w:eastAsia="Garamond" w:cs="Garamond"/>
                <w:b/>
                <w:spacing w:val="-9"/>
                <w:sz w:val="24"/>
                <w:szCs w:val="28"/>
              </w:rPr>
            </w:pPr>
          </w:p>
        </w:tc>
        <w:tc>
          <w:tcPr>
            <w:tcW w:w="3119" w:type="dxa"/>
          </w:tcPr>
          <w:p w14:paraId="1AA42700" w14:textId="77777777" w:rsidR="00702564" w:rsidRPr="001263B7" w:rsidRDefault="00702564" w:rsidP="00632FCC">
            <w:pPr>
              <w:rPr>
                <w:rFonts w:eastAsia="Garamond" w:cs="Garamond"/>
                <w:bCs/>
                <w:sz w:val="24"/>
                <w:szCs w:val="28"/>
              </w:rPr>
            </w:pPr>
            <w:r w:rsidRPr="001263B7">
              <w:rPr>
                <w:rFonts w:eastAsia="Garamond" w:cs="Garamond"/>
                <w:sz w:val="24"/>
                <w:szCs w:val="28"/>
              </w:rPr>
              <w:t>Pentasa Sachet (depotgranulat)</w:t>
            </w:r>
          </w:p>
        </w:tc>
        <w:tc>
          <w:tcPr>
            <w:tcW w:w="2410" w:type="dxa"/>
          </w:tcPr>
          <w:p w14:paraId="2678FA20" w14:textId="77777777" w:rsidR="00702564" w:rsidRPr="001263B7" w:rsidRDefault="00702564" w:rsidP="00632FCC">
            <w:pPr>
              <w:rPr>
                <w:rFonts w:eastAsia="Garamond" w:cs="Garamond"/>
                <w:bCs/>
                <w:sz w:val="24"/>
                <w:szCs w:val="28"/>
              </w:rPr>
            </w:pPr>
            <w:r w:rsidRPr="001263B7">
              <w:rPr>
                <w:rFonts w:eastAsia="Garamond" w:cs="Garamond"/>
                <w:bCs/>
                <w:sz w:val="24"/>
                <w:szCs w:val="28"/>
              </w:rPr>
              <w:t>Dragerat mikrogranulat av mesalazin</w:t>
            </w:r>
          </w:p>
        </w:tc>
        <w:tc>
          <w:tcPr>
            <w:tcW w:w="2693" w:type="dxa"/>
            <w:vMerge/>
          </w:tcPr>
          <w:p w14:paraId="0A207046" w14:textId="77777777" w:rsidR="00702564" w:rsidRPr="001263B7" w:rsidRDefault="00702564" w:rsidP="00632FCC">
            <w:pPr>
              <w:rPr>
                <w:rFonts w:eastAsia="Garamond" w:cs="Garamond"/>
                <w:bCs/>
                <w:sz w:val="24"/>
                <w:szCs w:val="28"/>
              </w:rPr>
            </w:pPr>
          </w:p>
        </w:tc>
      </w:tr>
    </w:tbl>
    <w:p w14:paraId="5BE67ECD" w14:textId="77777777" w:rsidR="00702564" w:rsidRDefault="00702564" w:rsidP="00702564">
      <w:pPr>
        <w:rPr>
          <w:spacing w:val="-1"/>
          <w:sz w:val="24"/>
          <w:szCs w:val="24"/>
        </w:rPr>
      </w:pPr>
    </w:p>
    <w:p w14:paraId="349B7576" w14:textId="77777777" w:rsidR="00702564" w:rsidRDefault="00702564" w:rsidP="00702564">
      <w:pPr>
        <w:rPr>
          <w:spacing w:val="-1"/>
          <w:sz w:val="24"/>
          <w:szCs w:val="24"/>
        </w:rPr>
      </w:pPr>
      <w:r>
        <w:rPr>
          <w:spacing w:val="-1"/>
          <w:sz w:val="24"/>
          <w:szCs w:val="24"/>
        </w:rPr>
        <w:t xml:space="preserve">För att underlätta bedömningen vid ileokoloskopi bör peroral/rektal kortisonbehandling eller </w:t>
      </w:r>
      <w:r>
        <w:rPr>
          <w:spacing w:val="-1"/>
          <w:sz w:val="24"/>
          <w:szCs w:val="24"/>
        </w:rPr>
        <w:br/>
        <w:t xml:space="preserve">5-ASA behandling undvikas fram till dess att ileokoloskopi genomförs. </w:t>
      </w:r>
      <w:r>
        <w:rPr>
          <w:spacing w:val="-1"/>
          <w:sz w:val="24"/>
          <w:szCs w:val="24"/>
        </w:rPr>
        <w:br/>
        <w:t>Kontakta vid behov gastroenterologkonsult.</w:t>
      </w:r>
      <w:r>
        <w:rPr>
          <w:spacing w:val="-1"/>
          <w:sz w:val="24"/>
          <w:szCs w:val="24"/>
        </w:rPr>
        <w:br/>
      </w:r>
    </w:p>
    <w:p w14:paraId="4AF5F46D" w14:textId="77777777" w:rsidR="00702564" w:rsidRDefault="00702564" w:rsidP="00702564">
      <w:pPr>
        <w:rPr>
          <w:color w:val="000000"/>
          <w:sz w:val="24"/>
          <w:szCs w:val="24"/>
        </w:rPr>
      </w:pPr>
      <w:r w:rsidRPr="00AA3868">
        <w:rPr>
          <w:spacing w:val="-1"/>
          <w:sz w:val="24"/>
          <w:szCs w:val="24"/>
        </w:rPr>
        <w:t>P</w:t>
      </w:r>
      <w:r w:rsidRPr="00AA3868">
        <w:rPr>
          <w:sz w:val="24"/>
          <w:szCs w:val="24"/>
        </w:rPr>
        <w:t>a</w:t>
      </w:r>
      <w:r w:rsidRPr="00AA3868">
        <w:rPr>
          <w:spacing w:val="-1"/>
          <w:sz w:val="24"/>
          <w:szCs w:val="24"/>
        </w:rPr>
        <w:t>t</w:t>
      </w:r>
      <w:r w:rsidRPr="00AA3868">
        <w:rPr>
          <w:sz w:val="24"/>
          <w:szCs w:val="24"/>
        </w:rPr>
        <w:t>i</w:t>
      </w:r>
      <w:r w:rsidRPr="00AA3868">
        <w:rPr>
          <w:spacing w:val="-2"/>
          <w:sz w:val="24"/>
          <w:szCs w:val="24"/>
        </w:rPr>
        <w:t>e</w:t>
      </w:r>
      <w:r w:rsidRPr="00AA3868">
        <w:rPr>
          <w:spacing w:val="-3"/>
          <w:sz w:val="24"/>
          <w:szCs w:val="24"/>
        </w:rPr>
        <w:t>nt</w:t>
      </w:r>
      <w:r w:rsidRPr="00AA3868">
        <w:rPr>
          <w:sz w:val="24"/>
          <w:szCs w:val="24"/>
        </w:rPr>
        <w:t>er</w:t>
      </w:r>
      <w:r w:rsidRPr="00AA3868">
        <w:rPr>
          <w:spacing w:val="-19"/>
          <w:sz w:val="24"/>
          <w:szCs w:val="24"/>
        </w:rPr>
        <w:t xml:space="preserve"> </w:t>
      </w:r>
      <w:r w:rsidRPr="00AA3868">
        <w:rPr>
          <w:spacing w:val="-3"/>
          <w:sz w:val="24"/>
          <w:szCs w:val="24"/>
        </w:rPr>
        <w:t>m</w:t>
      </w:r>
      <w:r w:rsidRPr="00AA3868">
        <w:rPr>
          <w:sz w:val="24"/>
          <w:szCs w:val="24"/>
        </w:rPr>
        <w:t>ed</w:t>
      </w:r>
      <w:r w:rsidRPr="00AA3868">
        <w:rPr>
          <w:spacing w:val="-18"/>
          <w:sz w:val="24"/>
          <w:szCs w:val="24"/>
        </w:rPr>
        <w:t xml:space="preserve"> </w:t>
      </w:r>
      <w:r w:rsidRPr="00AA3868">
        <w:rPr>
          <w:spacing w:val="-1"/>
          <w:sz w:val="24"/>
          <w:szCs w:val="24"/>
        </w:rPr>
        <w:t>n</w:t>
      </w:r>
      <w:r w:rsidRPr="00AA3868">
        <w:rPr>
          <w:sz w:val="24"/>
          <w:szCs w:val="24"/>
        </w:rPr>
        <w:t>yd</w:t>
      </w:r>
      <w:r w:rsidRPr="00AA3868">
        <w:rPr>
          <w:spacing w:val="-5"/>
          <w:sz w:val="24"/>
          <w:szCs w:val="24"/>
        </w:rPr>
        <w:t>e</w:t>
      </w:r>
      <w:r w:rsidRPr="00AA3868">
        <w:rPr>
          <w:sz w:val="24"/>
          <w:szCs w:val="24"/>
        </w:rPr>
        <w:t>b</w:t>
      </w:r>
      <w:r w:rsidRPr="00AA3868">
        <w:rPr>
          <w:spacing w:val="-2"/>
          <w:sz w:val="24"/>
          <w:szCs w:val="24"/>
        </w:rPr>
        <w:t>u</w:t>
      </w:r>
      <w:r w:rsidRPr="00AA3868">
        <w:rPr>
          <w:spacing w:val="-1"/>
          <w:sz w:val="24"/>
          <w:szCs w:val="24"/>
        </w:rPr>
        <w:t>t</w:t>
      </w:r>
      <w:r w:rsidRPr="00AA3868">
        <w:rPr>
          <w:sz w:val="24"/>
          <w:szCs w:val="24"/>
        </w:rPr>
        <w:t>e</w:t>
      </w:r>
      <w:r w:rsidRPr="00AA3868">
        <w:rPr>
          <w:spacing w:val="-9"/>
          <w:sz w:val="24"/>
          <w:szCs w:val="24"/>
        </w:rPr>
        <w:t>r</w:t>
      </w:r>
      <w:r w:rsidRPr="00AA3868">
        <w:rPr>
          <w:spacing w:val="-7"/>
          <w:sz w:val="24"/>
          <w:szCs w:val="24"/>
        </w:rPr>
        <w:t>a</w:t>
      </w:r>
      <w:r w:rsidRPr="00AA3868">
        <w:rPr>
          <w:sz w:val="24"/>
          <w:szCs w:val="24"/>
        </w:rPr>
        <w:t>d</w:t>
      </w:r>
      <w:r w:rsidRPr="00AA3868">
        <w:rPr>
          <w:spacing w:val="-15"/>
          <w:sz w:val="24"/>
          <w:szCs w:val="24"/>
        </w:rPr>
        <w:t xml:space="preserve"> </w:t>
      </w:r>
      <w:r w:rsidRPr="00AA3868">
        <w:rPr>
          <w:sz w:val="24"/>
          <w:szCs w:val="24"/>
        </w:rPr>
        <w:t>in</w:t>
      </w:r>
      <w:r w:rsidRPr="00AA3868">
        <w:rPr>
          <w:spacing w:val="-1"/>
          <w:sz w:val="24"/>
          <w:szCs w:val="24"/>
        </w:rPr>
        <w:t>f</w:t>
      </w:r>
      <w:r w:rsidRPr="00AA3868">
        <w:rPr>
          <w:sz w:val="24"/>
          <w:szCs w:val="24"/>
        </w:rPr>
        <w:t>la</w:t>
      </w:r>
      <w:r w:rsidRPr="00AA3868">
        <w:rPr>
          <w:spacing w:val="-1"/>
          <w:sz w:val="24"/>
          <w:szCs w:val="24"/>
        </w:rPr>
        <w:t>m</w:t>
      </w:r>
      <w:r w:rsidRPr="00AA3868">
        <w:rPr>
          <w:spacing w:val="-11"/>
          <w:sz w:val="24"/>
          <w:szCs w:val="24"/>
        </w:rPr>
        <w:t>m</w:t>
      </w:r>
      <w:r w:rsidRPr="00AA3868">
        <w:rPr>
          <w:sz w:val="24"/>
          <w:szCs w:val="24"/>
        </w:rPr>
        <w:t>a</w:t>
      </w:r>
      <w:r w:rsidRPr="00AA3868">
        <w:rPr>
          <w:spacing w:val="-1"/>
          <w:sz w:val="24"/>
          <w:szCs w:val="24"/>
        </w:rPr>
        <w:t>to</w:t>
      </w:r>
      <w:r w:rsidRPr="00AA3868">
        <w:rPr>
          <w:spacing w:val="-9"/>
          <w:sz w:val="24"/>
          <w:szCs w:val="24"/>
        </w:rPr>
        <w:t>r</w:t>
      </w:r>
      <w:r w:rsidRPr="00AA3868">
        <w:rPr>
          <w:spacing w:val="-3"/>
          <w:sz w:val="24"/>
          <w:szCs w:val="24"/>
        </w:rPr>
        <w:t>i</w:t>
      </w:r>
      <w:r w:rsidRPr="00AA3868">
        <w:rPr>
          <w:spacing w:val="-7"/>
          <w:sz w:val="24"/>
          <w:szCs w:val="24"/>
        </w:rPr>
        <w:t>s</w:t>
      </w:r>
      <w:r w:rsidRPr="00AA3868">
        <w:rPr>
          <w:sz w:val="24"/>
          <w:szCs w:val="24"/>
        </w:rPr>
        <w:t>k</w:t>
      </w:r>
      <w:r w:rsidRPr="00AA3868">
        <w:rPr>
          <w:spacing w:val="-12"/>
          <w:sz w:val="24"/>
          <w:szCs w:val="24"/>
        </w:rPr>
        <w:t xml:space="preserve"> </w:t>
      </w:r>
      <w:r w:rsidRPr="00AA3868">
        <w:rPr>
          <w:spacing w:val="-3"/>
          <w:sz w:val="24"/>
          <w:szCs w:val="24"/>
        </w:rPr>
        <w:t>t</w:t>
      </w:r>
      <w:r w:rsidRPr="00AA3868">
        <w:rPr>
          <w:sz w:val="24"/>
          <w:szCs w:val="24"/>
        </w:rPr>
        <w:t>a</w:t>
      </w:r>
      <w:r w:rsidRPr="00AA3868">
        <w:rPr>
          <w:spacing w:val="-1"/>
          <w:sz w:val="24"/>
          <w:szCs w:val="24"/>
        </w:rPr>
        <w:t>r</w:t>
      </w:r>
      <w:r w:rsidRPr="00AA3868">
        <w:rPr>
          <w:spacing w:val="-3"/>
          <w:sz w:val="24"/>
          <w:szCs w:val="24"/>
        </w:rPr>
        <w:t>m</w:t>
      </w:r>
      <w:r w:rsidRPr="00AA3868">
        <w:rPr>
          <w:spacing w:val="-7"/>
          <w:sz w:val="24"/>
          <w:szCs w:val="24"/>
        </w:rPr>
        <w:t>s</w:t>
      </w:r>
      <w:r w:rsidRPr="00AA3868">
        <w:rPr>
          <w:sz w:val="24"/>
          <w:szCs w:val="24"/>
        </w:rPr>
        <w:t>juk</w:t>
      </w:r>
      <w:r w:rsidRPr="00AA3868">
        <w:rPr>
          <w:spacing w:val="-2"/>
          <w:sz w:val="24"/>
          <w:szCs w:val="24"/>
        </w:rPr>
        <w:t>d</w:t>
      </w:r>
      <w:r w:rsidRPr="00AA3868">
        <w:rPr>
          <w:spacing w:val="-1"/>
          <w:sz w:val="24"/>
          <w:szCs w:val="24"/>
        </w:rPr>
        <w:t>o</w:t>
      </w:r>
      <w:r w:rsidRPr="00AA3868">
        <w:rPr>
          <w:sz w:val="24"/>
          <w:szCs w:val="24"/>
        </w:rPr>
        <w:t>m</w:t>
      </w:r>
      <w:r w:rsidRPr="00AA3868">
        <w:rPr>
          <w:spacing w:val="-16"/>
          <w:sz w:val="24"/>
          <w:szCs w:val="24"/>
        </w:rPr>
        <w:t xml:space="preserve"> </w:t>
      </w:r>
      <w:r w:rsidRPr="00AA3868">
        <w:rPr>
          <w:spacing w:val="-1"/>
          <w:sz w:val="24"/>
          <w:szCs w:val="24"/>
        </w:rPr>
        <w:t>(I</w:t>
      </w:r>
      <w:r w:rsidRPr="00AA3868">
        <w:rPr>
          <w:spacing w:val="-7"/>
          <w:sz w:val="24"/>
          <w:szCs w:val="24"/>
        </w:rPr>
        <w:t>B</w:t>
      </w:r>
      <w:r w:rsidRPr="00AA3868">
        <w:rPr>
          <w:spacing w:val="-1"/>
          <w:sz w:val="24"/>
          <w:szCs w:val="24"/>
        </w:rPr>
        <w:t>D</w:t>
      </w:r>
      <w:r w:rsidRPr="00AA3868">
        <w:rPr>
          <w:sz w:val="24"/>
          <w:szCs w:val="24"/>
        </w:rPr>
        <w:t>)</w:t>
      </w:r>
      <w:r w:rsidRPr="00AA3868">
        <w:rPr>
          <w:spacing w:val="-16"/>
          <w:sz w:val="24"/>
          <w:szCs w:val="24"/>
        </w:rPr>
        <w:t xml:space="preserve"> </w:t>
      </w:r>
      <w:r w:rsidRPr="00AA3868">
        <w:rPr>
          <w:spacing w:val="-7"/>
          <w:sz w:val="24"/>
          <w:szCs w:val="24"/>
        </w:rPr>
        <w:t>s</w:t>
      </w:r>
      <w:r w:rsidRPr="00AA3868">
        <w:rPr>
          <w:spacing w:val="-1"/>
          <w:sz w:val="24"/>
          <w:szCs w:val="24"/>
        </w:rPr>
        <w:t>ö</w:t>
      </w:r>
      <w:r w:rsidRPr="00AA3868">
        <w:rPr>
          <w:spacing w:val="-2"/>
          <w:sz w:val="24"/>
          <w:szCs w:val="24"/>
        </w:rPr>
        <w:t>k</w:t>
      </w:r>
      <w:r w:rsidRPr="00AA3868">
        <w:rPr>
          <w:sz w:val="24"/>
          <w:szCs w:val="24"/>
        </w:rPr>
        <w:t>er</w:t>
      </w:r>
      <w:r w:rsidRPr="00AA3868">
        <w:rPr>
          <w:spacing w:val="-16"/>
          <w:sz w:val="24"/>
          <w:szCs w:val="24"/>
        </w:rPr>
        <w:t xml:space="preserve"> </w:t>
      </w:r>
      <w:r w:rsidRPr="00AA3868">
        <w:rPr>
          <w:sz w:val="24"/>
          <w:szCs w:val="24"/>
        </w:rPr>
        <w:t>i</w:t>
      </w:r>
      <w:r w:rsidRPr="00AA3868">
        <w:rPr>
          <w:spacing w:val="-13"/>
          <w:sz w:val="24"/>
          <w:szCs w:val="24"/>
        </w:rPr>
        <w:t xml:space="preserve"> </w:t>
      </w:r>
      <w:r w:rsidRPr="00AA3868">
        <w:rPr>
          <w:sz w:val="24"/>
          <w:szCs w:val="24"/>
        </w:rPr>
        <w:t>de</w:t>
      </w:r>
      <w:r w:rsidRPr="00AA3868">
        <w:rPr>
          <w:spacing w:val="-12"/>
          <w:sz w:val="24"/>
          <w:szCs w:val="24"/>
        </w:rPr>
        <w:t xml:space="preserve"> </w:t>
      </w:r>
      <w:r w:rsidRPr="00AA3868">
        <w:rPr>
          <w:spacing w:val="-1"/>
          <w:sz w:val="24"/>
          <w:szCs w:val="24"/>
        </w:rPr>
        <w:t>f</w:t>
      </w:r>
      <w:r w:rsidRPr="00AA3868">
        <w:rPr>
          <w:sz w:val="24"/>
          <w:szCs w:val="24"/>
        </w:rPr>
        <w:t>l</w:t>
      </w:r>
      <w:r w:rsidRPr="00AA3868">
        <w:rPr>
          <w:spacing w:val="-2"/>
          <w:sz w:val="24"/>
          <w:szCs w:val="24"/>
        </w:rPr>
        <w:t>e</w:t>
      </w:r>
      <w:r w:rsidRPr="00AA3868">
        <w:rPr>
          <w:spacing w:val="-7"/>
          <w:sz w:val="24"/>
          <w:szCs w:val="24"/>
        </w:rPr>
        <w:t>s</w:t>
      </w:r>
      <w:r w:rsidRPr="00AA3868">
        <w:rPr>
          <w:spacing w:val="-3"/>
          <w:sz w:val="24"/>
          <w:szCs w:val="24"/>
        </w:rPr>
        <w:t>t</w:t>
      </w:r>
      <w:r w:rsidRPr="00AA3868">
        <w:rPr>
          <w:sz w:val="24"/>
          <w:szCs w:val="24"/>
        </w:rPr>
        <w:t>a</w:t>
      </w:r>
      <w:r w:rsidRPr="00AA3868">
        <w:rPr>
          <w:spacing w:val="-15"/>
          <w:sz w:val="24"/>
          <w:szCs w:val="24"/>
        </w:rPr>
        <w:t xml:space="preserve"> </w:t>
      </w:r>
      <w:r w:rsidRPr="00AA3868">
        <w:rPr>
          <w:spacing w:val="-1"/>
          <w:sz w:val="24"/>
          <w:szCs w:val="24"/>
        </w:rPr>
        <w:t>f</w:t>
      </w:r>
      <w:r w:rsidRPr="00AA3868">
        <w:rPr>
          <w:sz w:val="24"/>
          <w:szCs w:val="24"/>
        </w:rPr>
        <w:t>all</w:t>
      </w:r>
      <w:r w:rsidRPr="00AA3868">
        <w:rPr>
          <w:spacing w:val="-15"/>
          <w:sz w:val="24"/>
          <w:szCs w:val="24"/>
        </w:rPr>
        <w:t xml:space="preserve"> </w:t>
      </w:r>
      <w:r w:rsidRPr="00AA3868">
        <w:rPr>
          <w:spacing w:val="-1"/>
          <w:sz w:val="24"/>
          <w:szCs w:val="24"/>
        </w:rPr>
        <w:t>f</w:t>
      </w:r>
      <w:r w:rsidRPr="00AA3868">
        <w:rPr>
          <w:sz w:val="24"/>
          <w:szCs w:val="24"/>
        </w:rPr>
        <w:t>ö</w:t>
      </w:r>
      <w:r w:rsidRPr="00AA3868">
        <w:rPr>
          <w:spacing w:val="-6"/>
          <w:sz w:val="24"/>
          <w:szCs w:val="24"/>
        </w:rPr>
        <w:t>r</w:t>
      </w:r>
      <w:r w:rsidRPr="00AA3868">
        <w:rPr>
          <w:spacing w:val="-7"/>
          <w:sz w:val="24"/>
          <w:szCs w:val="24"/>
        </w:rPr>
        <w:t>s</w:t>
      </w:r>
      <w:r w:rsidRPr="00AA3868">
        <w:rPr>
          <w:sz w:val="24"/>
          <w:szCs w:val="24"/>
        </w:rPr>
        <w:t>t</w:t>
      </w:r>
      <w:r w:rsidRPr="00AA3868">
        <w:rPr>
          <w:spacing w:val="-16"/>
          <w:sz w:val="24"/>
          <w:szCs w:val="24"/>
        </w:rPr>
        <w:t xml:space="preserve"> </w:t>
      </w:r>
      <w:r w:rsidRPr="00AA3868">
        <w:rPr>
          <w:sz w:val="24"/>
          <w:szCs w:val="24"/>
        </w:rPr>
        <w:t>via p</w:t>
      </w:r>
      <w:r w:rsidRPr="00AA3868">
        <w:rPr>
          <w:spacing w:val="-1"/>
          <w:sz w:val="24"/>
          <w:szCs w:val="24"/>
        </w:rPr>
        <w:t>r</w:t>
      </w:r>
      <w:r w:rsidRPr="00AA3868">
        <w:rPr>
          <w:sz w:val="24"/>
          <w:szCs w:val="24"/>
        </w:rPr>
        <w:t>i</w:t>
      </w:r>
      <w:r w:rsidRPr="00AA3868">
        <w:rPr>
          <w:spacing w:val="-1"/>
          <w:sz w:val="24"/>
          <w:szCs w:val="24"/>
        </w:rPr>
        <w:t>m</w:t>
      </w:r>
      <w:r w:rsidRPr="00AA3868">
        <w:rPr>
          <w:sz w:val="24"/>
          <w:szCs w:val="24"/>
        </w:rPr>
        <w:t>ä</w:t>
      </w:r>
      <w:r w:rsidRPr="00AA3868">
        <w:rPr>
          <w:spacing w:val="-1"/>
          <w:sz w:val="24"/>
          <w:szCs w:val="24"/>
        </w:rPr>
        <w:t>r</w:t>
      </w:r>
      <w:r w:rsidRPr="00AA3868">
        <w:rPr>
          <w:spacing w:val="-8"/>
          <w:sz w:val="24"/>
          <w:szCs w:val="24"/>
        </w:rPr>
        <w:t>v</w:t>
      </w:r>
      <w:r w:rsidRPr="00AA3868">
        <w:rPr>
          <w:sz w:val="24"/>
          <w:szCs w:val="24"/>
        </w:rPr>
        <w:t>å</w:t>
      </w:r>
      <w:r w:rsidRPr="00AA3868">
        <w:rPr>
          <w:spacing w:val="-1"/>
          <w:sz w:val="24"/>
          <w:szCs w:val="24"/>
        </w:rPr>
        <w:t>r</w:t>
      </w:r>
      <w:r w:rsidRPr="00AA3868">
        <w:rPr>
          <w:spacing w:val="-3"/>
          <w:sz w:val="24"/>
          <w:szCs w:val="24"/>
        </w:rPr>
        <w:t>d</w:t>
      </w:r>
      <w:r w:rsidRPr="00AA3868">
        <w:rPr>
          <w:spacing w:val="-2"/>
          <w:sz w:val="24"/>
          <w:szCs w:val="24"/>
        </w:rPr>
        <w:t>e</w:t>
      </w:r>
      <w:r w:rsidRPr="00AA3868">
        <w:rPr>
          <w:spacing w:val="-1"/>
          <w:sz w:val="24"/>
          <w:szCs w:val="24"/>
        </w:rPr>
        <w:t>n</w:t>
      </w:r>
      <w:r w:rsidRPr="00AA3868">
        <w:rPr>
          <w:sz w:val="24"/>
          <w:szCs w:val="24"/>
        </w:rPr>
        <w:t>.</w:t>
      </w:r>
      <w:r w:rsidRPr="00AA3868">
        <w:rPr>
          <w:spacing w:val="-12"/>
          <w:sz w:val="24"/>
          <w:szCs w:val="24"/>
        </w:rPr>
        <w:t xml:space="preserve"> </w:t>
      </w:r>
      <w:r w:rsidRPr="00AA3868">
        <w:rPr>
          <w:spacing w:val="-1"/>
          <w:sz w:val="24"/>
          <w:szCs w:val="24"/>
        </w:rPr>
        <w:t>D</w:t>
      </w:r>
      <w:r w:rsidRPr="00AA3868">
        <w:rPr>
          <w:sz w:val="24"/>
          <w:szCs w:val="24"/>
        </w:rPr>
        <w:t>et</w:t>
      </w:r>
      <w:r w:rsidRPr="00AA3868">
        <w:rPr>
          <w:spacing w:val="-14"/>
          <w:sz w:val="24"/>
          <w:szCs w:val="24"/>
        </w:rPr>
        <w:t xml:space="preserve"> </w:t>
      </w:r>
      <w:r w:rsidRPr="00AA3868">
        <w:rPr>
          <w:sz w:val="24"/>
          <w:szCs w:val="24"/>
        </w:rPr>
        <w:t>är</w:t>
      </w:r>
      <w:r w:rsidRPr="00AA3868">
        <w:rPr>
          <w:spacing w:val="-10"/>
          <w:sz w:val="24"/>
          <w:szCs w:val="24"/>
        </w:rPr>
        <w:t xml:space="preserve"> </w:t>
      </w:r>
      <w:r w:rsidRPr="00AA3868">
        <w:rPr>
          <w:sz w:val="24"/>
          <w:szCs w:val="24"/>
        </w:rPr>
        <w:t>v</w:t>
      </w:r>
      <w:r w:rsidRPr="00AA3868">
        <w:rPr>
          <w:spacing w:val="-2"/>
          <w:sz w:val="24"/>
          <w:szCs w:val="24"/>
        </w:rPr>
        <w:t>i</w:t>
      </w:r>
      <w:r w:rsidRPr="00AA3868">
        <w:rPr>
          <w:sz w:val="24"/>
          <w:szCs w:val="24"/>
        </w:rPr>
        <w:t>k</w:t>
      </w:r>
      <w:r w:rsidRPr="00AA3868">
        <w:rPr>
          <w:spacing w:val="-3"/>
          <w:sz w:val="24"/>
          <w:szCs w:val="24"/>
        </w:rPr>
        <w:t>t</w:t>
      </w:r>
      <w:r w:rsidRPr="00AA3868">
        <w:rPr>
          <w:spacing w:val="-10"/>
          <w:sz w:val="24"/>
          <w:szCs w:val="24"/>
        </w:rPr>
        <w:t>i</w:t>
      </w:r>
      <w:r w:rsidRPr="00AA3868">
        <w:rPr>
          <w:sz w:val="24"/>
          <w:szCs w:val="24"/>
        </w:rPr>
        <w:t>gt</w:t>
      </w:r>
      <w:r w:rsidRPr="00AA3868">
        <w:rPr>
          <w:spacing w:val="-9"/>
          <w:sz w:val="24"/>
          <w:szCs w:val="24"/>
        </w:rPr>
        <w:t xml:space="preserve"> </w:t>
      </w:r>
      <w:r w:rsidRPr="00AA3868">
        <w:rPr>
          <w:spacing w:val="-1"/>
          <w:sz w:val="24"/>
          <w:szCs w:val="24"/>
        </w:rPr>
        <w:t>m</w:t>
      </w:r>
      <w:r w:rsidRPr="00AA3868">
        <w:rPr>
          <w:sz w:val="24"/>
          <w:szCs w:val="24"/>
        </w:rPr>
        <w:t>ed</w:t>
      </w:r>
      <w:r w:rsidRPr="00AA3868">
        <w:rPr>
          <w:spacing w:val="-10"/>
          <w:sz w:val="24"/>
          <w:szCs w:val="24"/>
        </w:rPr>
        <w:t xml:space="preserve"> </w:t>
      </w:r>
      <w:r w:rsidRPr="00AA3868">
        <w:rPr>
          <w:spacing w:val="-7"/>
          <w:sz w:val="24"/>
          <w:szCs w:val="24"/>
        </w:rPr>
        <w:t>s</w:t>
      </w:r>
      <w:r w:rsidRPr="00AA3868">
        <w:rPr>
          <w:sz w:val="24"/>
          <w:szCs w:val="24"/>
        </w:rPr>
        <w:t>nabb</w:t>
      </w:r>
      <w:r w:rsidRPr="00AA3868">
        <w:rPr>
          <w:spacing w:val="-9"/>
          <w:sz w:val="24"/>
          <w:szCs w:val="24"/>
        </w:rPr>
        <w:t xml:space="preserve"> </w:t>
      </w:r>
      <w:r w:rsidRPr="00AA3868">
        <w:rPr>
          <w:spacing w:val="-3"/>
          <w:sz w:val="24"/>
          <w:szCs w:val="24"/>
        </w:rPr>
        <w:t>d</w:t>
      </w:r>
      <w:r w:rsidRPr="00AA3868">
        <w:rPr>
          <w:sz w:val="24"/>
          <w:szCs w:val="24"/>
        </w:rPr>
        <w:t>iag</w:t>
      </w:r>
      <w:r w:rsidRPr="00AA3868">
        <w:rPr>
          <w:spacing w:val="1"/>
          <w:sz w:val="24"/>
          <w:szCs w:val="24"/>
        </w:rPr>
        <w:t>n</w:t>
      </w:r>
      <w:r w:rsidRPr="00AA3868">
        <w:rPr>
          <w:spacing w:val="-3"/>
          <w:sz w:val="24"/>
          <w:szCs w:val="24"/>
        </w:rPr>
        <w:t>o</w:t>
      </w:r>
      <w:r w:rsidRPr="00AA3868">
        <w:rPr>
          <w:sz w:val="24"/>
          <w:szCs w:val="24"/>
        </w:rPr>
        <w:t>s</w:t>
      </w:r>
      <w:r w:rsidRPr="00AA3868">
        <w:rPr>
          <w:spacing w:val="-11"/>
          <w:sz w:val="24"/>
          <w:szCs w:val="24"/>
        </w:rPr>
        <w:t xml:space="preserve"> </w:t>
      </w:r>
      <w:r w:rsidRPr="00AA3868">
        <w:rPr>
          <w:sz w:val="24"/>
          <w:szCs w:val="24"/>
        </w:rPr>
        <w:t>då</w:t>
      </w:r>
      <w:r w:rsidRPr="00AA3868">
        <w:rPr>
          <w:spacing w:val="-6"/>
          <w:sz w:val="24"/>
          <w:szCs w:val="24"/>
        </w:rPr>
        <w:t xml:space="preserve"> </w:t>
      </w:r>
      <w:r w:rsidRPr="00AA3868">
        <w:rPr>
          <w:spacing w:val="-9"/>
          <w:sz w:val="24"/>
          <w:szCs w:val="24"/>
        </w:rPr>
        <w:t>r</w:t>
      </w:r>
      <w:r w:rsidRPr="00AA3868">
        <w:rPr>
          <w:sz w:val="24"/>
          <w:szCs w:val="24"/>
        </w:rPr>
        <w:t>i</w:t>
      </w:r>
      <w:r w:rsidRPr="00AA3868">
        <w:rPr>
          <w:spacing w:val="-7"/>
          <w:sz w:val="24"/>
          <w:szCs w:val="24"/>
        </w:rPr>
        <w:t>s</w:t>
      </w:r>
      <w:r w:rsidRPr="00AA3868">
        <w:rPr>
          <w:sz w:val="24"/>
          <w:szCs w:val="24"/>
        </w:rPr>
        <w:t>ken</w:t>
      </w:r>
      <w:r w:rsidRPr="00AA3868">
        <w:rPr>
          <w:spacing w:val="-9"/>
          <w:sz w:val="24"/>
          <w:szCs w:val="24"/>
        </w:rPr>
        <w:t xml:space="preserve"> </w:t>
      </w:r>
      <w:r w:rsidRPr="00AA3868">
        <w:rPr>
          <w:spacing w:val="-1"/>
          <w:sz w:val="24"/>
          <w:szCs w:val="24"/>
        </w:rPr>
        <w:t>f</w:t>
      </w:r>
      <w:r w:rsidRPr="00AA3868">
        <w:rPr>
          <w:sz w:val="24"/>
          <w:szCs w:val="24"/>
        </w:rPr>
        <w:t>ör</w:t>
      </w:r>
      <w:r w:rsidRPr="00AA3868">
        <w:rPr>
          <w:spacing w:val="-13"/>
          <w:sz w:val="24"/>
          <w:szCs w:val="24"/>
        </w:rPr>
        <w:t xml:space="preserve"> </w:t>
      </w:r>
      <w:r w:rsidRPr="00AA3868">
        <w:rPr>
          <w:spacing w:val="-7"/>
          <w:sz w:val="24"/>
          <w:szCs w:val="24"/>
        </w:rPr>
        <w:t>s</w:t>
      </w:r>
      <w:r w:rsidRPr="00AA3868">
        <w:rPr>
          <w:sz w:val="24"/>
          <w:szCs w:val="24"/>
        </w:rPr>
        <w:t>nabb</w:t>
      </w:r>
      <w:r w:rsidRPr="00AA3868">
        <w:rPr>
          <w:spacing w:val="-8"/>
          <w:sz w:val="24"/>
          <w:szCs w:val="24"/>
        </w:rPr>
        <w:t xml:space="preserve"> </w:t>
      </w:r>
      <w:r w:rsidRPr="00AA3868">
        <w:rPr>
          <w:spacing w:val="-7"/>
          <w:sz w:val="24"/>
          <w:szCs w:val="24"/>
        </w:rPr>
        <w:t>f</w:t>
      </w:r>
      <w:r w:rsidRPr="00AA3868">
        <w:rPr>
          <w:spacing w:val="-1"/>
          <w:sz w:val="24"/>
          <w:szCs w:val="24"/>
        </w:rPr>
        <w:t>ör</w:t>
      </w:r>
      <w:r w:rsidRPr="00AA3868">
        <w:rPr>
          <w:spacing w:val="-10"/>
          <w:sz w:val="24"/>
          <w:szCs w:val="24"/>
        </w:rPr>
        <w:t>s</w:t>
      </w:r>
      <w:r w:rsidRPr="00AA3868">
        <w:rPr>
          <w:sz w:val="24"/>
          <w:szCs w:val="24"/>
        </w:rPr>
        <w:t>ä</w:t>
      </w:r>
      <w:r w:rsidRPr="00AA3868">
        <w:rPr>
          <w:spacing w:val="-1"/>
          <w:sz w:val="24"/>
          <w:szCs w:val="24"/>
        </w:rPr>
        <w:t>mr</w:t>
      </w:r>
      <w:r w:rsidRPr="00AA3868">
        <w:rPr>
          <w:sz w:val="24"/>
          <w:szCs w:val="24"/>
        </w:rPr>
        <w:t>i</w:t>
      </w:r>
      <w:r w:rsidRPr="00AA3868">
        <w:rPr>
          <w:spacing w:val="-1"/>
          <w:sz w:val="24"/>
          <w:szCs w:val="24"/>
        </w:rPr>
        <w:t>n</w:t>
      </w:r>
      <w:r w:rsidRPr="00AA3868">
        <w:rPr>
          <w:sz w:val="24"/>
          <w:szCs w:val="24"/>
        </w:rPr>
        <w:t>g</w:t>
      </w:r>
      <w:r w:rsidRPr="00AA3868">
        <w:rPr>
          <w:spacing w:val="-9"/>
          <w:sz w:val="24"/>
          <w:szCs w:val="24"/>
        </w:rPr>
        <w:t xml:space="preserve"> </w:t>
      </w:r>
      <w:r w:rsidRPr="00AA3868">
        <w:rPr>
          <w:sz w:val="24"/>
          <w:szCs w:val="24"/>
        </w:rPr>
        <w:t>är</w:t>
      </w:r>
      <w:r w:rsidRPr="00AA3868">
        <w:rPr>
          <w:spacing w:val="-10"/>
          <w:sz w:val="24"/>
          <w:szCs w:val="24"/>
        </w:rPr>
        <w:t xml:space="preserve"> </w:t>
      </w:r>
      <w:r w:rsidRPr="00AA3868">
        <w:rPr>
          <w:spacing w:val="-7"/>
          <w:sz w:val="24"/>
          <w:szCs w:val="24"/>
        </w:rPr>
        <w:t>s</w:t>
      </w:r>
      <w:r w:rsidRPr="00AA3868">
        <w:rPr>
          <w:spacing w:val="-1"/>
          <w:sz w:val="24"/>
          <w:szCs w:val="24"/>
        </w:rPr>
        <w:t>t</w:t>
      </w:r>
      <w:r w:rsidRPr="00AA3868">
        <w:rPr>
          <w:sz w:val="24"/>
          <w:szCs w:val="24"/>
        </w:rPr>
        <w:t>or</w:t>
      </w:r>
      <w:r w:rsidRPr="00AA3868">
        <w:rPr>
          <w:spacing w:val="-15"/>
          <w:sz w:val="24"/>
          <w:szCs w:val="24"/>
        </w:rPr>
        <w:t xml:space="preserve"> </w:t>
      </w:r>
      <w:r w:rsidRPr="00AA3868">
        <w:rPr>
          <w:sz w:val="24"/>
          <w:szCs w:val="24"/>
        </w:rPr>
        <w:t>i obehandlat</w:t>
      </w:r>
      <w:r w:rsidRPr="00AA3868">
        <w:rPr>
          <w:spacing w:val="-15"/>
          <w:sz w:val="24"/>
          <w:szCs w:val="24"/>
        </w:rPr>
        <w:t xml:space="preserve"> </w:t>
      </w:r>
      <w:r w:rsidRPr="00AA3868">
        <w:rPr>
          <w:spacing w:val="-7"/>
          <w:sz w:val="24"/>
          <w:szCs w:val="24"/>
        </w:rPr>
        <w:t>s</w:t>
      </w:r>
      <w:r w:rsidRPr="00AA3868">
        <w:rPr>
          <w:sz w:val="24"/>
          <w:szCs w:val="24"/>
        </w:rPr>
        <w:t>ki</w:t>
      </w:r>
      <w:r w:rsidRPr="00AA3868">
        <w:rPr>
          <w:spacing w:val="-2"/>
          <w:sz w:val="24"/>
          <w:szCs w:val="24"/>
        </w:rPr>
        <w:t>c</w:t>
      </w:r>
      <w:r w:rsidRPr="00AA3868">
        <w:rPr>
          <w:sz w:val="24"/>
          <w:szCs w:val="24"/>
        </w:rPr>
        <w:t>k.</w:t>
      </w:r>
      <w:r w:rsidRPr="00AA3868">
        <w:rPr>
          <w:spacing w:val="-11"/>
          <w:sz w:val="24"/>
          <w:szCs w:val="24"/>
        </w:rPr>
        <w:t xml:space="preserve"> </w:t>
      </w:r>
      <w:r w:rsidRPr="00AA3868">
        <w:rPr>
          <w:sz w:val="24"/>
          <w:szCs w:val="24"/>
        </w:rPr>
        <w:t>Vid</w:t>
      </w:r>
      <w:r w:rsidRPr="00AA3868">
        <w:rPr>
          <w:spacing w:val="-9"/>
          <w:sz w:val="24"/>
          <w:szCs w:val="24"/>
        </w:rPr>
        <w:t xml:space="preserve"> </w:t>
      </w:r>
      <w:r w:rsidRPr="00AA3868">
        <w:rPr>
          <w:sz w:val="24"/>
          <w:szCs w:val="24"/>
        </w:rPr>
        <w:t>bl</w:t>
      </w:r>
      <w:r w:rsidRPr="00AA3868">
        <w:rPr>
          <w:spacing w:val="-8"/>
          <w:sz w:val="24"/>
          <w:szCs w:val="24"/>
        </w:rPr>
        <w:t>o</w:t>
      </w:r>
      <w:r w:rsidRPr="00AA3868">
        <w:rPr>
          <w:spacing w:val="-3"/>
          <w:sz w:val="24"/>
          <w:szCs w:val="24"/>
        </w:rPr>
        <w:t>d</w:t>
      </w:r>
      <w:r w:rsidRPr="00AA3868">
        <w:rPr>
          <w:sz w:val="24"/>
          <w:szCs w:val="24"/>
        </w:rPr>
        <w:t>iga</w:t>
      </w:r>
      <w:r w:rsidRPr="00AA3868">
        <w:rPr>
          <w:spacing w:val="-8"/>
          <w:sz w:val="24"/>
          <w:szCs w:val="24"/>
        </w:rPr>
        <w:t xml:space="preserve"> </w:t>
      </w:r>
      <w:r w:rsidRPr="00AA3868">
        <w:rPr>
          <w:sz w:val="24"/>
          <w:szCs w:val="24"/>
        </w:rPr>
        <w:t>dia</w:t>
      </w:r>
      <w:r w:rsidRPr="00AA3868">
        <w:rPr>
          <w:spacing w:val="-1"/>
          <w:sz w:val="24"/>
          <w:szCs w:val="24"/>
        </w:rPr>
        <w:t>rr</w:t>
      </w:r>
      <w:r w:rsidRPr="00AA3868">
        <w:rPr>
          <w:spacing w:val="-2"/>
          <w:sz w:val="24"/>
          <w:szCs w:val="24"/>
        </w:rPr>
        <w:t>é</w:t>
      </w:r>
      <w:r w:rsidRPr="00AA3868">
        <w:rPr>
          <w:sz w:val="24"/>
          <w:szCs w:val="24"/>
        </w:rPr>
        <w:t>er</w:t>
      </w:r>
      <w:r w:rsidRPr="00AA3868">
        <w:rPr>
          <w:spacing w:val="-12"/>
          <w:sz w:val="24"/>
          <w:szCs w:val="24"/>
        </w:rPr>
        <w:t xml:space="preserve"> </w:t>
      </w:r>
      <w:r w:rsidRPr="00AA3868">
        <w:rPr>
          <w:sz w:val="24"/>
          <w:szCs w:val="24"/>
        </w:rPr>
        <w:t>bör</w:t>
      </w:r>
      <w:r w:rsidRPr="00AA3868">
        <w:rPr>
          <w:spacing w:val="-12"/>
          <w:sz w:val="24"/>
          <w:szCs w:val="24"/>
        </w:rPr>
        <w:t xml:space="preserve"> </w:t>
      </w:r>
      <w:r w:rsidRPr="00AA3868">
        <w:rPr>
          <w:spacing w:val="-1"/>
          <w:sz w:val="24"/>
          <w:szCs w:val="24"/>
        </w:rPr>
        <w:t>r</w:t>
      </w:r>
      <w:r w:rsidRPr="00AA3868">
        <w:rPr>
          <w:sz w:val="24"/>
          <w:szCs w:val="24"/>
        </w:rPr>
        <w:t>ek</w:t>
      </w:r>
      <w:r w:rsidRPr="00AA3868">
        <w:rPr>
          <w:spacing w:val="-1"/>
          <w:sz w:val="24"/>
          <w:szCs w:val="24"/>
        </w:rPr>
        <w:t>to</w:t>
      </w:r>
      <w:r w:rsidRPr="00AA3868">
        <w:rPr>
          <w:spacing w:val="-10"/>
          <w:sz w:val="24"/>
          <w:szCs w:val="24"/>
        </w:rPr>
        <w:t>s</w:t>
      </w:r>
      <w:r w:rsidRPr="00AA3868">
        <w:rPr>
          <w:sz w:val="24"/>
          <w:szCs w:val="24"/>
        </w:rPr>
        <w:t>k</w:t>
      </w:r>
      <w:r w:rsidRPr="00AA3868">
        <w:rPr>
          <w:spacing w:val="-5"/>
          <w:sz w:val="24"/>
          <w:szCs w:val="24"/>
        </w:rPr>
        <w:t>o</w:t>
      </w:r>
      <w:r w:rsidRPr="00AA3868">
        <w:rPr>
          <w:spacing w:val="-1"/>
          <w:sz w:val="24"/>
          <w:szCs w:val="24"/>
        </w:rPr>
        <w:t>p</w:t>
      </w:r>
      <w:r w:rsidRPr="00AA3868">
        <w:rPr>
          <w:sz w:val="24"/>
          <w:szCs w:val="24"/>
        </w:rPr>
        <w:t>i</w:t>
      </w:r>
      <w:r w:rsidRPr="00AA3868">
        <w:rPr>
          <w:spacing w:val="-12"/>
          <w:sz w:val="24"/>
          <w:szCs w:val="24"/>
        </w:rPr>
        <w:t xml:space="preserve"> </w:t>
      </w:r>
      <w:r w:rsidRPr="00AA3868">
        <w:rPr>
          <w:sz w:val="24"/>
          <w:szCs w:val="24"/>
        </w:rPr>
        <w:t>u</w:t>
      </w:r>
      <w:r w:rsidRPr="00AA3868">
        <w:rPr>
          <w:spacing w:val="-1"/>
          <w:sz w:val="24"/>
          <w:szCs w:val="24"/>
        </w:rPr>
        <w:t>t</w:t>
      </w:r>
      <w:r w:rsidRPr="00AA3868">
        <w:rPr>
          <w:spacing w:val="-5"/>
          <w:sz w:val="24"/>
          <w:szCs w:val="24"/>
        </w:rPr>
        <w:t>f</w:t>
      </w:r>
      <w:r w:rsidRPr="00AA3868">
        <w:rPr>
          <w:spacing w:val="-1"/>
          <w:sz w:val="24"/>
          <w:szCs w:val="24"/>
        </w:rPr>
        <w:t>ö</w:t>
      </w:r>
      <w:r w:rsidRPr="00AA3868">
        <w:rPr>
          <w:spacing w:val="-6"/>
          <w:sz w:val="24"/>
          <w:szCs w:val="24"/>
        </w:rPr>
        <w:t>r</w:t>
      </w:r>
      <w:r w:rsidRPr="00AA3868">
        <w:rPr>
          <w:sz w:val="24"/>
          <w:szCs w:val="24"/>
        </w:rPr>
        <w:t>as</w:t>
      </w:r>
      <w:r w:rsidRPr="00AA3868">
        <w:rPr>
          <w:spacing w:val="-12"/>
          <w:sz w:val="24"/>
          <w:szCs w:val="24"/>
        </w:rPr>
        <w:t xml:space="preserve"> </w:t>
      </w:r>
      <w:r w:rsidRPr="00AA3868">
        <w:rPr>
          <w:spacing w:val="-10"/>
          <w:sz w:val="24"/>
          <w:szCs w:val="24"/>
        </w:rPr>
        <w:t>s</w:t>
      </w:r>
      <w:r w:rsidRPr="00AA3868">
        <w:rPr>
          <w:sz w:val="24"/>
          <w:szCs w:val="24"/>
        </w:rPr>
        <w:t>å</w:t>
      </w:r>
      <w:r w:rsidRPr="00AA3868">
        <w:rPr>
          <w:spacing w:val="-6"/>
          <w:sz w:val="24"/>
          <w:szCs w:val="24"/>
        </w:rPr>
        <w:t xml:space="preserve"> </w:t>
      </w:r>
      <w:r w:rsidRPr="00AA3868">
        <w:rPr>
          <w:spacing w:val="-7"/>
          <w:sz w:val="24"/>
          <w:szCs w:val="24"/>
        </w:rPr>
        <w:t>s</w:t>
      </w:r>
      <w:r w:rsidRPr="00AA3868">
        <w:rPr>
          <w:sz w:val="24"/>
          <w:szCs w:val="24"/>
        </w:rPr>
        <w:t>nabbt</w:t>
      </w:r>
      <w:r w:rsidRPr="00AA3868">
        <w:rPr>
          <w:spacing w:val="-9"/>
          <w:sz w:val="24"/>
          <w:szCs w:val="24"/>
        </w:rPr>
        <w:t xml:space="preserve"> </w:t>
      </w:r>
      <w:r w:rsidRPr="00AA3868">
        <w:rPr>
          <w:spacing w:val="-7"/>
          <w:sz w:val="24"/>
          <w:szCs w:val="24"/>
        </w:rPr>
        <w:t>s</w:t>
      </w:r>
      <w:r w:rsidRPr="00AA3868">
        <w:rPr>
          <w:sz w:val="24"/>
          <w:szCs w:val="24"/>
        </w:rPr>
        <w:t>om</w:t>
      </w:r>
      <w:r w:rsidRPr="00AA3868">
        <w:rPr>
          <w:spacing w:val="-7"/>
          <w:sz w:val="24"/>
          <w:szCs w:val="24"/>
        </w:rPr>
        <w:t xml:space="preserve"> </w:t>
      </w:r>
      <w:r w:rsidRPr="00AA3868">
        <w:rPr>
          <w:spacing w:val="-1"/>
          <w:sz w:val="24"/>
          <w:szCs w:val="24"/>
        </w:rPr>
        <w:t>mö</w:t>
      </w:r>
      <w:r w:rsidRPr="00AA3868">
        <w:rPr>
          <w:sz w:val="24"/>
          <w:szCs w:val="24"/>
        </w:rPr>
        <w:t>jligt</w:t>
      </w:r>
      <w:r w:rsidRPr="00AA3868">
        <w:rPr>
          <w:spacing w:val="-12"/>
          <w:sz w:val="24"/>
          <w:szCs w:val="24"/>
        </w:rPr>
        <w:t xml:space="preserve"> </w:t>
      </w:r>
      <w:r w:rsidRPr="00AA3868">
        <w:rPr>
          <w:spacing w:val="-3"/>
          <w:sz w:val="24"/>
          <w:szCs w:val="24"/>
        </w:rPr>
        <w:t>o</w:t>
      </w:r>
      <w:r w:rsidRPr="00AA3868">
        <w:rPr>
          <w:sz w:val="24"/>
          <w:szCs w:val="24"/>
        </w:rPr>
        <w:t>ch</w:t>
      </w:r>
      <w:r w:rsidRPr="00AA3868">
        <w:rPr>
          <w:spacing w:val="-9"/>
          <w:sz w:val="24"/>
          <w:szCs w:val="24"/>
        </w:rPr>
        <w:t xml:space="preserve"> </w:t>
      </w:r>
      <w:r w:rsidRPr="00AA3868">
        <w:rPr>
          <w:sz w:val="24"/>
          <w:szCs w:val="24"/>
        </w:rPr>
        <w:t>h</w:t>
      </w:r>
      <w:r w:rsidRPr="00AA3868">
        <w:rPr>
          <w:spacing w:val="1"/>
          <w:sz w:val="24"/>
          <w:szCs w:val="24"/>
        </w:rPr>
        <w:t>e</w:t>
      </w:r>
      <w:r w:rsidRPr="00AA3868">
        <w:rPr>
          <w:spacing w:val="-3"/>
          <w:sz w:val="24"/>
          <w:szCs w:val="24"/>
        </w:rPr>
        <w:t>l</w:t>
      </w:r>
      <w:r w:rsidRPr="00AA3868">
        <w:rPr>
          <w:spacing w:val="-7"/>
          <w:sz w:val="24"/>
          <w:szCs w:val="24"/>
        </w:rPr>
        <w:t>s</w:t>
      </w:r>
      <w:r w:rsidRPr="00AA3868">
        <w:rPr>
          <w:sz w:val="24"/>
          <w:szCs w:val="24"/>
        </w:rPr>
        <w:t>t</w:t>
      </w:r>
      <w:r w:rsidRPr="00AA3868">
        <w:rPr>
          <w:w w:val="99"/>
          <w:sz w:val="24"/>
          <w:szCs w:val="24"/>
        </w:rPr>
        <w:t xml:space="preserve"> </w:t>
      </w:r>
      <w:r w:rsidRPr="00AA3868">
        <w:rPr>
          <w:sz w:val="24"/>
          <w:szCs w:val="24"/>
        </w:rPr>
        <w:t>u</w:t>
      </w:r>
      <w:r w:rsidRPr="00AA3868">
        <w:rPr>
          <w:spacing w:val="-1"/>
          <w:sz w:val="24"/>
          <w:szCs w:val="24"/>
        </w:rPr>
        <w:t>t</w:t>
      </w:r>
      <w:r w:rsidRPr="00AA3868">
        <w:rPr>
          <w:sz w:val="24"/>
          <w:szCs w:val="24"/>
        </w:rPr>
        <w:t>an</w:t>
      </w:r>
      <w:r w:rsidRPr="00AA3868">
        <w:rPr>
          <w:spacing w:val="-16"/>
          <w:sz w:val="24"/>
          <w:szCs w:val="24"/>
        </w:rPr>
        <w:t xml:space="preserve"> </w:t>
      </w:r>
      <w:r w:rsidRPr="00AA3868">
        <w:rPr>
          <w:spacing w:val="-1"/>
          <w:sz w:val="24"/>
          <w:szCs w:val="24"/>
        </w:rPr>
        <w:t>n</w:t>
      </w:r>
      <w:r w:rsidRPr="00AA3868">
        <w:rPr>
          <w:spacing w:val="-2"/>
          <w:sz w:val="24"/>
          <w:szCs w:val="24"/>
        </w:rPr>
        <w:t>å</w:t>
      </w:r>
      <w:r w:rsidRPr="00AA3868">
        <w:rPr>
          <w:sz w:val="24"/>
          <w:szCs w:val="24"/>
        </w:rPr>
        <w:t>gon</w:t>
      </w:r>
      <w:r w:rsidRPr="00AA3868">
        <w:rPr>
          <w:spacing w:val="-13"/>
          <w:sz w:val="24"/>
          <w:szCs w:val="24"/>
        </w:rPr>
        <w:t xml:space="preserve"> </w:t>
      </w:r>
      <w:r w:rsidRPr="00AA3868">
        <w:rPr>
          <w:spacing w:val="-1"/>
          <w:sz w:val="24"/>
          <w:szCs w:val="24"/>
        </w:rPr>
        <w:t>fö</w:t>
      </w:r>
      <w:r w:rsidRPr="00AA3868">
        <w:rPr>
          <w:spacing w:val="-6"/>
          <w:sz w:val="24"/>
          <w:szCs w:val="24"/>
        </w:rPr>
        <w:t>r</w:t>
      </w:r>
      <w:r w:rsidRPr="00AA3868">
        <w:rPr>
          <w:spacing w:val="-3"/>
          <w:sz w:val="24"/>
          <w:szCs w:val="24"/>
        </w:rPr>
        <w:t>b</w:t>
      </w:r>
      <w:r w:rsidRPr="00AA3868">
        <w:rPr>
          <w:sz w:val="24"/>
          <w:szCs w:val="24"/>
        </w:rPr>
        <w:t>e</w:t>
      </w:r>
      <w:r w:rsidRPr="00AA3868">
        <w:rPr>
          <w:spacing w:val="-1"/>
          <w:sz w:val="24"/>
          <w:szCs w:val="24"/>
        </w:rPr>
        <w:t>r</w:t>
      </w:r>
      <w:r w:rsidRPr="00AA3868">
        <w:rPr>
          <w:spacing w:val="-2"/>
          <w:sz w:val="24"/>
          <w:szCs w:val="24"/>
        </w:rPr>
        <w:t>ed</w:t>
      </w:r>
      <w:r w:rsidRPr="00AA3868">
        <w:rPr>
          <w:sz w:val="24"/>
          <w:szCs w:val="24"/>
        </w:rPr>
        <w:t>e</w:t>
      </w:r>
      <w:r w:rsidRPr="00AA3868">
        <w:rPr>
          <w:spacing w:val="-3"/>
          <w:sz w:val="24"/>
          <w:szCs w:val="24"/>
        </w:rPr>
        <w:t>l</w:t>
      </w:r>
      <w:r w:rsidRPr="00AA3868">
        <w:rPr>
          <w:spacing w:val="-7"/>
          <w:sz w:val="24"/>
          <w:szCs w:val="24"/>
        </w:rPr>
        <w:t>s</w:t>
      </w:r>
      <w:r w:rsidRPr="00AA3868">
        <w:rPr>
          <w:sz w:val="24"/>
          <w:szCs w:val="24"/>
        </w:rPr>
        <w:t>e</w:t>
      </w:r>
      <w:r w:rsidRPr="00AA3868">
        <w:rPr>
          <w:spacing w:val="-14"/>
          <w:sz w:val="24"/>
          <w:szCs w:val="24"/>
        </w:rPr>
        <w:t xml:space="preserve"> </w:t>
      </w:r>
      <w:r w:rsidRPr="00AA3868">
        <w:rPr>
          <w:spacing w:val="-3"/>
          <w:sz w:val="24"/>
          <w:szCs w:val="24"/>
        </w:rPr>
        <w:t>i</w:t>
      </w:r>
      <w:r w:rsidRPr="00AA3868">
        <w:rPr>
          <w:spacing w:val="-5"/>
          <w:sz w:val="24"/>
          <w:szCs w:val="24"/>
        </w:rPr>
        <w:t>n</w:t>
      </w:r>
      <w:r w:rsidRPr="00AA3868">
        <w:rPr>
          <w:sz w:val="24"/>
          <w:szCs w:val="24"/>
        </w:rPr>
        <w:t>nan. Vid</w:t>
      </w:r>
      <w:r w:rsidRPr="00AA3868">
        <w:rPr>
          <w:spacing w:val="-9"/>
          <w:sz w:val="24"/>
          <w:szCs w:val="24"/>
        </w:rPr>
        <w:t xml:space="preserve"> </w:t>
      </w:r>
      <w:r w:rsidRPr="00AA3868">
        <w:rPr>
          <w:sz w:val="24"/>
          <w:szCs w:val="24"/>
        </w:rPr>
        <w:t>akut</w:t>
      </w:r>
      <w:r w:rsidRPr="00AA3868">
        <w:rPr>
          <w:spacing w:val="-9"/>
          <w:sz w:val="24"/>
          <w:szCs w:val="24"/>
        </w:rPr>
        <w:t xml:space="preserve"> </w:t>
      </w:r>
      <w:r w:rsidRPr="00AA3868">
        <w:rPr>
          <w:spacing w:val="-10"/>
          <w:sz w:val="24"/>
          <w:szCs w:val="24"/>
        </w:rPr>
        <w:t>s</w:t>
      </w:r>
      <w:r w:rsidRPr="00AA3868">
        <w:rPr>
          <w:sz w:val="24"/>
          <w:szCs w:val="24"/>
        </w:rPr>
        <w:t>kov</w:t>
      </w:r>
      <w:r w:rsidRPr="00AA3868">
        <w:rPr>
          <w:spacing w:val="-9"/>
          <w:sz w:val="24"/>
          <w:szCs w:val="24"/>
        </w:rPr>
        <w:t xml:space="preserve"> </w:t>
      </w:r>
      <w:r w:rsidRPr="00AA3868">
        <w:rPr>
          <w:sz w:val="24"/>
          <w:szCs w:val="24"/>
        </w:rPr>
        <w:t>av</w:t>
      </w:r>
      <w:r w:rsidRPr="00AA3868">
        <w:rPr>
          <w:spacing w:val="-8"/>
          <w:sz w:val="24"/>
          <w:szCs w:val="24"/>
        </w:rPr>
        <w:t xml:space="preserve"> </w:t>
      </w:r>
      <w:r w:rsidRPr="00AA3868">
        <w:rPr>
          <w:sz w:val="24"/>
          <w:szCs w:val="24"/>
        </w:rPr>
        <w:t>u</w:t>
      </w:r>
      <w:r w:rsidRPr="00AA3868">
        <w:rPr>
          <w:spacing w:val="-3"/>
          <w:sz w:val="24"/>
          <w:szCs w:val="24"/>
        </w:rPr>
        <w:t>l</w:t>
      </w:r>
      <w:r w:rsidRPr="00AA3868">
        <w:rPr>
          <w:spacing w:val="-5"/>
          <w:sz w:val="24"/>
          <w:szCs w:val="24"/>
        </w:rPr>
        <w:t>c</w:t>
      </w:r>
      <w:r w:rsidRPr="00AA3868">
        <w:rPr>
          <w:sz w:val="24"/>
          <w:szCs w:val="24"/>
        </w:rPr>
        <w:t>e</w:t>
      </w:r>
      <w:r w:rsidRPr="00AA3868">
        <w:rPr>
          <w:spacing w:val="-6"/>
          <w:sz w:val="24"/>
          <w:szCs w:val="24"/>
        </w:rPr>
        <w:t>r</w:t>
      </w:r>
      <w:r w:rsidRPr="00AA3868">
        <w:rPr>
          <w:spacing w:val="-1"/>
          <w:sz w:val="24"/>
          <w:szCs w:val="24"/>
        </w:rPr>
        <w:t>ö</w:t>
      </w:r>
      <w:r w:rsidRPr="00AA3868">
        <w:rPr>
          <w:sz w:val="24"/>
          <w:szCs w:val="24"/>
        </w:rPr>
        <w:t>s</w:t>
      </w:r>
      <w:r w:rsidRPr="00AA3868">
        <w:rPr>
          <w:spacing w:val="-11"/>
          <w:sz w:val="24"/>
          <w:szCs w:val="24"/>
        </w:rPr>
        <w:t xml:space="preserve"> </w:t>
      </w:r>
      <w:r w:rsidRPr="00AA3868">
        <w:rPr>
          <w:spacing w:val="-6"/>
          <w:sz w:val="24"/>
          <w:szCs w:val="24"/>
        </w:rPr>
        <w:t>k</w:t>
      </w:r>
      <w:r w:rsidRPr="00AA3868">
        <w:rPr>
          <w:spacing w:val="-1"/>
          <w:sz w:val="24"/>
          <w:szCs w:val="24"/>
        </w:rPr>
        <w:t>o</w:t>
      </w:r>
      <w:r w:rsidRPr="00AA3868">
        <w:rPr>
          <w:sz w:val="24"/>
          <w:szCs w:val="24"/>
        </w:rPr>
        <w:t>lit</w:t>
      </w:r>
      <w:r w:rsidRPr="00AA3868">
        <w:rPr>
          <w:spacing w:val="-9"/>
          <w:sz w:val="24"/>
          <w:szCs w:val="24"/>
        </w:rPr>
        <w:t xml:space="preserve"> </w:t>
      </w:r>
      <w:r w:rsidRPr="00AA3868">
        <w:rPr>
          <w:sz w:val="24"/>
          <w:szCs w:val="24"/>
        </w:rPr>
        <w:t>el</w:t>
      </w:r>
      <w:r w:rsidRPr="00AA3868">
        <w:rPr>
          <w:spacing w:val="-7"/>
          <w:sz w:val="24"/>
          <w:szCs w:val="24"/>
        </w:rPr>
        <w:t>l</w:t>
      </w:r>
      <w:r w:rsidRPr="00AA3868">
        <w:rPr>
          <w:sz w:val="24"/>
          <w:szCs w:val="24"/>
        </w:rPr>
        <w:t>er</w:t>
      </w:r>
      <w:r w:rsidRPr="00AA3868">
        <w:rPr>
          <w:spacing w:val="-13"/>
          <w:sz w:val="24"/>
          <w:szCs w:val="24"/>
        </w:rPr>
        <w:t xml:space="preserve"> </w:t>
      </w:r>
      <w:r w:rsidRPr="00AA3868">
        <w:rPr>
          <w:spacing w:val="1"/>
          <w:sz w:val="24"/>
          <w:szCs w:val="24"/>
        </w:rPr>
        <w:t>C</w:t>
      </w:r>
      <w:r w:rsidRPr="00AA3868">
        <w:rPr>
          <w:spacing w:val="-1"/>
          <w:sz w:val="24"/>
          <w:szCs w:val="24"/>
        </w:rPr>
        <w:t>ro</w:t>
      </w:r>
      <w:r w:rsidRPr="00AA3868">
        <w:rPr>
          <w:spacing w:val="-3"/>
          <w:sz w:val="24"/>
          <w:szCs w:val="24"/>
        </w:rPr>
        <w:t>h</w:t>
      </w:r>
      <w:r w:rsidRPr="00AA3868">
        <w:rPr>
          <w:spacing w:val="-1"/>
          <w:sz w:val="24"/>
          <w:szCs w:val="24"/>
        </w:rPr>
        <w:t>n</w:t>
      </w:r>
      <w:r w:rsidRPr="00AA3868">
        <w:rPr>
          <w:sz w:val="24"/>
          <w:szCs w:val="24"/>
        </w:rPr>
        <w:t>s</w:t>
      </w:r>
      <w:r w:rsidRPr="00AA3868">
        <w:rPr>
          <w:spacing w:val="-12"/>
          <w:sz w:val="24"/>
          <w:szCs w:val="24"/>
        </w:rPr>
        <w:t xml:space="preserve"> </w:t>
      </w:r>
      <w:r w:rsidRPr="00AA3868">
        <w:rPr>
          <w:sz w:val="24"/>
          <w:szCs w:val="24"/>
        </w:rPr>
        <w:t>sjukdom</w:t>
      </w:r>
      <w:r w:rsidRPr="00AA3868">
        <w:rPr>
          <w:spacing w:val="-14"/>
          <w:sz w:val="24"/>
          <w:szCs w:val="24"/>
        </w:rPr>
        <w:t xml:space="preserve"> </w:t>
      </w:r>
      <w:r w:rsidRPr="00AA3868">
        <w:rPr>
          <w:sz w:val="24"/>
          <w:szCs w:val="24"/>
        </w:rPr>
        <w:t>är</w:t>
      </w:r>
      <w:r w:rsidRPr="00AA3868">
        <w:rPr>
          <w:spacing w:val="-13"/>
          <w:sz w:val="24"/>
          <w:szCs w:val="24"/>
        </w:rPr>
        <w:t xml:space="preserve"> </w:t>
      </w:r>
      <w:r w:rsidRPr="00AA3868">
        <w:rPr>
          <w:sz w:val="24"/>
          <w:szCs w:val="24"/>
        </w:rPr>
        <w:t>d</w:t>
      </w:r>
      <w:r w:rsidRPr="00AA3868">
        <w:rPr>
          <w:spacing w:val="-5"/>
          <w:sz w:val="24"/>
          <w:szCs w:val="24"/>
        </w:rPr>
        <w:t>e</w:t>
      </w:r>
      <w:r w:rsidRPr="00AA3868">
        <w:rPr>
          <w:sz w:val="24"/>
          <w:szCs w:val="24"/>
        </w:rPr>
        <w:t>t</w:t>
      </w:r>
      <w:r w:rsidRPr="00AA3868">
        <w:rPr>
          <w:spacing w:val="-9"/>
          <w:sz w:val="24"/>
          <w:szCs w:val="24"/>
        </w:rPr>
        <w:t xml:space="preserve"> </w:t>
      </w:r>
      <w:r w:rsidRPr="00AA3868">
        <w:rPr>
          <w:spacing w:val="-1"/>
          <w:sz w:val="24"/>
          <w:szCs w:val="24"/>
        </w:rPr>
        <w:t>fr</w:t>
      </w:r>
      <w:r w:rsidRPr="00AA3868">
        <w:rPr>
          <w:sz w:val="24"/>
          <w:szCs w:val="24"/>
        </w:rPr>
        <w:t>a</w:t>
      </w:r>
      <w:r w:rsidRPr="00AA3868">
        <w:rPr>
          <w:spacing w:val="-1"/>
          <w:sz w:val="24"/>
          <w:szCs w:val="24"/>
        </w:rPr>
        <w:t>m</w:t>
      </w:r>
      <w:r w:rsidRPr="00AA3868">
        <w:rPr>
          <w:spacing w:val="-9"/>
          <w:sz w:val="24"/>
          <w:szCs w:val="24"/>
        </w:rPr>
        <w:t>f</w:t>
      </w:r>
      <w:r w:rsidRPr="00AA3868">
        <w:rPr>
          <w:sz w:val="24"/>
          <w:szCs w:val="24"/>
        </w:rPr>
        <w:t>ör</w:t>
      </w:r>
      <w:r w:rsidRPr="00AA3868">
        <w:rPr>
          <w:spacing w:val="-15"/>
          <w:sz w:val="24"/>
          <w:szCs w:val="24"/>
        </w:rPr>
        <w:t xml:space="preserve"> </w:t>
      </w:r>
      <w:r w:rsidRPr="00AA3868">
        <w:rPr>
          <w:sz w:val="24"/>
          <w:szCs w:val="24"/>
        </w:rPr>
        <w:t>allt</w:t>
      </w:r>
      <w:r w:rsidRPr="00AA3868">
        <w:rPr>
          <w:spacing w:val="-8"/>
          <w:sz w:val="24"/>
          <w:szCs w:val="24"/>
        </w:rPr>
        <w:t xml:space="preserve"> </w:t>
      </w:r>
      <w:r w:rsidRPr="00AA3868">
        <w:rPr>
          <w:sz w:val="24"/>
          <w:szCs w:val="24"/>
        </w:rPr>
        <w:t>två</w:t>
      </w:r>
      <w:r w:rsidRPr="00AA3868">
        <w:rPr>
          <w:spacing w:val="-9"/>
          <w:sz w:val="24"/>
          <w:szCs w:val="24"/>
        </w:rPr>
        <w:t xml:space="preserve"> f</w:t>
      </w:r>
      <w:r w:rsidRPr="00AA3868">
        <w:rPr>
          <w:sz w:val="24"/>
          <w:szCs w:val="24"/>
        </w:rPr>
        <w:t>ak</w:t>
      </w:r>
      <w:r w:rsidRPr="00AA3868">
        <w:rPr>
          <w:spacing w:val="-1"/>
          <w:sz w:val="24"/>
          <w:szCs w:val="24"/>
        </w:rPr>
        <w:t>to</w:t>
      </w:r>
      <w:r w:rsidRPr="00AA3868">
        <w:rPr>
          <w:spacing w:val="-9"/>
          <w:sz w:val="24"/>
          <w:szCs w:val="24"/>
        </w:rPr>
        <w:t>r</w:t>
      </w:r>
      <w:r w:rsidRPr="00AA3868">
        <w:rPr>
          <w:sz w:val="24"/>
          <w:szCs w:val="24"/>
        </w:rPr>
        <w:t>er</w:t>
      </w:r>
      <w:r w:rsidRPr="00AA3868">
        <w:rPr>
          <w:spacing w:val="-12"/>
          <w:sz w:val="24"/>
          <w:szCs w:val="24"/>
        </w:rPr>
        <w:t xml:space="preserve"> </w:t>
      </w:r>
      <w:r w:rsidRPr="00AA3868">
        <w:rPr>
          <w:spacing w:val="-7"/>
          <w:sz w:val="24"/>
          <w:szCs w:val="24"/>
        </w:rPr>
        <w:t>s</w:t>
      </w:r>
      <w:r w:rsidRPr="00AA3868">
        <w:rPr>
          <w:spacing w:val="-1"/>
          <w:sz w:val="24"/>
          <w:szCs w:val="24"/>
        </w:rPr>
        <w:t>o</w:t>
      </w:r>
      <w:r w:rsidRPr="00AA3868">
        <w:rPr>
          <w:sz w:val="24"/>
          <w:szCs w:val="24"/>
        </w:rPr>
        <w:t>m</w:t>
      </w:r>
      <w:r w:rsidRPr="00AA3868">
        <w:rPr>
          <w:spacing w:val="-11"/>
          <w:sz w:val="24"/>
          <w:szCs w:val="24"/>
        </w:rPr>
        <w:t xml:space="preserve"> </w:t>
      </w:r>
      <w:r w:rsidRPr="00AA3868">
        <w:rPr>
          <w:sz w:val="24"/>
          <w:szCs w:val="24"/>
        </w:rPr>
        <w:t>av</w:t>
      </w:r>
      <w:r w:rsidRPr="00AA3868">
        <w:rPr>
          <w:spacing w:val="-2"/>
          <w:sz w:val="24"/>
          <w:szCs w:val="24"/>
        </w:rPr>
        <w:t>g</w:t>
      </w:r>
      <w:r w:rsidRPr="00AA3868">
        <w:rPr>
          <w:spacing w:val="-1"/>
          <w:sz w:val="24"/>
          <w:szCs w:val="24"/>
        </w:rPr>
        <w:t>ö</w:t>
      </w:r>
      <w:r w:rsidRPr="00AA3868">
        <w:rPr>
          <w:sz w:val="24"/>
          <w:szCs w:val="24"/>
        </w:rPr>
        <w:t>r</w:t>
      </w:r>
      <w:r w:rsidRPr="00AA3868">
        <w:rPr>
          <w:spacing w:val="-13"/>
          <w:sz w:val="24"/>
          <w:szCs w:val="24"/>
        </w:rPr>
        <w:t xml:space="preserve"> </w:t>
      </w:r>
      <w:r w:rsidRPr="00AA3868">
        <w:rPr>
          <w:sz w:val="24"/>
          <w:szCs w:val="24"/>
        </w:rPr>
        <w:t>va</w:t>
      </w:r>
      <w:r w:rsidRPr="00AA3868">
        <w:rPr>
          <w:spacing w:val="-3"/>
          <w:sz w:val="24"/>
          <w:szCs w:val="24"/>
        </w:rPr>
        <w:t>l</w:t>
      </w:r>
      <w:r w:rsidRPr="00AA3868">
        <w:rPr>
          <w:sz w:val="24"/>
          <w:szCs w:val="24"/>
        </w:rPr>
        <w:t>et av</w:t>
      </w:r>
      <w:r w:rsidRPr="00AA3868">
        <w:rPr>
          <w:spacing w:val="-13"/>
          <w:sz w:val="24"/>
          <w:szCs w:val="24"/>
        </w:rPr>
        <w:t xml:space="preserve"> </w:t>
      </w:r>
      <w:r w:rsidRPr="00AA3868">
        <w:rPr>
          <w:sz w:val="24"/>
          <w:szCs w:val="24"/>
        </w:rPr>
        <w:t>behan</w:t>
      </w:r>
      <w:r w:rsidRPr="00AA3868">
        <w:rPr>
          <w:spacing w:val="-3"/>
          <w:sz w:val="24"/>
          <w:szCs w:val="24"/>
        </w:rPr>
        <w:t>dl</w:t>
      </w:r>
      <w:r w:rsidRPr="00AA3868">
        <w:rPr>
          <w:sz w:val="24"/>
          <w:szCs w:val="24"/>
        </w:rPr>
        <w:t>i</w:t>
      </w:r>
      <w:r w:rsidRPr="00AA3868">
        <w:rPr>
          <w:spacing w:val="-5"/>
          <w:sz w:val="24"/>
          <w:szCs w:val="24"/>
        </w:rPr>
        <w:t>n</w:t>
      </w:r>
      <w:r w:rsidRPr="00AA3868">
        <w:rPr>
          <w:sz w:val="24"/>
          <w:szCs w:val="24"/>
        </w:rPr>
        <w:t>gen,</w:t>
      </w:r>
      <w:r w:rsidRPr="00AA3868">
        <w:rPr>
          <w:spacing w:val="-12"/>
          <w:sz w:val="24"/>
          <w:szCs w:val="24"/>
        </w:rPr>
        <w:t xml:space="preserve"> </w:t>
      </w:r>
      <w:r w:rsidRPr="00AA3868">
        <w:rPr>
          <w:spacing w:val="-3"/>
          <w:sz w:val="24"/>
          <w:szCs w:val="24"/>
        </w:rPr>
        <w:t>in</w:t>
      </w:r>
      <w:r w:rsidRPr="00AA3868">
        <w:rPr>
          <w:spacing w:val="-1"/>
          <w:sz w:val="24"/>
          <w:szCs w:val="24"/>
        </w:rPr>
        <w:t>t</w:t>
      </w:r>
      <w:r w:rsidRPr="00AA3868">
        <w:rPr>
          <w:spacing w:val="1"/>
          <w:sz w:val="24"/>
          <w:szCs w:val="24"/>
        </w:rPr>
        <w:t>e</w:t>
      </w:r>
      <w:r w:rsidRPr="00AA3868">
        <w:rPr>
          <w:spacing w:val="-3"/>
          <w:sz w:val="24"/>
          <w:szCs w:val="24"/>
        </w:rPr>
        <w:t>n</w:t>
      </w:r>
      <w:r w:rsidRPr="00AA3868">
        <w:rPr>
          <w:spacing w:val="-7"/>
          <w:sz w:val="24"/>
          <w:szCs w:val="24"/>
        </w:rPr>
        <w:t>s</w:t>
      </w:r>
      <w:r w:rsidRPr="00AA3868">
        <w:rPr>
          <w:sz w:val="24"/>
          <w:szCs w:val="24"/>
        </w:rPr>
        <w:t>i</w:t>
      </w:r>
      <w:r w:rsidRPr="00AA3868">
        <w:rPr>
          <w:spacing w:val="-3"/>
          <w:sz w:val="24"/>
          <w:szCs w:val="24"/>
        </w:rPr>
        <w:t>t</w:t>
      </w:r>
      <w:r w:rsidRPr="00AA3868">
        <w:rPr>
          <w:spacing w:val="-5"/>
          <w:sz w:val="24"/>
          <w:szCs w:val="24"/>
        </w:rPr>
        <w:t>e</w:t>
      </w:r>
      <w:r w:rsidRPr="00AA3868">
        <w:rPr>
          <w:spacing w:val="-7"/>
          <w:sz w:val="24"/>
          <w:szCs w:val="24"/>
        </w:rPr>
        <w:t>t</w:t>
      </w:r>
      <w:r w:rsidRPr="00AA3868">
        <w:rPr>
          <w:sz w:val="24"/>
          <w:szCs w:val="24"/>
        </w:rPr>
        <w:t>en</w:t>
      </w:r>
      <w:r w:rsidRPr="00AA3868">
        <w:rPr>
          <w:spacing w:val="-13"/>
          <w:sz w:val="24"/>
          <w:szCs w:val="24"/>
        </w:rPr>
        <w:t xml:space="preserve"> </w:t>
      </w:r>
      <w:r w:rsidRPr="00AA3868">
        <w:rPr>
          <w:sz w:val="24"/>
          <w:szCs w:val="24"/>
        </w:rPr>
        <w:t>i</w:t>
      </w:r>
      <w:r w:rsidRPr="00AA3868">
        <w:rPr>
          <w:spacing w:val="-12"/>
          <w:sz w:val="24"/>
          <w:szCs w:val="24"/>
        </w:rPr>
        <w:t xml:space="preserve"> </w:t>
      </w:r>
      <w:r w:rsidRPr="00AA3868">
        <w:rPr>
          <w:spacing w:val="-7"/>
          <w:sz w:val="24"/>
          <w:szCs w:val="24"/>
        </w:rPr>
        <w:t>symptom</w:t>
      </w:r>
      <w:r w:rsidRPr="00AA3868">
        <w:rPr>
          <w:spacing w:val="-17"/>
          <w:sz w:val="24"/>
          <w:szCs w:val="24"/>
        </w:rPr>
        <w:t xml:space="preserve"> </w:t>
      </w:r>
      <w:r w:rsidRPr="00AA3868">
        <w:rPr>
          <w:sz w:val="24"/>
          <w:szCs w:val="24"/>
        </w:rPr>
        <w:t>och</w:t>
      </w:r>
      <w:r w:rsidRPr="00AA3868">
        <w:rPr>
          <w:spacing w:val="-12"/>
          <w:sz w:val="24"/>
          <w:szCs w:val="24"/>
        </w:rPr>
        <w:t xml:space="preserve"> </w:t>
      </w:r>
      <w:r w:rsidRPr="00AA3868">
        <w:rPr>
          <w:sz w:val="24"/>
          <w:szCs w:val="24"/>
        </w:rPr>
        <w:t>ut</w:t>
      </w:r>
      <w:r w:rsidRPr="00AA3868">
        <w:rPr>
          <w:spacing w:val="-1"/>
          <w:sz w:val="24"/>
          <w:szCs w:val="24"/>
        </w:rPr>
        <w:t>b</w:t>
      </w:r>
      <w:r w:rsidRPr="00AA3868">
        <w:rPr>
          <w:spacing w:val="-6"/>
          <w:sz w:val="24"/>
          <w:szCs w:val="24"/>
        </w:rPr>
        <w:t>r</w:t>
      </w:r>
      <w:r w:rsidRPr="00AA3868">
        <w:rPr>
          <w:sz w:val="24"/>
          <w:szCs w:val="24"/>
        </w:rPr>
        <w:t>edn</w:t>
      </w:r>
      <w:r w:rsidRPr="00AA3868">
        <w:rPr>
          <w:spacing w:val="-5"/>
          <w:sz w:val="24"/>
          <w:szCs w:val="24"/>
        </w:rPr>
        <w:t>i</w:t>
      </w:r>
      <w:r w:rsidRPr="00AA3868">
        <w:rPr>
          <w:sz w:val="24"/>
          <w:szCs w:val="24"/>
        </w:rPr>
        <w:t>ngen</w:t>
      </w:r>
      <w:r w:rsidRPr="00AA3868">
        <w:rPr>
          <w:spacing w:val="-11"/>
          <w:sz w:val="24"/>
          <w:szCs w:val="24"/>
        </w:rPr>
        <w:t xml:space="preserve"> </w:t>
      </w:r>
      <w:r w:rsidRPr="00AA3868">
        <w:rPr>
          <w:sz w:val="24"/>
          <w:szCs w:val="24"/>
        </w:rPr>
        <w:t>i</w:t>
      </w:r>
      <w:r w:rsidRPr="00AA3868">
        <w:rPr>
          <w:spacing w:val="-12"/>
          <w:sz w:val="24"/>
          <w:szCs w:val="24"/>
        </w:rPr>
        <w:t xml:space="preserve"> </w:t>
      </w:r>
      <w:r w:rsidRPr="00AA3868">
        <w:rPr>
          <w:sz w:val="24"/>
          <w:szCs w:val="24"/>
        </w:rPr>
        <w:t>kolon.</w:t>
      </w:r>
      <w:r w:rsidRPr="00AA3868">
        <w:rPr>
          <w:spacing w:val="-12"/>
          <w:sz w:val="24"/>
          <w:szCs w:val="24"/>
        </w:rPr>
        <w:t xml:space="preserve"> </w:t>
      </w:r>
      <w:r>
        <w:rPr>
          <w:spacing w:val="-12"/>
          <w:sz w:val="24"/>
          <w:szCs w:val="24"/>
        </w:rPr>
        <w:br/>
      </w:r>
      <w:r w:rsidRPr="00AA3868">
        <w:rPr>
          <w:sz w:val="24"/>
          <w:szCs w:val="24"/>
        </w:rPr>
        <w:t>Om</w:t>
      </w:r>
      <w:r w:rsidRPr="00AA3868">
        <w:rPr>
          <w:spacing w:val="-10"/>
          <w:sz w:val="24"/>
          <w:szCs w:val="24"/>
        </w:rPr>
        <w:t xml:space="preserve"> </w:t>
      </w:r>
      <w:r w:rsidRPr="00AA3868">
        <w:rPr>
          <w:sz w:val="24"/>
          <w:szCs w:val="24"/>
        </w:rPr>
        <w:t>i</w:t>
      </w:r>
      <w:r w:rsidRPr="00AA3868">
        <w:rPr>
          <w:spacing w:val="-1"/>
          <w:sz w:val="24"/>
          <w:szCs w:val="24"/>
        </w:rPr>
        <w:t>n</w:t>
      </w:r>
      <w:r w:rsidRPr="00AA3868">
        <w:rPr>
          <w:spacing w:val="-7"/>
          <w:sz w:val="24"/>
          <w:szCs w:val="24"/>
        </w:rPr>
        <w:t>f</w:t>
      </w:r>
      <w:r w:rsidRPr="00AA3868">
        <w:rPr>
          <w:spacing w:val="-3"/>
          <w:sz w:val="24"/>
          <w:szCs w:val="24"/>
        </w:rPr>
        <w:t>l</w:t>
      </w:r>
      <w:r w:rsidRPr="00AA3868">
        <w:rPr>
          <w:sz w:val="24"/>
          <w:szCs w:val="24"/>
        </w:rPr>
        <w:t>a</w:t>
      </w:r>
      <w:r w:rsidRPr="00AA3868">
        <w:rPr>
          <w:spacing w:val="-11"/>
          <w:sz w:val="24"/>
          <w:szCs w:val="24"/>
        </w:rPr>
        <w:t>m</w:t>
      </w:r>
      <w:r w:rsidRPr="00AA3868">
        <w:rPr>
          <w:spacing w:val="-7"/>
          <w:sz w:val="24"/>
          <w:szCs w:val="24"/>
        </w:rPr>
        <w:t>m</w:t>
      </w:r>
      <w:r w:rsidRPr="00AA3868">
        <w:rPr>
          <w:sz w:val="24"/>
          <w:szCs w:val="24"/>
        </w:rPr>
        <w:t>a</w:t>
      </w:r>
      <w:r w:rsidRPr="00AA3868">
        <w:rPr>
          <w:spacing w:val="-1"/>
          <w:sz w:val="24"/>
          <w:szCs w:val="24"/>
        </w:rPr>
        <w:t>t</w:t>
      </w:r>
      <w:r w:rsidRPr="00AA3868">
        <w:rPr>
          <w:sz w:val="24"/>
          <w:szCs w:val="24"/>
        </w:rPr>
        <w:t>ionen</w:t>
      </w:r>
      <w:r w:rsidRPr="00AA3868">
        <w:rPr>
          <w:spacing w:val="-14"/>
          <w:sz w:val="24"/>
          <w:szCs w:val="24"/>
        </w:rPr>
        <w:t xml:space="preserve"> </w:t>
      </w:r>
      <w:r w:rsidRPr="00AA3868">
        <w:rPr>
          <w:sz w:val="24"/>
          <w:szCs w:val="24"/>
        </w:rPr>
        <w:t xml:space="preserve">är </w:t>
      </w:r>
      <w:r w:rsidRPr="00AA3868">
        <w:rPr>
          <w:spacing w:val="-1"/>
          <w:sz w:val="24"/>
          <w:szCs w:val="24"/>
        </w:rPr>
        <w:t>b</w:t>
      </w:r>
      <w:r w:rsidRPr="00AA3868">
        <w:rPr>
          <w:sz w:val="24"/>
          <w:szCs w:val="24"/>
        </w:rPr>
        <w:t>eg</w:t>
      </w:r>
      <w:r w:rsidRPr="00AA3868">
        <w:rPr>
          <w:spacing w:val="-1"/>
          <w:sz w:val="24"/>
          <w:szCs w:val="24"/>
        </w:rPr>
        <w:t>r</w:t>
      </w:r>
      <w:r w:rsidRPr="00AA3868">
        <w:rPr>
          <w:spacing w:val="-4"/>
          <w:sz w:val="24"/>
          <w:szCs w:val="24"/>
        </w:rPr>
        <w:t>ä</w:t>
      </w:r>
      <w:r w:rsidRPr="00AA3868">
        <w:rPr>
          <w:spacing w:val="-1"/>
          <w:sz w:val="24"/>
          <w:szCs w:val="24"/>
        </w:rPr>
        <w:t>n</w:t>
      </w:r>
      <w:r w:rsidRPr="00AA3868">
        <w:rPr>
          <w:spacing w:val="-10"/>
          <w:sz w:val="24"/>
          <w:szCs w:val="24"/>
        </w:rPr>
        <w:t>s</w:t>
      </w:r>
      <w:r w:rsidRPr="00AA3868">
        <w:rPr>
          <w:sz w:val="24"/>
          <w:szCs w:val="24"/>
        </w:rPr>
        <w:t>ad</w:t>
      </w:r>
      <w:r w:rsidRPr="00AA3868">
        <w:rPr>
          <w:spacing w:val="-18"/>
          <w:sz w:val="24"/>
          <w:szCs w:val="24"/>
        </w:rPr>
        <w:t xml:space="preserve"> </w:t>
      </w:r>
      <w:r w:rsidRPr="00AA3868">
        <w:rPr>
          <w:spacing w:val="-1"/>
          <w:sz w:val="24"/>
          <w:szCs w:val="24"/>
        </w:rPr>
        <w:t>t</w:t>
      </w:r>
      <w:r w:rsidRPr="00AA3868">
        <w:rPr>
          <w:sz w:val="24"/>
          <w:szCs w:val="24"/>
        </w:rPr>
        <w:t>ill</w:t>
      </w:r>
      <w:r w:rsidRPr="00AA3868">
        <w:rPr>
          <w:spacing w:val="-15"/>
          <w:sz w:val="24"/>
          <w:szCs w:val="24"/>
        </w:rPr>
        <w:t xml:space="preserve"> </w:t>
      </w:r>
      <w:r w:rsidRPr="00AA3868">
        <w:rPr>
          <w:spacing w:val="-6"/>
          <w:sz w:val="24"/>
          <w:szCs w:val="24"/>
        </w:rPr>
        <w:t>r</w:t>
      </w:r>
      <w:r w:rsidRPr="00AA3868">
        <w:rPr>
          <w:sz w:val="24"/>
          <w:szCs w:val="24"/>
        </w:rPr>
        <w:t>ek</w:t>
      </w:r>
      <w:r w:rsidRPr="00AA3868">
        <w:rPr>
          <w:spacing w:val="-1"/>
          <w:sz w:val="24"/>
          <w:szCs w:val="24"/>
        </w:rPr>
        <w:t>t</w:t>
      </w:r>
      <w:r w:rsidRPr="00AA3868">
        <w:rPr>
          <w:sz w:val="24"/>
          <w:szCs w:val="24"/>
        </w:rPr>
        <w:t>um</w:t>
      </w:r>
      <w:r w:rsidRPr="00AA3868">
        <w:rPr>
          <w:spacing w:val="-13"/>
          <w:sz w:val="24"/>
          <w:szCs w:val="24"/>
        </w:rPr>
        <w:t xml:space="preserve"> </w:t>
      </w:r>
      <w:r w:rsidRPr="00AA3868">
        <w:rPr>
          <w:spacing w:val="-9"/>
          <w:sz w:val="24"/>
          <w:szCs w:val="24"/>
        </w:rPr>
        <w:t>(</w:t>
      </w:r>
      <w:r w:rsidRPr="00AA3868">
        <w:rPr>
          <w:spacing w:val="-1"/>
          <w:sz w:val="24"/>
          <w:szCs w:val="24"/>
        </w:rPr>
        <w:t>pr</w:t>
      </w:r>
      <w:r w:rsidRPr="00AA3868">
        <w:rPr>
          <w:spacing w:val="-5"/>
          <w:sz w:val="24"/>
          <w:szCs w:val="24"/>
        </w:rPr>
        <w:t>o</w:t>
      </w:r>
      <w:r w:rsidRPr="00AA3868">
        <w:rPr>
          <w:spacing w:val="-3"/>
          <w:sz w:val="24"/>
          <w:szCs w:val="24"/>
        </w:rPr>
        <w:t>k</w:t>
      </w:r>
      <w:r w:rsidRPr="00AA3868">
        <w:rPr>
          <w:spacing w:val="-1"/>
          <w:sz w:val="24"/>
          <w:szCs w:val="24"/>
        </w:rPr>
        <w:t>t</w:t>
      </w:r>
      <w:r w:rsidRPr="00AA3868">
        <w:rPr>
          <w:sz w:val="24"/>
          <w:szCs w:val="24"/>
        </w:rPr>
        <w:t>i</w:t>
      </w:r>
      <w:r w:rsidRPr="00AA3868">
        <w:rPr>
          <w:spacing w:val="-1"/>
          <w:sz w:val="24"/>
          <w:szCs w:val="24"/>
        </w:rPr>
        <w:t>t</w:t>
      </w:r>
      <w:r w:rsidRPr="00AA3868">
        <w:rPr>
          <w:sz w:val="24"/>
          <w:szCs w:val="24"/>
        </w:rPr>
        <w:t>)</w:t>
      </w:r>
      <w:r w:rsidRPr="00AA3868">
        <w:rPr>
          <w:spacing w:val="-16"/>
          <w:sz w:val="24"/>
          <w:szCs w:val="24"/>
        </w:rPr>
        <w:t xml:space="preserve"> </w:t>
      </w:r>
      <w:r w:rsidRPr="00AA3868">
        <w:rPr>
          <w:sz w:val="24"/>
          <w:szCs w:val="24"/>
        </w:rPr>
        <w:t>är</w:t>
      </w:r>
      <w:r w:rsidRPr="00AA3868">
        <w:rPr>
          <w:spacing w:val="-19"/>
          <w:sz w:val="24"/>
          <w:szCs w:val="24"/>
        </w:rPr>
        <w:t xml:space="preserve"> </w:t>
      </w:r>
      <w:r w:rsidRPr="00AA3868">
        <w:rPr>
          <w:sz w:val="24"/>
          <w:szCs w:val="24"/>
        </w:rPr>
        <w:t>5</w:t>
      </w:r>
      <w:r w:rsidRPr="00AA3868">
        <w:rPr>
          <w:spacing w:val="-1"/>
          <w:sz w:val="24"/>
          <w:szCs w:val="24"/>
        </w:rPr>
        <w:t>-</w:t>
      </w:r>
      <w:r w:rsidRPr="00AA3868">
        <w:rPr>
          <w:sz w:val="24"/>
          <w:szCs w:val="24"/>
        </w:rPr>
        <w:t>ASA</w:t>
      </w:r>
      <w:r w:rsidRPr="00AA3868">
        <w:rPr>
          <w:spacing w:val="-3"/>
          <w:sz w:val="24"/>
          <w:szCs w:val="24"/>
        </w:rPr>
        <w:t>-</w:t>
      </w:r>
      <w:r w:rsidRPr="00AA3868">
        <w:rPr>
          <w:spacing w:val="-7"/>
          <w:sz w:val="24"/>
          <w:szCs w:val="24"/>
        </w:rPr>
        <w:t>s</w:t>
      </w:r>
      <w:r w:rsidRPr="00AA3868">
        <w:rPr>
          <w:sz w:val="24"/>
          <w:szCs w:val="24"/>
        </w:rPr>
        <w:t>upp</w:t>
      </w:r>
      <w:r w:rsidRPr="00AA3868">
        <w:rPr>
          <w:spacing w:val="-3"/>
          <w:sz w:val="24"/>
          <w:szCs w:val="24"/>
        </w:rPr>
        <w:t>o</w:t>
      </w:r>
      <w:r w:rsidRPr="00AA3868">
        <w:rPr>
          <w:spacing w:val="-7"/>
          <w:sz w:val="24"/>
          <w:szCs w:val="24"/>
        </w:rPr>
        <w:t>s</w:t>
      </w:r>
      <w:r w:rsidRPr="00AA3868">
        <w:rPr>
          <w:sz w:val="24"/>
          <w:szCs w:val="24"/>
        </w:rPr>
        <w:t>i</w:t>
      </w:r>
      <w:r w:rsidRPr="00AA3868">
        <w:rPr>
          <w:spacing w:val="-3"/>
          <w:sz w:val="24"/>
          <w:szCs w:val="24"/>
        </w:rPr>
        <w:t>t</w:t>
      </w:r>
      <w:r w:rsidRPr="00AA3868">
        <w:rPr>
          <w:spacing w:val="-1"/>
          <w:sz w:val="24"/>
          <w:szCs w:val="24"/>
        </w:rPr>
        <w:t>or</w:t>
      </w:r>
      <w:r w:rsidRPr="00AA3868">
        <w:rPr>
          <w:spacing w:val="-5"/>
          <w:sz w:val="24"/>
          <w:szCs w:val="24"/>
        </w:rPr>
        <w:t>i</w:t>
      </w:r>
      <w:r w:rsidRPr="00AA3868">
        <w:rPr>
          <w:sz w:val="24"/>
          <w:szCs w:val="24"/>
        </w:rPr>
        <w:t>er</w:t>
      </w:r>
      <w:r w:rsidRPr="00AA3868">
        <w:rPr>
          <w:spacing w:val="-15"/>
          <w:sz w:val="24"/>
          <w:szCs w:val="24"/>
        </w:rPr>
        <w:t xml:space="preserve"> </w:t>
      </w:r>
      <w:r w:rsidRPr="00AA3868">
        <w:rPr>
          <w:spacing w:val="-1"/>
          <w:sz w:val="24"/>
          <w:szCs w:val="24"/>
        </w:rPr>
        <w:t>för</w:t>
      </w:r>
      <w:r w:rsidRPr="00AA3868">
        <w:rPr>
          <w:spacing w:val="-7"/>
          <w:sz w:val="24"/>
          <w:szCs w:val="24"/>
        </w:rPr>
        <w:t>s</w:t>
      </w:r>
      <w:r w:rsidRPr="00AA3868">
        <w:rPr>
          <w:spacing w:val="-3"/>
          <w:sz w:val="24"/>
          <w:szCs w:val="24"/>
        </w:rPr>
        <w:t>t</w:t>
      </w:r>
      <w:r w:rsidRPr="00AA3868">
        <w:rPr>
          <w:sz w:val="24"/>
          <w:szCs w:val="24"/>
        </w:rPr>
        <w:t>ahan</w:t>
      </w:r>
      <w:r w:rsidRPr="00AA3868">
        <w:rPr>
          <w:spacing w:val="-3"/>
          <w:sz w:val="24"/>
          <w:szCs w:val="24"/>
        </w:rPr>
        <w:t>d</w:t>
      </w:r>
      <w:r w:rsidRPr="00AA3868">
        <w:rPr>
          <w:spacing w:val="-5"/>
          <w:sz w:val="24"/>
          <w:szCs w:val="24"/>
        </w:rPr>
        <w:t>s</w:t>
      </w:r>
      <w:r w:rsidRPr="00AA3868">
        <w:rPr>
          <w:sz w:val="24"/>
          <w:szCs w:val="24"/>
        </w:rPr>
        <w:t>b</w:t>
      </w:r>
      <w:r w:rsidRPr="00AA3868">
        <w:rPr>
          <w:spacing w:val="-2"/>
          <w:sz w:val="24"/>
          <w:szCs w:val="24"/>
        </w:rPr>
        <w:t>e</w:t>
      </w:r>
      <w:r w:rsidRPr="00AA3868">
        <w:rPr>
          <w:spacing w:val="-3"/>
          <w:sz w:val="24"/>
          <w:szCs w:val="24"/>
        </w:rPr>
        <w:t>h</w:t>
      </w:r>
      <w:r w:rsidRPr="00AA3868">
        <w:rPr>
          <w:sz w:val="24"/>
          <w:szCs w:val="24"/>
        </w:rPr>
        <w:t>andling</w:t>
      </w:r>
      <w:r w:rsidRPr="00AA3868">
        <w:rPr>
          <w:spacing w:val="-14"/>
          <w:sz w:val="24"/>
          <w:szCs w:val="24"/>
        </w:rPr>
        <w:t xml:space="preserve"> </w:t>
      </w:r>
      <w:r w:rsidRPr="00AA3868">
        <w:rPr>
          <w:spacing w:val="-7"/>
          <w:sz w:val="24"/>
          <w:szCs w:val="24"/>
        </w:rPr>
        <w:t>(</w:t>
      </w:r>
      <w:r w:rsidRPr="00AA3868">
        <w:rPr>
          <w:spacing w:val="-2"/>
          <w:sz w:val="24"/>
          <w:szCs w:val="24"/>
        </w:rPr>
        <w:t>A</w:t>
      </w:r>
      <w:r w:rsidRPr="00AA3868">
        <w:rPr>
          <w:spacing w:val="-7"/>
          <w:sz w:val="24"/>
          <w:szCs w:val="24"/>
        </w:rPr>
        <w:t>s</w:t>
      </w:r>
      <w:r w:rsidRPr="00AA3868">
        <w:rPr>
          <w:spacing w:val="-2"/>
          <w:sz w:val="24"/>
          <w:szCs w:val="24"/>
        </w:rPr>
        <w:t>a</w:t>
      </w:r>
      <w:r w:rsidRPr="00AA3868">
        <w:rPr>
          <w:sz w:val="24"/>
          <w:szCs w:val="24"/>
        </w:rPr>
        <w:t>c</w:t>
      </w:r>
      <w:r w:rsidRPr="00AA3868">
        <w:rPr>
          <w:spacing w:val="-1"/>
          <w:sz w:val="24"/>
          <w:szCs w:val="24"/>
        </w:rPr>
        <w:t>o</w:t>
      </w:r>
      <w:r w:rsidRPr="00AA3868">
        <w:rPr>
          <w:sz w:val="24"/>
          <w:szCs w:val="24"/>
        </w:rPr>
        <w:t>l,</w:t>
      </w:r>
      <w:r w:rsidRPr="00AA3868">
        <w:rPr>
          <w:spacing w:val="-15"/>
          <w:sz w:val="24"/>
          <w:szCs w:val="24"/>
        </w:rPr>
        <w:t xml:space="preserve"> </w:t>
      </w:r>
      <w:r w:rsidRPr="00AA3868">
        <w:rPr>
          <w:spacing w:val="-1"/>
          <w:sz w:val="24"/>
          <w:szCs w:val="24"/>
        </w:rPr>
        <w:t>M</w:t>
      </w:r>
      <w:r w:rsidRPr="00AA3868">
        <w:rPr>
          <w:spacing w:val="-2"/>
          <w:sz w:val="24"/>
          <w:szCs w:val="24"/>
        </w:rPr>
        <w:t>e</w:t>
      </w:r>
      <w:r w:rsidRPr="00AA3868">
        <w:rPr>
          <w:spacing w:val="-7"/>
          <w:sz w:val="24"/>
          <w:szCs w:val="24"/>
        </w:rPr>
        <w:t>s</w:t>
      </w:r>
      <w:r w:rsidRPr="00AA3868">
        <w:rPr>
          <w:spacing w:val="-2"/>
          <w:sz w:val="24"/>
          <w:szCs w:val="24"/>
        </w:rPr>
        <w:t>a</w:t>
      </w:r>
      <w:r w:rsidRPr="00AA3868">
        <w:rPr>
          <w:spacing w:val="-7"/>
          <w:sz w:val="24"/>
          <w:szCs w:val="24"/>
        </w:rPr>
        <w:t>lazin Orion</w:t>
      </w:r>
      <w:r w:rsidRPr="00AA3868">
        <w:rPr>
          <w:sz w:val="24"/>
          <w:szCs w:val="24"/>
        </w:rPr>
        <w:t>,</w:t>
      </w:r>
      <w:r w:rsidRPr="00AA3868">
        <w:rPr>
          <w:w w:val="99"/>
          <w:sz w:val="24"/>
          <w:szCs w:val="24"/>
        </w:rPr>
        <w:t xml:space="preserve"> </w:t>
      </w:r>
      <w:r w:rsidRPr="00AA3868">
        <w:rPr>
          <w:spacing w:val="-1"/>
          <w:sz w:val="24"/>
          <w:szCs w:val="24"/>
        </w:rPr>
        <w:t>P</w:t>
      </w:r>
      <w:r w:rsidRPr="00AA3868">
        <w:rPr>
          <w:sz w:val="24"/>
          <w:szCs w:val="24"/>
        </w:rPr>
        <w:t>en</w:t>
      </w:r>
      <w:r w:rsidRPr="00AA3868">
        <w:rPr>
          <w:spacing w:val="-3"/>
          <w:sz w:val="24"/>
          <w:szCs w:val="24"/>
        </w:rPr>
        <w:t>t</w:t>
      </w:r>
      <w:r w:rsidRPr="00AA3868">
        <w:rPr>
          <w:spacing w:val="-2"/>
          <w:sz w:val="24"/>
          <w:szCs w:val="24"/>
        </w:rPr>
        <w:t>a</w:t>
      </w:r>
      <w:r w:rsidRPr="00AA3868">
        <w:rPr>
          <w:spacing w:val="-7"/>
          <w:sz w:val="24"/>
          <w:szCs w:val="24"/>
        </w:rPr>
        <w:t>s</w:t>
      </w:r>
      <w:r w:rsidRPr="00AA3868">
        <w:rPr>
          <w:sz w:val="24"/>
          <w:szCs w:val="24"/>
        </w:rPr>
        <w:t>a</w:t>
      </w:r>
      <w:r w:rsidRPr="00AA3868">
        <w:rPr>
          <w:spacing w:val="-1"/>
          <w:sz w:val="24"/>
          <w:szCs w:val="24"/>
        </w:rPr>
        <w:t>)</w:t>
      </w:r>
      <w:r w:rsidRPr="00AA3868">
        <w:rPr>
          <w:sz w:val="24"/>
          <w:szCs w:val="24"/>
        </w:rPr>
        <w:t>.</w:t>
      </w:r>
      <w:r w:rsidRPr="00AA3868">
        <w:rPr>
          <w:spacing w:val="-19"/>
          <w:sz w:val="24"/>
          <w:szCs w:val="24"/>
        </w:rPr>
        <w:t xml:space="preserve"> </w:t>
      </w:r>
      <w:r w:rsidRPr="00AA3868">
        <w:rPr>
          <w:spacing w:val="-1"/>
          <w:sz w:val="24"/>
          <w:szCs w:val="24"/>
        </w:rPr>
        <w:t>O</w:t>
      </w:r>
      <w:r w:rsidRPr="00AA3868">
        <w:rPr>
          <w:sz w:val="24"/>
          <w:szCs w:val="24"/>
        </w:rPr>
        <w:t>m</w:t>
      </w:r>
      <w:r w:rsidRPr="00AA3868">
        <w:rPr>
          <w:spacing w:val="-21"/>
          <w:sz w:val="24"/>
          <w:szCs w:val="24"/>
        </w:rPr>
        <w:t xml:space="preserve"> </w:t>
      </w:r>
      <w:r w:rsidRPr="00AA3868">
        <w:rPr>
          <w:spacing w:val="-3"/>
          <w:sz w:val="24"/>
          <w:szCs w:val="24"/>
        </w:rPr>
        <w:t>u</w:t>
      </w:r>
      <w:r w:rsidRPr="00AA3868">
        <w:rPr>
          <w:spacing w:val="-1"/>
          <w:sz w:val="24"/>
          <w:szCs w:val="24"/>
        </w:rPr>
        <w:t>t</w:t>
      </w:r>
      <w:r w:rsidRPr="00AA3868">
        <w:rPr>
          <w:sz w:val="24"/>
          <w:szCs w:val="24"/>
        </w:rPr>
        <w:t>b</w:t>
      </w:r>
      <w:r w:rsidRPr="00AA3868">
        <w:rPr>
          <w:spacing w:val="-4"/>
          <w:sz w:val="24"/>
          <w:szCs w:val="24"/>
        </w:rPr>
        <w:t>r</w:t>
      </w:r>
      <w:r w:rsidRPr="00AA3868">
        <w:rPr>
          <w:spacing w:val="-2"/>
          <w:sz w:val="24"/>
          <w:szCs w:val="24"/>
        </w:rPr>
        <w:t>ed</w:t>
      </w:r>
      <w:r w:rsidRPr="00AA3868">
        <w:rPr>
          <w:spacing w:val="-1"/>
          <w:sz w:val="24"/>
          <w:szCs w:val="24"/>
        </w:rPr>
        <w:t>n</w:t>
      </w:r>
      <w:r w:rsidRPr="00AA3868">
        <w:rPr>
          <w:sz w:val="24"/>
          <w:szCs w:val="24"/>
        </w:rPr>
        <w:t>i</w:t>
      </w:r>
      <w:r w:rsidRPr="00AA3868">
        <w:rPr>
          <w:spacing w:val="-3"/>
          <w:sz w:val="24"/>
          <w:szCs w:val="24"/>
        </w:rPr>
        <w:t>n</w:t>
      </w:r>
      <w:r w:rsidRPr="00AA3868">
        <w:rPr>
          <w:spacing w:val="-2"/>
          <w:sz w:val="24"/>
          <w:szCs w:val="24"/>
        </w:rPr>
        <w:t>g</w:t>
      </w:r>
      <w:r w:rsidRPr="00AA3868">
        <w:rPr>
          <w:spacing w:val="-8"/>
          <w:sz w:val="24"/>
          <w:szCs w:val="24"/>
        </w:rPr>
        <w:t>e</w:t>
      </w:r>
      <w:r w:rsidRPr="00AA3868">
        <w:rPr>
          <w:sz w:val="24"/>
          <w:szCs w:val="24"/>
        </w:rPr>
        <w:t>n</w:t>
      </w:r>
      <w:r w:rsidRPr="00AA3868">
        <w:rPr>
          <w:spacing w:val="-17"/>
          <w:sz w:val="24"/>
          <w:szCs w:val="24"/>
        </w:rPr>
        <w:t xml:space="preserve"> </w:t>
      </w:r>
      <w:r w:rsidRPr="00AA3868">
        <w:rPr>
          <w:sz w:val="24"/>
          <w:szCs w:val="24"/>
        </w:rPr>
        <w:t>är</w:t>
      </w:r>
      <w:r w:rsidRPr="00AA3868">
        <w:rPr>
          <w:spacing w:val="-21"/>
          <w:sz w:val="24"/>
          <w:szCs w:val="24"/>
        </w:rPr>
        <w:t xml:space="preserve"> </w:t>
      </w:r>
      <w:r w:rsidRPr="00AA3868">
        <w:rPr>
          <w:spacing w:val="-10"/>
          <w:sz w:val="24"/>
          <w:szCs w:val="24"/>
        </w:rPr>
        <w:t>s</w:t>
      </w:r>
      <w:r w:rsidRPr="00AA3868">
        <w:rPr>
          <w:spacing w:val="-1"/>
          <w:sz w:val="24"/>
          <w:szCs w:val="24"/>
        </w:rPr>
        <w:t>t</w:t>
      </w:r>
      <w:r w:rsidRPr="00AA3868">
        <w:rPr>
          <w:spacing w:val="2"/>
          <w:sz w:val="24"/>
          <w:szCs w:val="24"/>
        </w:rPr>
        <w:t>ö</w:t>
      </w:r>
      <w:r w:rsidRPr="00AA3868">
        <w:rPr>
          <w:spacing w:val="-4"/>
          <w:sz w:val="24"/>
          <w:szCs w:val="24"/>
        </w:rPr>
        <w:t>r</w:t>
      </w:r>
      <w:r w:rsidRPr="00AA3868">
        <w:rPr>
          <w:spacing w:val="-1"/>
          <w:sz w:val="24"/>
          <w:szCs w:val="24"/>
        </w:rPr>
        <w:t>r</w:t>
      </w:r>
      <w:r w:rsidRPr="00AA3868">
        <w:rPr>
          <w:sz w:val="24"/>
          <w:szCs w:val="24"/>
        </w:rPr>
        <w:t>e</w:t>
      </w:r>
      <w:r w:rsidRPr="00AA3868">
        <w:rPr>
          <w:spacing w:val="-16"/>
          <w:sz w:val="24"/>
          <w:szCs w:val="24"/>
        </w:rPr>
        <w:t xml:space="preserve"> </w:t>
      </w:r>
      <w:r w:rsidRPr="00AA3868">
        <w:rPr>
          <w:sz w:val="24"/>
          <w:szCs w:val="24"/>
        </w:rPr>
        <w:t>g</w:t>
      </w:r>
      <w:r w:rsidRPr="00AA3868">
        <w:rPr>
          <w:spacing w:val="-2"/>
          <w:sz w:val="24"/>
          <w:szCs w:val="24"/>
        </w:rPr>
        <w:t>e</w:t>
      </w:r>
      <w:r w:rsidRPr="00AA3868">
        <w:rPr>
          <w:sz w:val="24"/>
          <w:szCs w:val="24"/>
        </w:rPr>
        <w:t>s</w:t>
      </w:r>
      <w:r w:rsidRPr="00AA3868">
        <w:rPr>
          <w:spacing w:val="-19"/>
          <w:sz w:val="24"/>
          <w:szCs w:val="24"/>
        </w:rPr>
        <w:t xml:space="preserve"> </w:t>
      </w:r>
      <w:r w:rsidRPr="00AA3868">
        <w:rPr>
          <w:spacing w:val="-1"/>
          <w:sz w:val="24"/>
          <w:szCs w:val="24"/>
        </w:rPr>
        <w:t>r</w:t>
      </w:r>
      <w:r w:rsidRPr="00AA3868">
        <w:rPr>
          <w:sz w:val="24"/>
          <w:szCs w:val="24"/>
        </w:rPr>
        <w:t>e</w:t>
      </w:r>
      <w:r w:rsidRPr="00AA3868">
        <w:rPr>
          <w:spacing w:val="-2"/>
          <w:sz w:val="24"/>
          <w:szCs w:val="24"/>
        </w:rPr>
        <w:t>k</w:t>
      </w:r>
      <w:r w:rsidRPr="00AA3868">
        <w:rPr>
          <w:spacing w:val="-1"/>
          <w:sz w:val="24"/>
          <w:szCs w:val="24"/>
        </w:rPr>
        <w:t>t</w:t>
      </w:r>
      <w:r w:rsidRPr="00AA3868">
        <w:rPr>
          <w:sz w:val="24"/>
          <w:szCs w:val="24"/>
        </w:rPr>
        <w:t>a</w:t>
      </w:r>
      <w:r w:rsidRPr="00AA3868">
        <w:rPr>
          <w:spacing w:val="-3"/>
          <w:sz w:val="24"/>
          <w:szCs w:val="24"/>
        </w:rPr>
        <w:t>l</w:t>
      </w:r>
      <w:r w:rsidRPr="00AA3868">
        <w:rPr>
          <w:spacing w:val="-7"/>
          <w:sz w:val="24"/>
          <w:szCs w:val="24"/>
        </w:rPr>
        <w:t>s</w:t>
      </w:r>
      <w:r w:rsidRPr="00AA3868">
        <w:rPr>
          <w:sz w:val="24"/>
          <w:szCs w:val="24"/>
        </w:rPr>
        <w:t>u</w:t>
      </w:r>
      <w:r w:rsidRPr="00AA3868">
        <w:rPr>
          <w:spacing w:val="-10"/>
          <w:sz w:val="24"/>
          <w:szCs w:val="24"/>
        </w:rPr>
        <w:t>s</w:t>
      </w:r>
      <w:r w:rsidRPr="00AA3868">
        <w:rPr>
          <w:spacing w:val="-1"/>
          <w:sz w:val="24"/>
          <w:szCs w:val="24"/>
        </w:rPr>
        <w:t>p</w:t>
      </w:r>
      <w:r w:rsidRPr="00AA3868">
        <w:rPr>
          <w:sz w:val="24"/>
          <w:szCs w:val="24"/>
        </w:rPr>
        <w:t>e</w:t>
      </w:r>
      <w:r w:rsidRPr="00AA3868">
        <w:rPr>
          <w:spacing w:val="-3"/>
          <w:sz w:val="24"/>
          <w:szCs w:val="24"/>
        </w:rPr>
        <w:t>n</w:t>
      </w:r>
      <w:r w:rsidRPr="00AA3868">
        <w:rPr>
          <w:spacing w:val="-7"/>
          <w:sz w:val="24"/>
          <w:szCs w:val="24"/>
        </w:rPr>
        <w:t>s</w:t>
      </w:r>
      <w:r w:rsidRPr="00AA3868">
        <w:rPr>
          <w:sz w:val="24"/>
          <w:szCs w:val="24"/>
        </w:rPr>
        <w:t>i</w:t>
      </w:r>
      <w:r w:rsidRPr="00AA3868">
        <w:rPr>
          <w:spacing w:val="-1"/>
          <w:sz w:val="24"/>
          <w:szCs w:val="24"/>
        </w:rPr>
        <w:t>o</w:t>
      </w:r>
      <w:r w:rsidRPr="00AA3868">
        <w:rPr>
          <w:sz w:val="24"/>
          <w:szCs w:val="24"/>
        </w:rPr>
        <w:t>n</w:t>
      </w:r>
      <w:r w:rsidRPr="00AA3868">
        <w:rPr>
          <w:spacing w:val="-16"/>
          <w:sz w:val="24"/>
          <w:szCs w:val="24"/>
        </w:rPr>
        <w:t xml:space="preserve"> </w:t>
      </w:r>
      <w:r w:rsidRPr="00AA3868">
        <w:rPr>
          <w:spacing w:val="-3"/>
          <w:sz w:val="24"/>
          <w:szCs w:val="24"/>
        </w:rPr>
        <w:t>(</w:t>
      </w:r>
      <w:r w:rsidRPr="00AA3868">
        <w:rPr>
          <w:sz w:val="24"/>
          <w:szCs w:val="24"/>
        </w:rPr>
        <w:t>A</w:t>
      </w:r>
      <w:r w:rsidRPr="00AA3868">
        <w:rPr>
          <w:spacing w:val="-10"/>
          <w:sz w:val="24"/>
          <w:szCs w:val="24"/>
        </w:rPr>
        <w:t>s</w:t>
      </w:r>
      <w:r w:rsidRPr="00AA3868">
        <w:rPr>
          <w:sz w:val="24"/>
          <w:szCs w:val="24"/>
        </w:rPr>
        <w:t>ac</w:t>
      </w:r>
      <w:r w:rsidRPr="00AA3868">
        <w:rPr>
          <w:spacing w:val="-5"/>
          <w:sz w:val="24"/>
          <w:szCs w:val="24"/>
        </w:rPr>
        <w:t>o</w:t>
      </w:r>
      <w:r w:rsidRPr="00AA3868">
        <w:rPr>
          <w:spacing w:val="-3"/>
          <w:sz w:val="24"/>
          <w:szCs w:val="24"/>
        </w:rPr>
        <w:t>l</w:t>
      </w:r>
      <w:r w:rsidRPr="00AA3868">
        <w:rPr>
          <w:sz w:val="24"/>
          <w:szCs w:val="24"/>
        </w:rPr>
        <w:t>,</w:t>
      </w:r>
      <w:r w:rsidRPr="00AA3868">
        <w:rPr>
          <w:spacing w:val="-16"/>
          <w:sz w:val="24"/>
          <w:szCs w:val="24"/>
        </w:rPr>
        <w:t xml:space="preserve"> </w:t>
      </w:r>
      <w:r w:rsidRPr="00AA3868">
        <w:rPr>
          <w:sz w:val="24"/>
          <w:szCs w:val="24"/>
        </w:rPr>
        <w:t>Pe</w:t>
      </w:r>
      <w:r w:rsidRPr="00AA3868">
        <w:rPr>
          <w:spacing w:val="-6"/>
          <w:sz w:val="24"/>
          <w:szCs w:val="24"/>
        </w:rPr>
        <w:t>n</w:t>
      </w:r>
      <w:r w:rsidRPr="00AA3868">
        <w:rPr>
          <w:spacing w:val="-3"/>
          <w:sz w:val="24"/>
          <w:szCs w:val="24"/>
        </w:rPr>
        <w:t>t</w:t>
      </w:r>
      <w:r w:rsidRPr="00AA3868">
        <w:rPr>
          <w:sz w:val="24"/>
          <w:szCs w:val="24"/>
        </w:rPr>
        <w:t>a</w:t>
      </w:r>
      <w:r w:rsidRPr="00AA3868">
        <w:rPr>
          <w:spacing w:val="-10"/>
          <w:sz w:val="24"/>
          <w:szCs w:val="24"/>
        </w:rPr>
        <w:t>s</w:t>
      </w:r>
      <w:r w:rsidRPr="00AA3868">
        <w:rPr>
          <w:sz w:val="24"/>
          <w:szCs w:val="24"/>
        </w:rPr>
        <w:t>a)</w:t>
      </w:r>
      <w:r w:rsidRPr="00AA3868">
        <w:rPr>
          <w:spacing w:val="-19"/>
          <w:sz w:val="24"/>
          <w:szCs w:val="24"/>
        </w:rPr>
        <w:t xml:space="preserve"> </w:t>
      </w:r>
      <w:r w:rsidRPr="00AA3868">
        <w:rPr>
          <w:spacing w:val="-7"/>
          <w:sz w:val="24"/>
          <w:szCs w:val="24"/>
        </w:rPr>
        <w:lastRenderedPageBreak/>
        <w:t>s</w:t>
      </w:r>
      <w:r w:rsidRPr="00AA3868">
        <w:rPr>
          <w:sz w:val="24"/>
          <w:szCs w:val="24"/>
        </w:rPr>
        <w:t>a</w:t>
      </w:r>
      <w:r w:rsidRPr="00AA3868">
        <w:rPr>
          <w:spacing w:val="-1"/>
          <w:sz w:val="24"/>
          <w:szCs w:val="24"/>
        </w:rPr>
        <w:t>m</w:t>
      </w:r>
      <w:r w:rsidRPr="00AA3868">
        <w:rPr>
          <w:sz w:val="24"/>
          <w:szCs w:val="24"/>
        </w:rPr>
        <w:t>t</w:t>
      </w:r>
      <w:r w:rsidRPr="00AA3868">
        <w:rPr>
          <w:spacing w:val="-16"/>
          <w:sz w:val="24"/>
          <w:szCs w:val="24"/>
        </w:rPr>
        <w:t xml:space="preserve"> </w:t>
      </w:r>
      <w:r w:rsidRPr="00AA3868">
        <w:rPr>
          <w:sz w:val="24"/>
          <w:szCs w:val="24"/>
        </w:rPr>
        <w:t>eventuellt</w:t>
      </w:r>
      <w:r w:rsidRPr="00AA3868">
        <w:rPr>
          <w:spacing w:val="-13"/>
          <w:sz w:val="24"/>
          <w:szCs w:val="24"/>
        </w:rPr>
        <w:t xml:space="preserve"> </w:t>
      </w:r>
      <w:r w:rsidRPr="00AA3868">
        <w:rPr>
          <w:spacing w:val="-1"/>
          <w:sz w:val="24"/>
          <w:szCs w:val="24"/>
        </w:rPr>
        <w:t>t</w:t>
      </w:r>
      <w:r w:rsidRPr="00AA3868">
        <w:rPr>
          <w:sz w:val="24"/>
          <w:szCs w:val="24"/>
        </w:rPr>
        <w:t>i</w:t>
      </w:r>
      <w:r w:rsidRPr="00AA3868">
        <w:rPr>
          <w:spacing w:val="-3"/>
          <w:sz w:val="24"/>
          <w:szCs w:val="24"/>
        </w:rPr>
        <w:t>l</w:t>
      </w:r>
      <w:r w:rsidRPr="00AA3868">
        <w:rPr>
          <w:sz w:val="24"/>
          <w:szCs w:val="24"/>
        </w:rPr>
        <w:t>l</w:t>
      </w:r>
      <w:r w:rsidRPr="00AA3868">
        <w:rPr>
          <w:spacing w:val="-4"/>
          <w:sz w:val="24"/>
          <w:szCs w:val="24"/>
        </w:rPr>
        <w:t>ä</w:t>
      </w:r>
      <w:r w:rsidRPr="00AA3868">
        <w:rPr>
          <w:sz w:val="24"/>
          <w:szCs w:val="24"/>
        </w:rPr>
        <w:t>gg</w:t>
      </w:r>
      <w:r w:rsidRPr="00AA3868">
        <w:rPr>
          <w:spacing w:val="-15"/>
          <w:sz w:val="24"/>
          <w:szCs w:val="24"/>
        </w:rPr>
        <w:t xml:space="preserve"> </w:t>
      </w:r>
      <w:r w:rsidRPr="00AA3868">
        <w:rPr>
          <w:sz w:val="24"/>
          <w:szCs w:val="24"/>
        </w:rPr>
        <w:t>av</w:t>
      </w:r>
      <w:r w:rsidRPr="00AA3868">
        <w:rPr>
          <w:spacing w:val="-13"/>
          <w:sz w:val="24"/>
          <w:szCs w:val="24"/>
        </w:rPr>
        <w:t xml:space="preserve"> </w:t>
      </w:r>
      <w:r w:rsidRPr="00AA3868">
        <w:rPr>
          <w:spacing w:val="-3"/>
          <w:sz w:val="24"/>
          <w:szCs w:val="24"/>
        </w:rPr>
        <w:t>p</w:t>
      </w:r>
      <w:r w:rsidRPr="00AA3868">
        <w:rPr>
          <w:spacing w:val="1"/>
          <w:sz w:val="24"/>
          <w:szCs w:val="24"/>
        </w:rPr>
        <w:t>e</w:t>
      </w:r>
      <w:r w:rsidRPr="00AA3868">
        <w:rPr>
          <w:spacing w:val="-9"/>
          <w:sz w:val="24"/>
          <w:szCs w:val="24"/>
        </w:rPr>
        <w:t>r</w:t>
      </w:r>
      <w:r w:rsidRPr="00AA3868">
        <w:rPr>
          <w:spacing w:val="-1"/>
          <w:sz w:val="24"/>
          <w:szCs w:val="24"/>
        </w:rPr>
        <w:t>or</w:t>
      </w:r>
      <w:r w:rsidRPr="00AA3868">
        <w:rPr>
          <w:sz w:val="24"/>
          <w:szCs w:val="24"/>
        </w:rPr>
        <w:t>alt</w:t>
      </w:r>
      <w:r w:rsidRPr="00AA3868">
        <w:rPr>
          <w:spacing w:val="-22"/>
          <w:sz w:val="24"/>
          <w:szCs w:val="24"/>
        </w:rPr>
        <w:t xml:space="preserve"> </w:t>
      </w:r>
      <w:r w:rsidRPr="00AA3868">
        <w:rPr>
          <w:sz w:val="24"/>
          <w:szCs w:val="24"/>
        </w:rPr>
        <w:t>5</w:t>
      </w:r>
      <w:r w:rsidRPr="00AA3868">
        <w:rPr>
          <w:spacing w:val="-1"/>
          <w:sz w:val="24"/>
          <w:szCs w:val="24"/>
        </w:rPr>
        <w:t>-</w:t>
      </w:r>
      <w:r w:rsidRPr="00AA3868">
        <w:rPr>
          <w:sz w:val="24"/>
          <w:szCs w:val="24"/>
        </w:rPr>
        <w:t>ASA</w:t>
      </w:r>
      <w:r w:rsidRPr="00AA3868">
        <w:rPr>
          <w:spacing w:val="-11"/>
          <w:sz w:val="24"/>
          <w:szCs w:val="24"/>
        </w:rPr>
        <w:t xml:space="preserve"> </w:t>
      </w:r>
      <w:r w:rsidRPr="00AA3868">
        <w:rPr>
          <w:spacing w:val="-3"/>
          <w:sz w:val="24"/>
          <w:szCs w:val="24"/>
        </w:rPr>
        <w:t>(</w:t>
      </w:r>
      <w:r w:rsidRPr="00AA3868">
        <w:rPr>
          <w:sz w:val="24"/>
          <w:szCs w:val="24"/>
        </w:rPr>
        <w:t>A</w:t>
      </w:r>
      <w:r w:rsidRPr="00AA3868">
        <w:rPr>
          <w:spacing w:val="-10"/>
          <w:sz w:val="24"/>
          <w:szCs w:val="24"/>
        </w:rPr>
        <w:t>s</w:t>
      </w:r>
      <w:r w:rsidRPr="00AA3868">
        <w:rPr>
          <w:sz w:val="24"/>
          <w:szCs w:val="24"/>
        </w:rPr>
        <w:t>a</w:t>
      </w:r>
      <w:r w:rsidRPr="00AA3868">
        <w:rPr>
          <w:spacing w:val="-2"/>
          <w:sz w:val="24"/>
          <w:szCs w:val="24"/>
        </w:rPr>
        <w:t>c</w:t>
      </w:r>
      <w:r w:rsidRPr="00AA3868">
        <w:rPr>
          <w:spacing w:val="-1"/>
          <w:sz w:val="24"/>
          <w:szCs w:val="24"/>
        </w:rPr>
        <w:t>o</w:t>
      </w:r>
      <w:r w:rsidRPr="00AA3868">
        <w:rPr>
          <w:sz w:val="24"/>
          <w:szCs w:val="24"/>
        </w:rPr>
        <w:t>l,</w:t>
      </w:r>
      <w:r w:rsidRPr="00AA3868">
        <w:rPr>
          <w:spacing w:val="-14"/>
          <w:sz w:val="24"/>
          <w:szCs w:val="24"/>
        </w:rPr>
        <w:t xml:space="preserve"> </w:t>
      </w:r>
      <w:r w:rsidRPr="00AA3868">
        <w:rPr>
          <w:sz w:val="24"/>
          <w:szCs w:val="24"/>
        </w:rPr>
        <w:t>Mesalazin Orion,</w:t>
      </w:r>
      <w:r w:rsidRPr="00AA3868">
        <w:rPr>
          <w:spacing w:val="-3"/>
          <w:sz w:val="24"/>
          <w:szCs w:val="24"/>
        </w:rPr>
        <w:t xml:space="preserve"> </w:t>
      </w:r>
      <w:r w:rsidRPr="00AA3868">
        <w:rPr>
          <w:sz w:val="24"/>
          <w:szCs w:val="24"/>
        </w:rPr>
        <w:t xml:space="preserve">Mezavant, </w:t>
      </w:r>
      <w:r w:rsidRPr="00AA3868">
        <w:rPr>
          <w:spacing w:val="-3"/>
          <w:sz w:val="24"/>
          <w:szCs w:val="24"/>
        </w:rPr>
        <w:t>P</w:t>
      </w:r>
      <w:r w:rsidRPr="00AA3868">
        <w:rPr>
          <w:sz w:val="24"/>
          <w:szCs w:val="24"/>
        </w:rPr>
        <w:t>en</w:t>
      </w:r>
      <w:r w:rsidRPr="00AA3868">
        <w:rPr>
          <w:spacing w:val="-3"/>
          <w:sz w:val="24"/>
          <w:szCs w:val="24"/>
        </w:rPr>
        <w:t>t</w:t>
      </w:r>
      <w:r w:rsidRPr="00AA3868">
        <w:rPr>
          <w:spacing w:val="-2"/>
          <w:sz w:val="24"/>
          <w:szCs w:val="24"/>
        </w:rPr>
        <w:t>a</w:t>
      </w:r>
      <w:r w:rsidRPr="00AA3868">
        <w:rPr>
          <w:spacing w:val="-7"/>
          <w:sz w:val="24"/>
          <w:szCs w:val="24"/>
        </w:rPr>
        <w:t>s</w:t>
      </w:r>
      <w:r w:rsidRPr="00AA3868">
        <w:rPr>
          <w:sz w:val="24"/>
          <w:szCs w:val="24"/>
        </w:rPr>
        <w:t>a</w:t>
      </w:r>
      <w:r w:rsidRPr="00AA3868">
        <w:rPr>
          <w:spacing w:val="-3"/>
          <w:sz w:val="24"/>
          <w:szCs w:val="24"/>
        </w:rPr>
        <w:t>)</w:t>
      </w:r>
      <w:r w:rsidRPr="00AA3868">
        <w:rPr>
          <w:sz w:val="24"/>
          <w:szCs w:val="24"/>
        </w:rPr>
        <w:t>.</w:t>
      </w:r>
      <w:r w:rsidRPr="00AA3868">
        <w:rPr>
          <w:spacing w:val="-20"/>
          <w:sz w:val="24"/>
          <w:szCs w:val="24"/>
        </w:rPr>
        <w:t xml:space="preserve"> </w:t>
      </w:r>
      <w:r>
        <w:rPr>
          <w:spacing w:val="-20"/>
          <w:sz w:val="24"/>
          <w:szCs w:val="24"/>
        </w:rPr>
        <w:br/>
      </w:r>
      <w:r w:rsidRPr="00AA3868">
        <w:rPr>
          <w:spacing w:val="1"/>
          <w:sz w:val="24"/>
          <w:szCs w:val="24"/>
        </w:rPr>
        <w:t>R</w:t>
      </w:r>
      <w:r w:rsidRPr="00AA3868">
        <w:rPr>
          <w:sz w:val="24"/>
          <w:szCs w:val="24"/>
        </w:rPr>
        <w:t>ek</w:t>
      </w:r>
      <w:r w:rsidRPr="00AA3868">
        <w:rPr>
          <w:spacing w:val="-1"/>
          <w:sz w:val="24"/>
          <w:szCs w:val="24"/>
        </w:rPr>
        <w:t>t</w:t>
      </w:r>
      <w:r w:rsidRPr="00AA3868">
        <w:rPr>
          <w:spacing w:val="-2"/>
          <w:sz w:val="24"/>
          <w:szCs w:val="24"/>
        </w:rPr>
        <w:t>a</w:t>
      </w:r>
      <w:r w:rsidRPr="00AA3868">
        <w:rPr>
          <w:spacing w:val="-7"/>
          <w:sz w:val="24"/>
          <w:szCs w:val="24"/>
        </w:rPr>
        <w:t>l</w:t>
      </w:r>
      <w:r w:rsidRPr="00AA3868">
        <w:rPr>
          <w:sz w:val="24"/>
          <w:szCs w:val="24"/>
        </w:rPr>
        <w:t>a</w:t>
      </w:r>
      <w:r w:rsidRPr="00AA3868">
        <w:rPr>
          <w:spacing w:val="-10"/>
          <w:sz w:val="24"/>
          <w:szCs w:val="24"/>
        </w:rPr>
        <w:t xml:space="preserve"> </w:t>
      </w:r>
      <w:r w:rsidRPr="00AA3868">
        <w:rPr>
          <w:sz w:val="24"/>
          <w:szCs w:val="24"/>
        </w:rPr>
        <w:t>gl</w:t>
      </w:r>
      <w:r w:rsidRPr="00AA3868">
        <w:rPr>
          <w:spacing w:val="-9"/>
          <w:sz w:val="24"/>
          <w:szCs w:val="24"/>
        </w:rPr>
        <w:t>u</w:t>
      </w:r>
      <w:r w:rsidRPr="00AA3868">
        <w:rPr>
          <w:sz w:val="24"/>
          <w:szCs w:val="24"/>
        </w:rPr>
        <w:t>ko</w:t>
      </w:r>
      <w:r w:rsidRPr="00AA3868">
        <w:rPr>
          <w:spacing w:val="1"/>
          <w:sz w:val="24"/>
          <w:szCs w:val="24"/>
        </w:rPr>
        <w:t>k</w:t>
      </w:r>
      <w:r w:rsidRPr="00AA3868">
        <w:rPr>
          <w:spacing w:val="-1"/>
          <w:sz w:val="24"/>
          <w:szCs w:val="24"/>
        </w:rPr>
        <w:t>ort</w:t>
      </w:r>
      <w:r w:rsidRPr="00AA3868">
        <w:rPr>
          <w:sz w:val="24"/>
          <w:szCs w:val="24"/>
        </w:rPr>
        <w:t>ikoi</w:t>
      </w:r>
      <w:r w:rsidRPr="00AA3868">
        <w:rPr>
          <w:spacing w:val="-5"/>
          <w:sz w:val="24"/>
          <w:szCs w:val="24"/>
        </w:rPr>
        <w:t>d</w:t>
      </w:r>
      <w:r w:rsidRPr="00AA3868">
        <w:rPr>
          <w:sz w:val="24"/>
          <w:szCs w:val="24"/>
        </w:rPr>
        <w:t xml:space="preserve">er är inte lika effektiva som rektala 5-ASA-preparat (mesalazin), </w:t>
      </w:r>
      <w:r>
        <w:rPr>
          <w:sz w:val="24"/>
          <w:szCs w:val="24"/>
        </w:rPr>
        <w:br/>
      </w:r>
      <w:r w:rsidRPr="00AA3868">
        <w:rPr>
          <w:sz w:val="24"/>
          <w:szCs w:val="24"/>
        </w:rPr>
        <w:t xml:space="preserve">men </w:t>
      </w:r>
      <w:r w:rsidRPr="00AA3868">
        <w:rPr>
          <w:spacing w:val="-3"/>
          <w:sz w:val="24"/>
          <w:szCs w:val="24"/>
        </w:rPr>
        <w:t>k</w:t>
      </w:r>
      <w:r w:rsidRPr="00AA3868">
        <w:rPr>
          <w:sz w:val="24"/>
          <w:szCs w:val="24"/>
        </w:rPr>
        <w:t>an</w:t>
      </w:r>
      <w:r w:rsidRPr="00AA3868">
        <w:rPr>
          <w:spacing w:val="-13"/>
          <w:sz w:val="24"/>
          <w:szCs w:val="24"/>
        </w:rPr>
        <w:t xml:space="preserve"> </w:t>
      </w:r>
      <w:r w:rsidRPr="00AA3868">
        <w:rPr>
          <w:sz w:val="24"/>
          <w:szCs w:val="24"/>
        </w:rPr>
        <w:t>g</w:t>
      </w:r>
      <w:r w:rsidRPr="00AA3868">
        <w:rPr>
          <w:spacing w:val="-2"/>
          <w:sz w:val="24"/>
          <w:szCs w:val="24"/>
        </w:rPr>
        <w:t>e</w:t>
      </w:r>
      <w:r w:rsidRPr="00AA3868">
        <w:rPr>
          <w:sz w:val="24"/>
          <w:szCs w:val="24"/>
        </w:rPr>
        <w:t>s</w:t>
      </w:r>
      <w:r w:rsidRPr="00AA3868">
        <w:rPr>
          <w:spacing w:val="-16"/>
          <w:sz w:val="24"/>
          <w:szCs w:val="24"/>
        </w:rPr>
        <w:t xml:space="preserve"> </w:t>
      </w:r>
      <w:r w:rsidRPr="00AA3868">
        <w:rPr>
          <w:spacing w:val="-10"/>
          <w:sz w:val="24"/>
          <w:szCs w:val="24"/>
        </w:rPr>
        <w:t>s</w:t>
      </w:r>
      <w:r w:rsidRPr="00AA3868">
        <w:rPr>
          <w:spacing w:val="-1"/>
          <w:sz w:val="24"/>
          <w:szCs w:val="24"/>
        </w:rPr>
        <w:t>o</w:t>
      </w:r>
      <w:r w:rsidRPr="00AA3868">
        <w:rPr>
          <w:sz w:val="24"/>
          <w:szCs w:val="24"/>
        </w:rPr>
        <w:t>m</w:t>
      </w:r>
      <w:r w:rsidRPr="00AA3868">
        <w:rPr>
          <w:w w:val="99"/>
          <w:sz w:val="24"/>
          <w:szCs w:val="24"/>
        </w:rPr>
        <w:t xml:space="preserve"> </w:t>
      </w:r>
      <w:r w:rsidRPr="00AA3868">
        <w:rPr>
          <w:sz w:val="24"/>
          <w:szCs w:val="24"/>
        </w:rPr>
        <w:t>a</w:t>
      </w:r>
      <w:r w:rsidRPr="00AA3868">
        <w:rPr>
          <w:spacing w:val="-1"/>
          <w:sz w:val="24"/>
          <w:szCs w:val="24"/>
        </w:rPr>
        <w:t>n</w:t>
      </w:r>
      <w:r w:rsidRPr="00AA3868">
        <w:rPr>
          <w:sz w:val="24"/>
          <w:szCs w:val="24"/>
        </w:rPr>
        <w:t>d</w:t>
      </w:r>
      <w:r w:rsidRPr="00AA3868">
        <w:rPr>
          <w:spacing w:val="-1"/>
          <w:sz w:val="24"/>
          <w:szCs w:val="24"/>
        </w:rPr>
        <w:t>r</w:t>
      </w:r>
      <w:r w:rsidRPr="00AA3868">
        <w:rPr>
          <w:sz w:val="24"/>
          <w:szCs w:val="24"/>
        </w:rPr>
        <w:t>a</w:t>
      </w:r>
      <w:r w:rsidRPr="00AA3868">
        <w:rPr>
          <w:spacing w:val="-5"/>
          <w:sz w:val="24"/>
          <w:szCs w:val="24"/>
        </w:rPr>
        <w:t>h</w:t>
      </w:r>
      <w:r w:rsidRPr="00AA3868">
        <w:rPr>
          <w:sz w:val="24"/>
          <w:szCs w:val="24"/>
        </w:rPr>
        <w:t>a</w:t>
      </w:r>
      <w:r w:rsidRPr="00AA3868">
        <w:rPr>
          <w:spacing w:val="-1"/>
          <w:sz w:val="24"/>
          <w:szCs w:val="24"/>
        </w:rPr>
        <w:t>n</w:t>
      </w:r>
      <w:r w:rsidRPr="00AA3868">
        <w:rPr>
          <w:spacing w:val="-3"/>
          <w:sz w:val="24"/>
          <w:szCs w:val="24"/>
        </w:rPr>
        <w:t>d</w:t>
      </w:r>
      <w:r w:rsidRPr="00AA3868">
        <w:rPr>
          <w:spacing w:val="-7"/>
          <w:sz w:val="24"/>
          <w:szCs w:val="24"/>
        </w:rPr>
        <w:t>s</w:t>
      </w:r>
      <w:r w:rsidRPr="00AA3868">
        <w:rPr>
          <w:sz w:val="24"/>
          <w:szCs w:val="24"/>
        </w:rPr>
        <w:t>val</w:t>
      </w:r>
      <w:r w:rsidRPr="00AA3868">
        <w:rPr>
          <w:color w:val="000000"/>
          <w:sz w:val="24"/>
          <w:szCs w:val="24"/>
        </w:rPr>
        <w:t xml:space="preserve"> </w:t>
      </w:r>
      <w:r w:rsidRPr="00AA3868">
        <w:rPr>
          <w:spacing w:val="-1"/>
          <w:sz w:val="24"/>
          <w:szCs w:val="24"/>
        </w:rPr>
        <w:t>t</w:t>
      </w:r>
      <w:r w:rsidRPr="00AA3868">
        <w:rPr>
          <w:sz w:val="24"/>
          <w:szCs w:val="24"/>
        </w:rPr>
        <w:t>.e</w:t>
      </w:r>
      <w:r w:rsidRPr="00AA3868">
        <w:rPr>
          <w:spacing w:val="-5"/>
          <w:sz w:val="24"/>
          <w:szCs w:val="24"/>
        </w:rPr>
        <w:t>x</w:t>
      </w:r>
      <w:r w:rsidRPr="00AA3868">
        <w:rPr>
          <w:sz w:val="24"/>
          <w:szCs w:val="24"/>
        </w:rPr>
        <w:t>.</w:t>
      </w:r>
      <w:r w:rsidRPr="00AA3868">
        <w:rPr>
          <w:spacing w:val="-9"/>
          <w:sz w:val="24"/>
          <w:szCs w:val="24"/>
        </w:rPr>
        <w:t xml:space="preserve"> </w:t>
      </w:r>
      <w:r w:rsidRPr="00AA3868">
        <w:rPr>
          <w:sz w:val="24"/>
          <w:szCs w:val="24"/>
        </w:rPr>
        <w:t>om</w:t>
      </w:r>
      <w:r w:rsidRPr="00AA3868">
        <w:rPr>
          <w:spacing w:val="-15"/>
          <w:sz w:val="24"/>
          <w:szCs w:val="24"/>
        </w:rPr>
        <w:t xml:space="preserve"> </w:t>
      </w:r>
      <w:r w:rsidRPr="00AA3868">
        <w:rPr>
          <w:sz w:val="24"/>
          <w:szCs w:val="24"/>
        </w:rPr>
        <w:t>a</w:t>
      </w:r>
      <w:r w:rsidRPr="00AA3868">
        <w:rPr>
          <w:spacing w:val="-5"/>
          <w:sz w:val="24"/>
          <w:szCs w:val="24"/>
        </w:rPr>
        <w:t>l</w:t>
      </w:r>
      <w:r w:rsidRPr="00AA3868">
        <w:rPr>
          <w:spacing w:val="-7"/>
          <w:sz w:val="24"/>
          <w:szCs w:val="24"/>
        </w:rPr>
        <w:t>l</w:t>
      </w:r>
      <w:r w:rsidRPr="00AA3868">
        <w:rPr>
          <w:sz w:val="24"/>
          <w:szCs w:val="24"/>
        </w:rPr>
        <w:t>e</w:t>
      </w:r>
      <w:r w:rsidRPr="00AA3868">
        <w:rPr>
          <w:spacing w:val="-1"/>
          <w:sz w:val="24"/>
          <w:szCs w:val="24"/>
        </w:rPr>
        <w:t>r</w:t>
      </w:r>
      <w:r w:rsidRPr="00AA3868">
        <w:rPr>
          <w:sz w:val="24"/>
          <w:szCs w:val="24"/>
        </w:rPr>
        <w:t>gi</w:t>
      </w:r>
      <w:r w:rsidRPr="00AA3868">
        <w:rPr>
          <w:spacing w:val="-9"/>
          <w:sz w:val="24"/>
          <w:szCs w:val="24"/>
        </w:rPr>
        <w:t xml:space="preserve"> </w:t>
      </w:r>
      <w:r w:rsidRPr="00AA3868">
        <w:rPr>
          <w:spacing w:val="-1"/>
          <w:sz w:val="24"/>
          <w:szCs w:val="24"/>
        </w:rPr>
        <w:t>m</w:t>
      </w:r>
      <w:r w:rsidRPr="00AA3868">
        <w:rPr>
          <w:sz w:val="24"/>
          <w:szCs w:val="24"/>
        </w:rPr>
        <w:t>ot</w:t>
      </w:r>
      <w:r w:rsidRPr="00AA3868">
        <w:rPr>
          <w:spacing w:val="-15"/>
          <w:sz w:val="24"/>
          <w:szCs w:val="24"/>
        </w:rPr>
        <w:t xml:space="preserve"> </w:t>
      </w:r>
      <w:r w:rsidRPr="00AA3868">
        <w:rPr>
          <w:spacing w:val="-3"/>
          <w:sz w:val="24"/>
          <w:szCs w:val="24"/>
        </w:rPr>
        <w:t>5</w:t>
      </w:r>
      <w:r w:rsidRPr="00AA3868">
        <w:rPr>
          <w:spacing w:val="-1"/>
          <w:sz w:val="24"/>
          <w:szCs w:val="24"/>
        </w:rPr>
        <w:t>-</w:t>
      </w:r>
      <w:r w:rsidRPr="00AA3868">
        <w:rPr>
          <w:sz w:val="24"/>
          <w:szCs w:val="24"/>
        </w:rPr>
        <w:t>A</w:t>
      </w:r>
      <w:r w:rsidRPr="00AA3868">
        <w:rPr>
          <w:spacing w:val="-3"/>
          <w:sz w:val="24"/>
          <w:szCs w:val="24"/>
        </w:rPr>
        <w:t>S</w:t>
      </w:r>
      <w:r w:rsidRPr="00AA3868">
        <w:rPr>
          <w:sz w:val="24"/>
          <w:szCs w:val="24"/>
        </w:rPr>
        <w:t>A</w:t>
      </w:r>
      <w:r w:rsidRPr="00AA3868">
        <w:rPr>
          <w:spacing w:val="-10"/>
          <w:sz w:val="24"/>
          <w:szCs w:val="24"/>
        </w:rPr>
        <w:t xml:space="preserve"> </w:t>
      </w:r>
      <w:r w:rsidRPr="00AA3868">
        <w:rPr>
          <w:spacing w:val="-9"/>
          <w:sz w:val="24"/>
          <w:szCs w:val="24"/>
        </w:rPr>
        <w:t>f</w:t>
      </w:r>
      <w:r w:rsidRPr="00AA3868">
        <w:rPr>
          <w:sz w:val="24"/>
          <w:szCs w:val="24"/>
        </w:rPr>
        <w:t>ö</w:t>
      </w:r>
      <w:r w:rsidRPr="00AA3868">
        <w:rPr>
          <w:spacing w:val="-1"/>
          <w:sz w:val="24"/>
          <w:szCs w:val="24"/>
        </w:rPr>
        <w:t>r</w:t>
      </w:r>
      <w:r w:rsidRPr="00AA3868">
        <w:rPr>
          <w:sz w:val="24"/>
          <w:szCs w:val="24"/>
        </w:rPr>
        <w:t>eli</w:t>
      </w:r>
      <w:r w:rsidRPr="00AA3868">
        <w:rPr>
          <w:spacing w:val="-2"/>
          <w:sz w:val="24"/>
          <w:szCs w:val="24"/>
        </w:rPr>
        <w:t>g</w:t>
      </w:r>
      <w:r w:rsidRPr="00AA3868">
        <w:rPr>
          <w:sz w:val="24"/>
          <w:szCs w:val="24"/>
        </w:rPr>
        <w:t>g</w:t>
      </w:r>
      <w:r w:rsidRPr="00AA3868">
        <w:rPr>
          <w:spacing w:val="-2"/>
          <w:sz w:val="24"/>
          <w:szCs w:val="24"/>
        </w:rPr>
        <w:t>e</w:t>
      </w:r>
      <w:r w:rsidRPr="00AA3868">
        <w:rPr>
          <w:spacing w:val="-1"/>
          <w:sz w:val="24"/>
          <w:szCs w:val="24"/>
        </w:rPr>
        <w:t>r</w:t>
      </w:r>
      <w:r w:rsidRPr="00AA3868">
        <w:rPr>
          <w:sz w:val="24"/>
          <w:szCs w:val="24"/>
        </w:rPr>
        <w:t>.</w:t>
      </w:r>
      <w:r w:rsidRPr="00AA3868">
        <w:rPr>
          <w:spacing w:val="-17"/>
          <w:sz w:val="24"/>
          <w:szCs w:val="24"/>
        </w:rPr>
        <w:t xml:space="preserve"> </w:t>
      </w:r>
      <w:r>
        <w:rPr>
          <w:spacing w:val="-17"/>
          <w:sz w:val="24"/>
          <w:szCs w:val="24"/>
        </w:rPr>
        <w:br/>
      </w:r>
      <w:r w:rsidRPr="00AA3868">
        <w:rPr>
          <w:spacing w:val="-1"/>
          <w:sz w:val="24"/>
          <w:szCs w:val="24"/>
        </w:rPr>
        <w:t>P</w:t>
      </w:r>
      <w:r w:rsidRPr="00AA3868">
        <w:rPr>
          <w:sz w:val="24"/>
          <w:szCs w:val="24"/>
        </w:rPr>
        <w:t>a</w:t>
      </w:r>
      <w:r w:rsidRPr="00AA3868">
        <w:rPr>
          <w:spacing w:val="-1"/>
          <w:sz w:val="24"/>
          <w:szCs w:val="24"/>
        </w:rPr>
        <w:t>t</w:t>
      </w:r>
      <w:r w:rsidRPr="00AA3868">
        <w:rPr>
          <w:sz w:val="24"/>
          <w:szCs w:val="24"/>
        </w:rPr>
        <w:t>i</w:t>
      </w:r>
      <w:r w:rsidRPr="00AA3868">
        <w:rPr>
          <w:spacing w:val="-2"/>
          <w:sz w:val="24"/>
          <w:szCs w:val="24"/>
        </w:rPr>
        <w:t>e</w:t>
      </w:r>
      <w:r w:rsidRPr="00AA3868">
        <w:rPr>
          <w:spacing w:val="-3"/>
          <w:sz w:val="24"/>
          <w:szCs w:val="24"/>
        </w:rPr>
        <w:t>nt</w:t>
      </w:r>
      <w:r w:rsidRPr="00AA3868">
        <w:rPr>
          <w:sz w:val="24"/>
          <w:szCs w:val="24"/>
        </w:rPr>
        <w:t>er</w:t>
      </w:r>
      <w:r w:rsidRPr="00AA3868">
        <w:rPr>
          <w:spacing w:val="-19"/>
          <w:sz w:val="24"/>
          <w:szCs w:val="24"/>
        </w:rPr>
        <w:t xml:space="preserve"> </w:t>
      </w:r>
      <w:r w:rsidRPr="00AA3868">
        <w:rPr>
          <w:spacing w:val="-3"/>
          <w:sz w:val="24"/>
          <w:szCs w:val="24"/>
        </w:rPr>
        <w:t>m</w:t>
      </w:r>
      <w:r w:rsidRPr="00AA3868">
        <w:rPr>
          <w:sz w:val="24"/>
          <w:szCs w:val="24"/>
        </w:rPr>
        <w:t>ed</w:t>
      </w:r>
      <w:r w:rsidRPr="00AA3868">
        <w:rPr>
          <w:spacing w:val="-16"/>
          <w:sz w:val="24"/>
          <w:szCs w:val="24"/>
        </w:rPr>
        <w:t xml:space="preserve"> </w:t>
      </w:r>
      <w:r w:rsidRPr="00AA3868">
        <w:rPr>
          <w:spacing w:val="-7"/>
          <w:sz w:val="24"/>
          <w:szCs w:val="24"/>
        </w:rPr>
        <w:t>s</w:t>
      </w:r>
      <w:r w:rsidRPr="00AA3868">
        <w:rPr>
          <w:sz w:val="24"/>
          <w:szCs w:val="24"/>
        </w:rPr>
        <w:t>vå</w:t>
      </w:r>
      <w:r w:rsidRPr="00AA3868">
        <w:rPr>
          <w:spacing w:val="-1"/>
          <w:sz w:val="24"/>
          <w:szCs w:val="24"/>
        </w:rPr>
        <w:t>r</w:t>
      </w:r>
      <w:r w:rsidRPr="00AA3868">
        <w:rPr>
          <w:sz w:val="24"/>
          <w:szCs w:val="24"/>
        </w:rPr>
        <w:t>t</w:t>
      </w:r>
      <w:r w:rsidRPr="00AA3868">
        <w:rPr>
          <w:spacing w:val="-15"/>
          <w:sz w:val="24"/>
          <w:szCs w:val="24"/>
        </w:rPr>
        <w:t xml:space="preserve"> </w:t>
      </w:r>
      <w:r w:rsidRPr="00AA3868">
        <w:rPr>
          <w:spacing w:val="-10"/>
          <w:sz w:val="24"/>
          <w:szCs w:val="24"/>
        </w:rPr>
        <w:t>s</w:t>
      </w:r>
      <w:r w:rsidRPr="00AA3868">
        <w:rPr>
          <w:sz w:val="24"/>
          <w:szCs w:val="24"/>
        </w:rPr>
        <w:t>kov</w:t>
      </w:r>
      <w:r w:rsidRPr="00AA3868">
        <w:rPr>
          <w:spacing w:val="-15"/>
          <w:sz w:val="24"/>
          <w:szCs w:val="24"/>
        </w:rPr>
        <w:t xml:space="preserve"> </w:t>
      </w:r>
      <w:r w:rsidRPr="00AA3868">
        <w:rPr>
          <w:spacing w:val="-5"/>
          <w:sz w:val="24"/>
          <w:szCs w:val="24"/>
        </w:rPr>
        <w:t>b</w:t>
      </w:r>
      <w:r w:rsidRPr="00AA3868">
        <w:rPr>
          <w:spacing w:val="-1"/>
          <w:sz w:val="24"/>
          <w:szCs w:val="24"/>
        </w:rPr>
        <w:t>ö</w:t>
      </w:r>
      <w:r w:rsidRPr="00AA3868">
        <w:rPr>
          <w:sz w:val="24"/>
          <w:szCs w:val="24"/>
        </w:rPr>
        <w:t>r</w:t>
      </w:r>
      <w:r w:rsidRPr="00AA3868">
        <w:rPr>
          <w:spacing w:val="-16"/>
          <w:sz w:val="24"/>
          <w:szCs w:val="24"/>
        </w:rPr>
        <w:t xml:space="preserve"> </w:t>
      </w:r>
      <w:r w:rsidRPr="00AA3868">
        <w:rPr>
          <w:spacing w:val="-1"/>
          <w:sz w:val="24"/>
          <w:szCs w:val="24"/>
        </w:rPr>
        <w:t>r</w:t>
      </w:r>
      <w:r w:rsidRPr="00AA3868">
        <w:rPr>
          <w:sz w:val="24"/>
          <w:szCs w:val="24"/>
        </w:rPr>
        <w:t>e</w:t>
      </w:r>
      <w:r w:rsidRPr="00AA3868">
        <w:rPr>
          <w:spacing w:val="-1"/>
          <w:sz w:val="24"/>
          <w:szCs w:val="24"/>
        </w:rPr>
        <w:t>m</w:t>
      </w:r>
      <w:r w:rsidRPr="00AA3868">
        <w:rPr>
          <w:sz w:val="24"/>
          <w:szCs w:val="24"/>
        </w:rPr>
        <w:t>i</w:t>
      </w:r>
      <w:r w:rsidRPr="00AA3868">
        <w:rPr>
          <w:spacing w:val="-3"/>
          <w:sz w:val="24"/>
          <w:szCs w:val="24"/>
        </w:rPr>
        <w:t>tt</w:t>
      </w:r>
      <w:r w:rsidRPr="00AA3868">
        <w:rPr>
          <w:sz w:val="24"/>
          <w:szCs w:val="24"/>
        </w:rPr>
        <w:t>e</w:t>
      </w:r>
      <w:r w:rsidRPr="00AA3868">
        <w:rPr>
          <w:spacing w:val="-4"/>
          <w:sz w:val="24"/>
          <w:szCs w:val="24"/>
        </w:rPr>
        <w:t>r</w:t>
      </w:r>
      <w:r w:rsidRPr="00AA3868">
        <w:rPr>
          <w:spacing w:val="-2"/>
          <w:sz w:val="24"/>
          <w:szCs w:val="24"/>
        </w:rPr>
        <w:t>a</w:t>
      </w:r>
      <w:r w:rsidRPr="00AA3868">
        <w:rPr>
          <w:sz w:val="24"/>
          <w:szCs w:val="24"/>
        </w:rPr>
        <w:t>s</w:t>
      </w:r>
      <w:r w:rsidRPr="00AA3868">
        <w:rPr>
          <w:spacing w:val="-17"/>
          <w:sz w:val="24"/>
          <w:szCs w:val="24"/>
        </w:rPr>
        <w:t xml:space="preserve"> </w:t>
      </w:r>
      <w:r w:rsidRPr="00AA3868">
        <w:rPr>
          <w:spacing w:val="-1"/>
          <w:sz w:val="24"/>
          <w:szCs w:val="24"/>
        </w:rPr>
        <w:t>t</w:t>
      </w:r>
      <w:r w:rsidRPr="00AA3868">
        <w:rPr>
          <w:sz w:val="24"/>
          <w:szCs w:val="24"/>
        </w:rPr>
        <w:t>ill</w:t>
      </w:r>
      <w:r w:rsidRPr="00AA3868">
        <w:rPr>
          <w:spacing w:val="-15"/>
          <w:sz w:val="24"/>
          <w:szCs w:val="24"/>
        </w:rPr>
        <w:t xml:space="preserve"> </w:t>
      </w:r>
      <w:r w:rsidRPr="00AA3868">
        <w:rPr>
          <w:spacing w:val="-7"/>
          <w:sz w:val="24"/>
          <w:szCs w:val="24"/>
        </w:rPr>
        <w:t>s</w:t>
      </w:r>
      <w:r w:rsidRPr="00AA3868">
        <w:rPr>
          <w:sz w:val="24"/>
          <w:szCs w:val="24"/>
        </w:rPr>
        <w:t>jukh</w:t>
      </w:r>
      <w:r w:rsidRPr="00AA3868">
        <w:rPr>
          <w:spacing w:val="-3"/>
          <w:sz w:val="24"/>
          <w:szCs w:val="24"/>
        </w:rPr>
        <w:t>u</w:t>
      </w:r>
      <w:r w:rsidRPr="00AA3868">
        <w:rPr>
          <w:spacing w:val="-5"/>
          <w:sz w:val="24"/>
          <w:szCs w:val="24"/>
        </w:rPr>
        <w:t>s</w:t>
      </w:r>
      <w:r w:rsidRPr="00AA3868">
        <w:rPr>
          <w:sz w:val="24"/>
          <w:szCs w:val="24"/>
        </w:rPr>
        <w:t>e</w:t>
      </w:r>
      <w:r w:rsidRPr="00AA3868">
        <w:rPr>
          <w:spacing w:val="-1"/>
          <w:sz w:val="24"/>
          <w:szCs w:val="24"/>
        </w:rPr>
        <w:t>t</w:t>
      </w:r>
      <w:r w:rsidRPr="00AA3868">
        <w:rPr>
          <w:sz w:val="24"/>
          <w:szCs w:val="24"/>
        </w:rPr>
        <w:t>.</w:t>
      </w:r>
      <w:r w:rsidRPr="00AA3868">
        <w:rPr>
          <w:spacing w:val="-18"/>
          <w:sz w:val="24"/>
          <w:szCs w:val="24"/>
        </w:rPr>
        <w:t xml:space="preserve"> </w:t>
      </w:r>
      <w:r w:rsidRPr="00AA3868">
        <w:rPr>
          <w:sz w:val="24"/>
          <w:szCs w:val="24"/>
        </w:rPr>
        <w:t>Av</w:t>
      </w:r>
      <w:r w:rsidRPr="00AA3868">
        <w:rPr>
          <w:spacing w:val="-1"/>
          <w:sz w:val="24"/>
          <w:szCs w:val="24"/>
        </w:rPr>
        <w:t>f</w:t>
      </w:r>
      <w:r w:rsidRPr="00AA3868">
        <w:rPr>
          <w:sz w:val="24"/>
          <w:szCs w:val="24"/>
        </w:rPr>
        <w:t>ö</w:t>
      </w:r>
      <w:r w:rsidRPr="00AA3868">
        <w:rPr>
          <w:spacing w:val="-1"/>
          <w:sz w:val="24"/>
          <w:szCs w:val="24"/>
        </w:rPr>
        <w:t>r</w:t>
      </w:r>
      <w:r w:rsidRPr="00AA3868">
        <w:rPr>
          <w:spacing w:val="-5"/>
          <w:sz w:val="24"/>
          <w:szCs w:val="24"/>
        </w:rPr>
        <w:t>i</w:t>
      </w:r>
      <w:r w:rsidRPr="00AA3868">
        <w:rPr>
          <w:spacing w:val="-1"/>
          <w:sz w:val="24"/>
          <w:szCs w:val="24"/>
        </w:rPr>
        <w:t>n</w:t>
      </w:r>
      <w:r w:rsidRPr="00AA3868">
        <w:rPr>
          <w:spacing w:val="-2"/>
          <w:sz w:val="24"/>
          <w:szCs w:val="24"/>
        </w:rPr>
        <w:t>g</w:t>
      </w:r>
      <w:r w:rsidRPr="00AA3868">
        <w:rPr>
          <w:spacing w:val="-7"/>
          <w:sz w:val="24"/>
          <w:szCs w:val="24"/>
        </w:rPr>
        <w:t>s</w:t>
      </w:r>
      <w:r w:rsidRPr="00AA3868">
        <w:rPr>
          <w:spacing w:val="-1"/>
          <w:sz w:val="24"/>
          <w:szCs w:val="24"/>
        </w:rPr>
        <w:t>o</w:t>
      </w:r>
      <w:r w:rsidRPr="00AA3868">
        <w:rPr>
          <w:sz w:val="24"/>
          <w:szCs w:val="24"/>
        </w:rPr>
        <w:t>dl</w:t>
      </w:r>
      <w:r w:rsidRPr="00AA3868">
        <w:rPr>
          <w:spacing w:val="-3"/>
          <w:sz w:val="24"/>
          <w:szCs w:val="24"/>
        </w:rPr>
        <w:t>i</w:t>
      </w:r>
      <w:r w:rsidRPr="00AA3868">
        <w:rPr>
          <w:spacing w:val="-1"/>
          <w:sz w:val="24"/>
          <w:szCs w:val="24"/>
        </w:rPr>
        <w:t>n</w:t>
      </w:r>
      <w:r w:rsidRPr="00AA3868">
        <w:rPr>
          <w:sz w:val="24"/>
          <w:szCs w:val="24"/>
        </w:rPr>
        <w:t>g</w:t>
      </w:r>
      <w:r w:rsidRPr="00AA3868">
        <w:rPr>
          <w:spacing w:val="-15"/>
          <w:sz w:val="24"/>
          <w:szCs w:val="24"/>
        </w:rPr>
        <w:t xml:space="preserve"> </w:t>
      </w:r>
      <w:r w:rsidRPr="00AA3868">
        <w:rPr>
          <w:spacing w:val="-7"/>
          <w:sz w:val="24"/>
          <w:szCs w:val="24"/>
        </w:rPr>
        <w:t>s</w:t>
      </w:r>
      <w:r w:rsidRPr="00AA3868">
        <w:rPr>
          <w:spacing w:val="-3"/>
          <w:sz w:val="24"/>
          <w:szCs w:val="24"/>
        </w:rPr>
        <w:t>k</w:t>
      </w:r>
      <w:r w:rsidRPr="00AA3868">
        <w:rPr>
          <w:sz w:val="24"/>
          <w:szCs w:val="24"/>
        </w:rPr>
        <w:t>all</w:t>
      </w:r>
      <w:r w:rsidRPr="00AA3868">
        <w:rPr>
          <w:spacing w:val="-16"/>
          <w:sz w:val="24"/>
          <w:szCs w:val="24"/>
        </w:rPr>
        <w:t xml:space="preserve"> </w:t>
      </w:r>
      <w:r w:rsidRPr="00AA3868">
        <w:rPr>
          <w:spacing w:val="-2"/>
          <w:sz w:val="24"/>
          <w:szCs w:val="24"/>
        </w:rPr>
        <w:t>a</w:t>
      </w:r>
      <w:r w:rsidRPr="00AA3868">
        <w:rPr>
          <w:spacing w:val="-3"/>
          <w:sz w:val="24"/>
          <w:szCs w:val="24"/>
        </w:rPr>
        <w:t>l</w:t>
      </w:r>
      <w:r w:rsidRPr="00AA3868">
        <w:rPr>
          <w:sz w:val="24"/>
          <w:szCs w:val="24"/>
        </w:rPr>
        <w:t>l</w:t>
      </w:r>
      <w:r w:rsidRPr="00AA3868">
        <w:rPr>
          <w:spacing w:val="-1"/>
          <w:sz w:val="24"/>
          <w:szCs w:val="24"/>
        </w:rPr>
        <w:t>t</w:t>
      </w:r>
      <w:r w:rsidRPr="00AA3868">
        <w:rPr>
          <w:spacing w:val="-5"/>
          <w:sz w:val="24"/>
          <w:szCs w:val="24"/>
        </w:rPr>
        <w:t>i</w:t>
      </w:r>
      <w:r w:rsidRPr="00AA3868">
        <w:rPr>
          <w:sz w:val="24"/>
          <w:szCs w:val="24"/>
        </w:rPr>
        <w:t>d</w:t>
      </w:r>
      <w:r w:rsidRPr="00AA3868">
        <w:rPr>
          <w:spacing w:val="-18"/>
          <w:sz w:val="24"/>
          <w:szCs w:val="24"/>
        </w:rPr>
        <w:t xml:space="preserve"> </w:t>
      </w:r>
      <w:r w:rsidRPr="00AA3868">
        <w:rPr>
          <w:spacing w:val="-1"/>
          <w:sz w:val="24"/>
          <w:szCs w:val="24"/>
        </w:rPr>
        <w:t>t</w:t>
      </w:r>
      <w:r w:rsidRPr="00AA3868">
        <w:rPr>
          <w:sz w:val="24"/>
          <w:szCs w:val="24"/>
        </w:rPr>
        <w:t>a</w:t>
      </w:r>
      <w:r w:rsidRPr="00AA3868">
        <w:rPr>
          <w:spacing w:val="-7"/>
          <w:sz w:val="24"/>
          <w:szCs w:val="24"/>
        </w:rPr>
        <w:t>s</w:t>
      </w:r>
      <w:r w:rsidRPr="00AA3868">
        <w:rPr>
          <w:sz w:val="24"/>
          <w:szCs w:val="24"/>
        </w:rPr>
        <w:t>.</w:t>
      </w:r>
      <w:r>
        <w:rPr>
          <w:sz w:val="24"/>
          <w:szCs w:val="24"/>
        </w:rPr>
        <w:br/>
      </w:r>
      <w:r w:rsidRPr="00AA3868">
        <w:rPr>
          <w:color w:val="000000"/>
          <w:sz w:val="24"/>
          <w:szCs w:val="24"/>
        </w:rPr>
        <w:t xml:space="preserve">Pentasa (depottablett) frisätts kontinuerligt från </w:t>
      </w:r>
      <w:r w:rsidRPr="00AA3868">
        <w:rPr>
          <w:sz w:val="24"/>
          <w:szCs w:val="24"/>
        </w:rPr>
        <w:t>etylcellulosadragerat mikrogranulat av mesalazin</w:t>
      </w:r>
      <w:r w:rsidRPr="00AA3868">
        <w:rPr>
          <w:color w:val="000000"/>
          <w:sz w:val="24"/>
          <w:szCs w:val="24"/>
        </w:rPr>
        <w:t xml:space="preserve">. Asacol (enterotablett) frisätter läkemedlet först i terminala ileum/kolon genom att tabletten är omgiven av en pH-känslig filmdragering. Mezavant frisätter läkemedlet genom kombinationen av </w:t>
      </w:r>
      <w:r>
        <w:rPr>
          <w:color w:val="000000"/>
          <w:sz w:val="24"/>
          <w:szCs w:val="24"/>
        </w:rPr>
        <w:t>d</w:t>
      </w:r>
      <w:r w:rsidRPr="00AA3868">
        <w:rPr>
          <w:color w:val="000000"/>
          <w:sz w:val="24"/>
          <w:szCs w:val="24"/>
        </w:rPr>
        <w:t>essa två frisättningsmekanismer. Alla tre börjar frisätta</w:t>
      </w:r>
      <w:r>
        <w:rPr>
          <w:color w:val="000000"/>
          <w:sz w:val="24"/>
          <w:szCs w:val="24"/>
        </w:rPr>
        <w:t xml:space="preserve"> </w:t>
      </w:r>
      <w:r w:rsidRPr="00AA3868">
        <w:rPr>
          <w:color w:val="000000"/>
          <w:sz w:val="24"/>
          <w:szCs w:val="24"/>
        </w:rPr>
        <w:t xml:space="preserve">5-ASA på tunntarmsnivå, </w:t>
      </w:r>
      <w:r>
        <w:rPr>
          <w:color w:val="000000"/>
          <w:sz w:val="24"/>
          <w:szCs w:val="24"/>
        </w:rPr>
        <w:br/>
      </w:r>
      <w:r w:rsidRPr="00AA3868">
        <w:rPr>
          <w:color w:val="000000"/>
          <w:sz w:val="24"/>
          <w:szCs w:val="24"/>
        </w:rPr>
        <w:t>framför allt Pentasa.</w:t>
      </w:r>
    </w:p>
    <w:p w14:paraId="58AEDB27" w14:textId="77777777" w:rsidR="00702564" w:rsidRDefault="00702564" w:rsidP="00702564">
      <w:pPr>
        <w:tabs>
          <w:tab w:val="clear" w:pos="284"/>
        </w:tabs>
        <w:spacing w:after="120" w:line="260" w:lineRule="atLeast"/>
        <w:rPr>
          <w:color w:val="000000"/>
          <w:sz w:val="24"/>
          <w:szCs w:val="24"/>
        </w:rPr>
      </w:pPr>
      <w:r>
        <w:rPr>
          <w:color w:val="000000"/>
          <w:sz w:val="24"/>
          <w:szCs w:val="24"/>
        </w:rPr>
        <w:br w:type="page"/>
      </w:r>
    </w:p>
    <w:p w14:paraId="471A540A" w14:textId="77777777" w:rsidR="00702564" w:rsidRPr="00FB33D1" w:rsidRDefault="00702564" w:rsidP="00702564">
      <w:pPr>
        <w:pStyle w:val="Rubrik1"/>
        <w:rPr>
          <w:color w:val="FF0000"/>
        </w:rPr>
      </w:pPr>
      <w:r w:rsidRPr="001D5189">
        <w:lastRenderedPageBreak/>
        <w:t>Neurologi</w:t>
      </w:r>
    </w:p>
    <w:p w14:paraId="5816DA8C" w14:textId="77777777" w:rsidR="00702564" w:rsidRPr="004177C6" w:rsidRDefault="00702564" w:rsidP="00702564"/>
    <w:p w14:paraId="7FCB21AB" w14:textId="77777777" w:rsidR="00702564" w:rsidRPr="00BD5A24" w:rsidRDefault="00702564" w:rsidP="00702564">
      <w:r w:rsidRPr="00BB4738">
        <w:rPr>
          <w:rFonts w:cs="Arial"/>
          <w:b/>
          <w:bCs/>
          <w:sz w:val="24"/>
          <w:szCs w:val="24"/>
        </w:rPr>
        <w:t xml:space="preserve">Senast uppdaterad </w:t>
      </w:r>
      <w:r>
        <w:rPr>
          <w:rFonts w:cs="Arial"/>
          <w:b/>
          <w:bCs/>
          <w:sz w:val="24"/>
          <w:szCs w:val="24"/>
        </w:rPr>
        <w:t>2026-03-24</w:t>
      </w:r>
    </w:p>
    <w:p w14:paraId="2ED7A425" w14:textId="77777777" w:rsidR="00702564" w:rsidRPr="000661E0" w:rsidRDefault="00702564" w:rsidP="00702564">
      <w:pPr>
        <w:pStyle w:val="Rubrik2"/>
      </w:pPr>
      <w:r w:rsidRPr="00BB4738">
        <w:t>Terapigruppsmedlemmar</w:t>
      </w:r>
    </w:p>
    <w:p w14:paraId="21C0DF35" w14:textId="77777777" w:rsidR="00702564" w:rsidRPr="008B5DD8" w:rsidRDefault="00702564" w:rsidP="00702564">
      <w:pPr>
        <w:rPr>
          <w:rFonts w:cs="Arial"/>
          <w:sz w:val="24"/>
          <w:szCs w:val="24"/>
        </w:rPr>
      </w:pPr>
      <w:r w:rsidRPr="008B5DD8">
        <w:rPr>
          <w:rFonts w:cs="Arial"/>
          <w:sz w:val="24"/>
          <w:szCs w:val="24"/>
        </w:rPr>
        <w:t xml:space="preserve">Evelina Kask Ogenblad, specialistläkare, Medicinkliniken  </w:t>
      </w:r>
    </w:p>
    <w:p w14:paraId="7F3FBDD4" w14:textId="77777777" w:rsidR="00702564" w:rsidRPr="008B5DD8" w:rsidRDefault="00702564" w:rsidP="00702564">
      <w:pPr>
        <w:rPr>
          <w:rFonts w:cs="Arial"/>
          <w:sz w:val="24"/>
          <w:szCs w:val="24"/>
        </w:rPr>
      </w:pPr>
      <w:r w:rsidRPr="008B5DD8">
        <w:rPr>
          <w:rFonts w:cs="Arial"/>
          <w:sz w:val="24"/>
          <w:szCs w:val="24"/>
        </w:rPr>
        <w:t xml:space="preserve">Fredrik Kling, specialist i allmänmedicin, Hälsohuset  </w:t>
      </w:r>
    </w:p>
    <w:p w14:paraId="4B627C74" w14:textId="77777777" w:rsidR="00702564" w:rsidRPr="008B5DD8" w:rsidRDefault="00702564" w:rsidP="00702564">
      <w:pPr>
        <w:rPr>
          <w:rFonts w:cs="Arial"/>
          <w:sz w:val="24"/>
          <w:szCs w:val="24"/>
        </w:rPr>
      </w:pPr>
      <w:r w:rsidRPr="008B5DD8">
        <w:rPr>
          <w:rFonts w:cs="Arial"/>
          <w:sz w:val="24"/>
          <w:szCs w:val="24"/>
        </w:rPr>
        <w:t>Mia Olsson Engman, överläkare, Barnkliniken</w:t>
      </w:r>
      <w:r>
        <w:rPr>
          <w:rFonts w:cs="Arial"/>
          <w:sz w:val="24"/>
          <w:szCs w:val="24"/>
        </w:rPr>
        <w:br/>
        <w:t>Martyna Rosol, överläkare, Medicinkliniken</w:t>
      </w:r>
    </w:p>
    <w:p w14:paraId="1C4D5385" w14:textId="59AC7730" w:rsidR="00702564" w:rsidRPr="0071138D" w:rsidRDefault="00702564" w:rsidP="00702564">
      <w:pPr>
        <w:rPr>
          <w:rFonts w:cs="Arial"/>
          <w:szCs w:val="24"/>
        </w:rPr>
      </w:pPr>
      <w:r>
        <w:rPr>
          <w:rFonts w:cs="Arial"/>
          <w:sz w:val="24"/>
          <w:szCs w:val="24"/>
        </w:rPr>
        <w:t>Britt-Marie Schuhmeier, apotekare, Läkemedelsenheten</w:t>
      </w:r>
    </w:p>
    <w:p w14:paraId="5D89E5F0" w14:textId="77777777" w:rsidR="00702564" w:rsidRDefault="00702564" w:rsidP="00702564">
      <w:pPr>
        <w:pStyle w:val="Rubrik2"/>
      </w:pPr>
      <w:r w:rsidRPr="00BB4738">
        <w:t>Migrän</w:t>
      </w:r>
    </w:p>
    <w:p w14:paraId="0E47131D" w14:textId="77777777" w:rsidR="00702564" w:rsidRPr="004D4EBE" w:rsidRDefault="00702564" w:rsidP="00702564">
      <w:pPr>
        <w:pStyle w:val="Rubrik3"/>
      </w:pPr>
      <w:r w:rsidRPr="00E17F86">
        <w:t>Anfallsbehandling</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821"/>
      </w:tblGrid>
      <w:tr w:rsidR="00702564" w:rsidRPr="001263B7" w14:paraId="06E22BF9" w14:textId="77777777" w:rsidTr="00632FCC">
        <w:tc>
          <w:tcPr>
            <w:tcW w:w="4531" w:type="dxa"/>
          </w:tcPr>
          <w:p w14:paraId="57B4FABA" w14:textId="77777777" w:rsidR="00702564" w:rsidRPr="001263B7" w:rsidRDefault="00702564" w:rsidP="00632FCC">
            <w:pPr>
              <w:rPr>
                <w:sz w:val="24"/>
                <w:szCs w:val="24"/>
              </w:rPr>
            </w:pPr>
            <w:r w:rsidRPr="001263B7">
              <w:rPr>
                <w:b/>
                <w:bCs/>
                <w:sz w:val="24"/>
                <w:szCs w:val="24"/>
              </w:rPr>
              <w:t>1</w:t>
            </w:r>
            <w:r w:rsidRPr="001263B7">
              <w:rPr>
                <w:sz w:val="24"/>
                <w:szCs w:val="24"/>
              </w:rPr>
              <w:t xml:space="preserve"> </w:t>
            </w:r>
            <w:r w:rsidRPr="001263B7">
              <w:rPr>
                <w:b/>
                <w:bCs/>
                <w:sz w:val="24"/>
                <w:szCs w:val="24"/>
              </w:rPr>
              <w:t>paracetamol</w:t>
            </w:r>
          </w:p>
        </w:tc>
        <w:tc>
          <w:tcPr>
            <w:tcW w:w="4962" w:type="dxa"/>
          </w:tcPr>
          <w:p w14:paraId="55039E71" w14:textId="77777777" w:rsidR="00702564" w:rsidRPr="001263B7" w:rsidRDefault="00702564" w:rsidP="00632FCC">
            <w:pPr>
              <w:rPr>
                <w:sz w:val="24"/>
                <w:szCs w:val="24"/>
              </w:rPr>
            </w:pPr>
            <w:r w:rsidRPr="001263B7">
              <w:rPr>
                <w:sz w:val="24"/>
                <w:szCs w:val="24"/>
              </w:rPr>
              <w:t>Alvedon</w:t>
            </w:r>
          </w:p>
        </w:tc>
      </w:tr>
      <w:tr w:rsidR="00702564" w:rsidRPr="001263B7" w14:paraId="02860E26" w14:textId="77777777" w:rsidTr="00632FCC">
        <w:tc>
          <w:tcPr>
            <w:tcW w:w="4531" w:type="dxa"/>
          </w:tcPr>
          <w:p w14:paraId="2DBD978C" w14:textId="77777777" w:rsidR="00702564" w:rsidRPr="007A1826" w:rsidRDefault="00702564" w:rsidP="00632FCC">
            <w:pPr>
              <w:rPr>
                <w:sz w:val="24"/>
                <w:szCs w:val="24"/>
              </w:rPr>
            </w:pPr>
            <w:r w:rsidRPr="007A1826">
              <w:rPr>
                <w:b/>
                <w:bCs/>
                <w:sz w:val="24"/>
                <w:szCs w:val="24"/>
              </w:rPr>
              <w:t xml:space="preserve">1 NSAID  </w:t>
            </w:r>
          </w:p>
        </w:tc>
        <w:tc>
          <w:tcPr>
            <w:tcW w:w="4962" w:type="dxa"/>
          </w:tcPr>
          <w:p w14:paraId="5D6B9027" w14:textId="77777777" w:rsidR="00702564" w:rsidRPr="007A1826" w:rsidRDefault="00702564" w:rsidP="00632FCC">
            <w:pPr>
              <w:rPr>
                <w:sz w:val="24"/>
                <w:szCs w:val="24"/>
              </w:rPr>
            </w:pPr>
            <w:r w:rsidRPr="007A1826">
              <w:rPr>
                <w:sz w:val="24"/>
                <w:szCs w:val="24"/>
              </w:rPr>
              <w:t>Naproxen, Ibuprofen</w:t>
            </w:r>
          </w:p>
        </w:tc>
      </w:tr>
      <w:tr w:rsidR="00702564" w:rsidRPr="001263B7" w14:paraId="6A4DAD7D" w14:textId="77777777" w:rsidTr="00632FCC">
        <w:tc>
          <w:tcPr>
            <w:tcW w:w="4531" w:type="dxa"/>
          </w:tcPr>
          <w:p w14:paraId="6BD98372" w14:textId="77777777" w:rsidR="00702564" w:rsidRPr="007A1826" w:rsidRDefault="00702564" w:rsidP="00632FCC">
            <w:pPr>
              <w:rPr>
                <w:sz w:val="24"/>
                <w:szCs w:val="24"/>
              </w:rPr>
            </w:pPr>
            <w:r w:rsidRPr="007A1826">
              <w:rPr>
                <w:b/>
                <w:bCs/>
                <w:sz w:val="24"/>
                <w:szCs w:val="24"/>
              </w:rPr>
              <w:t>2</w:t>
            </w:r>
            <w:r w:rsidRPr="007A1826">
              <w:rPr>
                <w:sz w:val="24"/>
                <w:szCs w:val="24"/>
              </w:rPr>
              <w:t xml:space="preserve"> </w:t>
            </w:r>
            <w:r w:rsidRPr="007A1826">
              <w:rPr>
                <w:b/>
                <w:bCs/>
                <w:sz w:val="24"/>
                <w:szCs w:val="24"/>
              </w:rPr>
              <w:t>sumatriptan</w:t>
            </w:r>
          </w:p>
        </w:tc>
        <w:tc>
          <w:tcPr>
            <w:tcW w:w="4962" w:type="dxa"/>
          </w:tcPr>
          <w:p w14:paraId="12949CBD" w14:textId="77777777" w:rsidR="00702564" w:rsidRPr="007A1826" w:rsidRDefault="00702564" w:rsidP="00632FCC">
            <w:pPr>
              <w:rPr>
                <w:sz w:val="24"/>
                <w:szCs w:val="24"/>
              </w:rPr>
            </w:pPr>
            <w:r w:rsidRPr="007A1826">
              <w:rPr>
                <w:sz w:val="24"/>
                <w:szCs w:val="24"/>
              </w:rPr>
              <w:t>Sumatriptan</w:t>
            </w:r>
            <w:r w:rsidRPr="007A1826">
              <w:rPr>
                <w:b/>
                <w:bCs/>
                <w:sz w:val="24"/>
                <w:szCs w:val="24"/>
              </w:rPr>
              <w:t xml:space="preserve"> </w:t>
            </w:r>
            <w:r w:rsidRPr="007A1826">
              <w:rPr>
                <w:sz w:val="24"/>
                <w:szCs w:val="24"/>
              </w:rPr>
              <w:t>tablett</w:t>
            </w:r>
          </w:p>
        </w:tc>
      </w:tr>
    </w:tbl>
    <w:p w14:paraId="41058268" w14:textId="77777777" w:rsidR="00702564" w:rsidRPr="00691D86" w:rsidRDefault="00702564" w:rsidP="00702564"/>
    <w:p w14:paraId="0B689C23" w14:textId="77777777" w:rsidR="00702564" w:rsidRPr="001263B7" w:rsidRDefault="00702564" w:rsidP="00702564">
      <w:pPr>
        <w:rPr>
          <w:rFonts w:cs="Arial"/>
          <w:sz w:val="24"/>
          <w:szCs w:val="24"/>
        </w:rPr>
      </w:pPr>
      <w:r w:rsidRPr="001263B7">
        <w:rPr>
          <w:rFonts w:cs="Arial"/>
          <w:sz w:val="24"/>
          <w:szCs w:val="24"/>
        </w:rPr>
        <w:t>Varje patient med migrän bör få prova ut en individuellt anpassad, optimal attackbehandling.</w:t>
      </w:r>
    </w:p>
    <w:p w14:paraId="473AA1B6" w14:textId="77777777" w:rsidR="00702564" w:rsidRDefault="00702564" w:rsidP="00702564">
      <w:pPr>
        <w:rPr>
          <w:rFonts w:cs="Arial"/>
          <w:sz w:val="24"/>
          <w:szCs w:val="24"/>
        </w:rPr>
      </w:pPr>
      <w:r w:rsidRPr="001263B7">
        <w:rPr>
          <w:rFonts w:cs="Arial"/>
          <w:sz w:val="24"/>
          <w:szCs w:val="24"/>
        </w:rPr>
        <w:t>Behandlingen kan också variera hos samma individ beroende på attackens intensitet.</w:t>
      </w:r>
    </w:p>
    <w:p w14:paraId="44215F35" w14:textId="6E6242C8" w:rsidR="00702564" w:rsidRPr="001263B7" w:rsidRDefault="00702564" w:rsidP="00BB6263">
      <w:pPr>
        <w:spacing w:after="240"/>
        <w:rPr>
          <w:rFonts w:cs="Arial"/>
          <w:sz w:val="24"/>
          <w:szCs w:val="24"/>
        </w:rPr>
      </w:pPr>
      <w:r w:rsidRPr="0020633F">
        <w:rPr>
          <w:rFonts w:cs="Arial"/>
          <w:sz w:val="24"/>
          <w:szCs w:val="24"/>
        </w:rPr>
        <w:t>Ett observandum är att alltför omfattande bruk av attackbehandling mot huvudvärk kan förvärra problematiken på sikt. Detta gäller framför allt NSAID och triptaner, varför viss restriktivitet gäller framför allt vid mer kronisk problematik.</w:t>
      </w:r>
      <w:r w:rsidR="00BB6263">
        <w:rPr>
          <w:rFonts w:cs="Arial"/>
          <w:sz w:val="24"/>
          <w:szCs w:val="24"/>
        </w:rPr>
        <w:t xml:space="preserve"> </w:t>
      </w:r>
      <w:r w:rsidR="00BB6263">
        <w:rPr>
          <w:rFonts w:cs="Arial"/>
          <w:sz w:val="24"/>
          <w:szCs w:val="24"/>
        </w:rPr>
        <w:br/>
      </w:r>
      <w:r w:rsidRPr="0020633F">
        <w:rPr>
          <w:rFonts w:cs="Arial"/>
          <w:sz w:val="24"/>
          <w:szCs w:val="24"/>
        </w:rPr>
        <w:t xml:space="preserve">Migränprevention hos barn och ungdomar &lt;18 år ska skötas av barnläkare.   </w:t>
      </w:r>
    </w:p>
    <w:p w14:paraId="4F4E5416" w14:textId="77777777" w:rsidR="00702564" w:rsidRDefault="00702564" w:rsidP="00702564">
      <w:pPr>
        <w:spacing w:before="240"/>
        <w:rPr>
          <w:rFonts w:cs="Arial"/>
          <w:color w:val="0070C0"/>
          <w:sz w:val="24"/>
          <w:szCs w:val="24"/>
        </w:rPr>
      </w:pPr>
      <w:r w:rsidRPr="001263B7">
        <w:rPr>
          <w:b/>
          <w:bCs/>
          <w:sz w:val="24"/>
          <w:szCs w:val="24"/>
        </w:rPr>
        <w:t xml:space="preserve">Paracetamol och NSAIDs </w:t>
      </w:r>
      <w:r>
        <w:rPr>
          <w:b/>
          <w:bCs/>
          <w:sz w:val="24"/>
          <w:szCs w:val="24"/>
        </w:rPr>
        <w:br/>
      </w:r>
      <w:r w:rsidRPr="0020633F">
        <w:rPr>
          <w:rFonts w:cs="Arial"/>
          <w:sz w:val="24"/>
          <w:szCs w:val="24"/>
        </w:rPr>
        <w:t>Paracetamol eller receptfria NSAID är förstahandsmedel. Observera att tonåringar i allmänhet behöver minst ”vuxendos” för att få adekvat effekt. Viss försiktighet rekommenderas vid</w:t>
      </w:r>
      <w:r w:rsidRPr="001263B7">
        <w:rPr>
          <w:rFonts w:cs="Arial"/>
          <w:sz w:val="24"/>
          <w:szCs w:val="24"/>
        </w:rPr>
        <w:t xml:space="preserve"> behandling med NSAID-preparat, främst till äldre, pga. kända potentiella biverkningar </w:t>
      </w:r>
      <w:r>
        <w:rPr>
          <w:rFonts w:cs="Arial"/>
          <w:sz w:val="24"/>
          <w:szCs w:val="24"/>
        </w:rPr>
        <w:br/>
      </w:r>
      <w:r w:rsidRPr="001263B7">
        <w:rPr>
          <w:rFonts w:cs="Arial"/>
          <w:sz w:val="24"/>
          <w:szCs w:val="24"/>
        </w:rPr>
        <w:t>(mage-tarm, njurar, vätskeretention vid hjärtsvikt, s</w:t>
      </w:r>
      <w:r>
        <w:rPr>
          <w:rFonts w:cs="Arial"/>
          <w:sz w:val="24"/>
          <w:szCs w:val="24"/>
        </w:rPr>
        <w:t xml:space="preserve">e </w:t>
      </w:r>
      <w:hyperlink r:id="rId125" w:history="1">
        <w:r w:rsidRPr="001E5EFF">
          <w:rPr>
            <w:color w:val="0070C0"/>
            <w:sz w:val="24"/>
            <w:szCs w:val="24"/>
            <w:u w:val="single"/>
          </w:rPr>
          <w:t>Indikatorer för god läkemedelsterapi hos äldre, 2017 (socialstyrelsen.se)</w:t>
        </w:r>
      </w:hyperlink>
      <w:r w:rsidRPr="001C4BBB">
        <w:rPr>
          <w:rFonts w:cs="Arial"/>
          <w:sz w:val="24"/>
          <w:szCs w:val="24"/>
        </w:rPr>
        <w:t>)</w:t>
      </w:r>
      <w:r w:rsidRPr="001263B7">
        <w:rPr>
          <w:rFonts w:cs="Arial"/>
          <w:sz w:val="24"/>
          <w:szCs w:val="24"/>
        </w:rPr>
        <w:t xml:space="preserve">. Vid risk för magsårsproblematik kan PPI med fördel förskrivas vid behandling med NSAID. Naproxen </w:t>
      </w:r>
      <w:r w:rsidRPr="0020633F">
        <w:rPr>
          <w:rFonts w:cs="Arial"/>
          <w:sz w:val="24"/>
          <w:szCs w:val="24"/>
        </w:rPr>
        <w:t xml:space="preserve">och Ibuprofen </w:t>
      </w:r>
      <w:r w:rsidRPr="001263B7">
        <w:rPr>
          <w:rFonts w:cs="Arial"/>
          <w:sz w:val="24"/>
          <w:szCs w:val="24"/>
        </w:rPr>
        <w:t xml:space="preserve">har visats ha en mer fördelaktig biverkningsprofil än diklofenak. På grund av hjärtkärlbiverkningar beslutade Läkemedelsverket att receptbelägga tabletter och kapslar med diklofenak från den 1 juni 2020. Användning av diklofenak medför dessutom en belastning på miljön vilken anses vara större än den av främst paracetamol, men även ibuprofen och naproxen (se </w:t>
      </w:r>
      <w:hyperlink r:id="rId126" w:history="1">
        <w:r w:rsidRPr="001E5EFF">
          <w:rPr>
            <w:rFonts w:cs="Arial"/>
            <w:color w:val="0070C0"/>
            <w:sz w:val="24"/>
            <w:szCs w:val="24"/>
            <w:u w:val="single"/>
          </w:rPr>
          <w:t>Miljöbeslastande läkemedel med åtgärdsförslag</w:t>
        </w:r>
      </w:hyperlink>
      <w:r w:rsidRPr="001E5EFF">
        <w:rPr>
          <w:rFonts w:cs="Arial"/>
          <w:color w:val="0070C0"/>
          <w:sz w:val="24"/>
          <w:szCs w:val="24"/>
        </w:rPr>
        <w:t xml:space="preserve">). </w:t>
      </w:r>
    </w:p>
    <w:p w14:paraId="0AFCB60C" w14:textId="77777777" w:rsidR="00702564" w:rsidRDefault="00702564" w:rsidP="00702564">
      <w:pPr>
        <w:tabs>
          <w:tab w:val="clear" w:pos="284"/>
        </w:tabs>
        <w:spacing w:after="120" w:line="260" w:lineRule="atLeast"/>
        <w:rPr>
          <w:rFonts w:cs="Arial"/>
          <w:color w:val="0070C0"/>
          <w:sz w:val="24"/>
          <w:szCs w:val="24"/>
        </w:rPr>
      </w:pPr>
      <w:r>
        <w:rPr>
          <w:rFonts w:cs="Arial"/>
          <w:color w:val="0070C0"/>
          <w:sz w:val="24"/>
          <w:szCs w:val="24"/>
        </w:rPr>
        <w:br w:type="page"/>
      </w:r>
    </w:p>
    <w:p w14:paraId="1BE0ACF9" w14:textId="77777777" w:rsidR="00702564" w:rsidRPr="001263B7" w:rsidRDefault="00702564" w:rsidP="00702564">
      <w:pPr>
        <w:spacing w:after="240"/>
        <w:rPr>
          <w:rFonts w:cs="Arial"/>
          <w:sz w:val="24"/>
          <w:szCs w:val="24"/>
        </w:rPr>
      </w:pPr>
      <w:r w:rsidRPr="00E32B16">
        <w:rPr>
          <w:b/>
          <w:bCs/>
          <w:sz w:val="24"/>
          <w:szCs w:val="24"/>
        </w:rPr>
        <w:lastRenderedPageBreak/>
        <w:t>Sumatriptan</w:t>
      </w:r>
      <w:r w:rsidRPr="00E32B16">
        <w:rPr>
          <w:sz w:val="24"/>
          <w:szCs w:val="24"/>
        </w:rPr>
        <w:t xml:space="preserve"> (</w:t>
      </w:r>
      <w:r w:rsidRPr="00E32B16">
        <w:rPr>
          <w:i/>
          <w:iCs/>
          <w:sz w:val="24"/>
          <w:szCs w:val="24"/>
        </w:rPr>
        <w:t>Sumatriptan</w:t>
      </w:r>
      <w:r w:rsidRPr="00E32B16">
        <w:rPr>
          <w:sz w:val="24"/>
          <w:szCs w:val="24"/>
        </w:rPr>
        <w:t>)</w:t>
      </w:r>
      <w:r w:rsidRPr="00E32B16">
        <w:rPr>
          <w:rFonts w:cs="Arial"/>
          <w:sz w:val="24"/>
          <w:szCs w:val="24"/>
        </w:rPr>
        <w:br/>
      </w:r>
      <w:r w:rsidRPr="001263B7">
        <w:rPr>
          <w:rFonts w:cs="Arial"/>
          <w:sz w:val="24"/>
          <w:szCs w:val="24"/>
        </w:rPr>
        <w:t xml:space="preserve">På marknaden finns flera olika triptaner, men skillnader i effekt och bieffekter mellan dessa är små. Däremot kan interindividuella skillnader finnas och ha betydelse. Det innebär att en patient vid behov kan få pröva två eller flera olika preparat. Attackbehandling med en triptan är motiverad för de som inte får tillräcklig effekt (kvantitativt, tidsmässigt eller konsekvent) av förstahandsmedel. </w:t>
      </w:r>
      <w:r w:rsidRPr="001263B7">
        <w:rPr>
          <w:rFonts w:cs="Arial"/>
          <w:sz w:val="24"/>
          <w:szCs w:val="24"/>
        </w:rPr>
        <w:br/>
        <w:t xml:space="preserve">Den administreringsform som föredras generellt av migränpatienter är tabletter. </w:t>
      </w:r>
      <w:r>
        <w:rPr>
          <w:rFonts w:cs="Arial"/>
          <w:sz w:val="24"/>
          <w:szCs w:val="24"/>
        </w:rPr>
        <w:br/>
      </w:r>
      <w:r w:rsidRPr="001263B7">
        <w:rPr>
          <w:rFonts w:cs="Arial"/>
          <w:sz w:val="24"/>
          <w:szCs w:val="24"/>
        </w:rPr>
        <w:t xml:space="preserve">Efter sammanvägning av kostnad och terapitradition rekommenderas i första hand tablett sumatriptan 50 mg, vid behov av högre dos av tablettstyrkan 100 mg. </w:t>
      </w:r>
      <w:r>
        <w:rPr>
          <w:rFonts w:cs="Arial"/>
          <w:sz w:val="24"/>
          <w:szCs w:val="24"/>
        </w:rPr>
        <w:t xml:space="preserve">  </w:t>
      </w:r>
      <w:r>
        <w:rPr>
          <w:rFonts w:cs="Arial"/>
          <w:sz w:val="24"/>
          <w:szCs w:val="24"/>
        </w:rPr>
        <w:br/>
      </w:r>
      <w:r w:rsidRPr="001263B7">
        <w:rPr>
          <w:rFonts w:cs="Arial"/>
          <w:sz w:val="24"/>
          <w:szCs w:val="24"/>
        </w:rPr>
        <w:br/>
        <w:t xml:space="preserve">Vid samtidigt illamående hos vuxna kan triptan rekommenderas i första hand som munsönderfallande tablett (rizatriptan är mindre dyr per tablett än zolmitriptan) eller i andra hand i sprayform (zolmitriptan eller sumatriptan; </w:t>
      </w:r>
      <w:r w:rsidRPr="0020633F">
        <w:rPr>
          <w:rFonts w:cs="Arial"/>
          <w:sz w:val="24"/>
          <w:szCs w:val="24"/>
        </w:rPr>
        <w:t>OBS! nässpray är mycket dyrare) p.g.a. bättre upptag via nässlemhinnan. Sumatriptan (Imigran) 10 mg samt zolmitriptan (Zomig Nasal) 2,5</w:t>
      </w:r>
      <w:r w:rsidRPr="001263B7">
        <w:rPr>
          <w:rFonts w:cs="Arial"/>
          <w:sz w:val="24"/>
          <w:szCs w:val="24"/>
        </w:rPr>
        <w:t xml:space="preserve"> och 5mg nässpray är även registrerat för användning på barn från och med 12 års ålder. Triptaner bör normalt ej användas på personer äldre än 65 år.</w:t>
      </w:r>
    </w:p>
    <w:p w14:paraId="1558924B" w14:textId="77777777" w:rsidR="00702564" w:rsidRPr="001263B7" w:rsidRDefault="00702564" w:rsidP="00702564">
      <w:pPr>
        <w:rPr>
          <w:rFonts w:cs="Arial"/>
          <w:sz w:val="28"/>
          <w:szCs w:val="28"/>
        </w:rPr>
      </w:pPr>
    </w:p>
    <w:p w14:paraId="01F105D1" w14:textId="77777777" w:rsidR="00702564" w:rsidRPr="001263B7" w:rsidRDefault="00702564" w:rsidP="00702564">
      <w:pPr>
        <w:spacing w:after="240"/>
        <w:rPr>
          <w:rFonts w:cs="Arial"/>
          <w:szCs w:val="24"/>
        </w:rPr>
      </w:pPr>
      <w:r>
        <w:rPr>
          <w:b/>
          <w:bCs/>
          <w:sz w:val="24"/>
          <w:szCs w:val="24"/>
        </w:rPr>
        <w:t>M</w:t>
      </w:r>
      <w:r w:rsidRPr="00E32B16">
        <w:rPr>
          <w:b/>
          <w:bCs/>
          <w:sz w:val="24"/>
          <w:szCs w:val="24"/>
        </w:rPr>
        <w:t>etoklopramid</w:t>
      </w:r>
      <w:r w:rsidRPr="00E32B16">
        <w:rPr>
          <w:sz w:val="24"/>
          <w:szCs w:val="24"/>
        </w:rPr>
        <w:t xml:space="preserve"> (</w:t>
      </w:r>
      <w:r w:rsidRPr="00E32B16">
        <w:rPr>
          <w:i/>
          <w:iCs/>
          <w:sz w:val="24"/>
          <w:szCs w:val="24"/>
        </w:rPr>
        <w:t>Metoclopramide, Primperan</w:t>
      </w:r>
      <w:r w:rsidRPr="00E32B16">
        <w:rPr>
          <w:sz w:val="24"/>
          <w:szCs w:val="24"/>
        </w:rPr>
        <w:t xml:space="preserve">) </w:t>
      </w:r>
      <w:r w:rsidRPr="00E32B16">
        <w:t>tabl</w:t>
      </w:r>
      <w:r w:rsidRPr="00E32B16">
        <w:rPr>
          <w:sz w:val="24"/>
          <w:szCs w:val="24"/>
        </w:rPr>
        <w:t>.</w:t>
      </w:r>
      <w:r w:rsidRPr="00E32B16">
        <w:rPr>
          <w:sz w:val="24"/>
          <w:szCs w:val="24"/>
        </w:rPr>
        <w:br/>
      </w:r>
      <w:r w:rsidRPr="001263B7">
        <w:rPr>
          <w:rFonts w:cs="Arial"/>
          <w:sz w:val="24"/>
          <w:szCs w:val="24"/>
        </w:rPr>
        <w:t xml:space="preserve">Det rekommenderas frikostighet med tillägg av metoklopramid vid ofullständig effekt på illamåendet </w:t>
      </w:r>
      <w:r>
        <w:rPr>
          <w:rFonts w:cs="Arial"/>
          <w:sz w:val="24"/>
          <w:szCs w:val="24"/>
        </w:rPr>
        <w:br/>
      </w:r>
      <w:r w:rsidRPr="001263B7">
        <w:rPr>
          <w:rFonts w:cs="Arial"/>
          <w:sz w:val="24"/>
          <w:szCs w:val="24"/>
        </w:rPr>
        <w:t>av övrig behandling.</w:t>
      </w:r>
      <w:r>
        <w:rPr>
          <w:rFonts w:cs="Arial"/>
          <w:sz w:val="24"/>
          <w:szCs w:val="24"/>
        </w:rPr>
        <w:t xml:space="preserve"> </w:t>
      </w:r>
    </w:p>
    <w:p w14:paraId="1678C9BE" w14:textId="77777777" w:rsidR="00702564" w:rsidRPr="00BB4738" w:rsidRDefault="00702564" w:rsidP="00702564">
      <w:pPr>
        <w:pStyle w:val="Rubrik3"/>
      </w:pPr>
      <w:r w:rsidRPr="00BB4738">
        <w:t>Migränprevention</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1263B7" w14:paraId="0F0069A5" w14:textId="77777777" w:rsidTr="00632FCC">
        <w:tc>
          <w:tcPr>
            <w:tcW w:w="4531" w:type="dxa"/>
          </w:tcPr>
          <w:p w14:paraId="32E034F3" w14:textId="77777777" w:rsidR="00702564" w:rsidRPr="001263B7" w:rsidRDefault="00702564" w:rsidP="00632FCC">
            <w:pPr>
              <w:rPr>
                <w:sz w:val="24"/>
                <w:szCs w:val="24"/>
              </w:rPr>
            </w:pPr>
            <w:r w:rsidRPr="001263B7">
              <w:rPr>
                <w:b/>
                <w:bCs/>
                <w:sz w:val="24"/>
                <w:szCs w:val="24"/>
              </w:rPr>
              <w:t>metoprolol</w:t>
            </w:r>
          </w:p>
        </w:tc>
        <w:tc>
          <w:tcPr>
            <w:tcW w:w="4531" w:type="dxa"/>
          </w:tcPr>
          <w:p w14:paraId="5E5C1E39" w14:textId="77777777" w:rsidR="00702564" w:rsidRPr="001263B7" w:rsidRDefault="00702564" w:rsidP="00632FCC">
            <w:pPr>
              <w:rPr>
                <w:sz w:val="24"/>
                <w:szCs w:val="24"/>
              </w:rPr>
            </w:pPr>
            <w:r w:rsidRPr="001263B7">
              <w:rPr>
                <w:sz w:val="24"/>
                <w:szCs w:val="24"/>
              </w:rPr>
              <w:t>Metoprolol</w:t>
            </w:r>
          </w:p>
        </w:tc>
      </w:tr>
      <w:tr w:rsidR="00702564" w:rsidRPr="001263B7" w14:paraId="3586147C" w14:textId="77777777" w:rsidTr="00632FCC">
        <w:tc>
          <w:tcPr>
            <w:tcW w:w="4531" w:type="dxa"/>
          </w:tcPr>
          <w:p w14:paraId="1DE198DD" w14:textId="77777777" w:rsidR="00702564" w:rsidRPr="001263B7" w:rsidRDefault="00702564" w:rsidP="00632FCC">
            <w:pPr>
              <w:rPr>
                <w:sz w:val="24"/>
                <w:szCs w:val="24"/>
              </w:rPr>
            </w:pPr>
            <w:r w:rsidRPr="001263B7">
              <w:rPr>
                <w:b/>
                <w:bCs/>
                <w:sz w:val="24"/>
                <w:szCs w:val="24"/>
              </w:rPr>
              <w:t>amitriptylin</w:t>
            </w:r>
          </w:p>
        </w:tc>
        <w:tc>
          <w:tcPr>
            <w:tcW w:w="4531" w:type="dxa"/>
          </w:tcPr>
          <w:p w14:paraId="72B2196B" w14:textId="77777777" w:rsidR="00702564" w:rsidRPr="001263B7" w:rsidRDefault="00702564" w:rsidP="00632FCC">
            <w:pPr>
              <w:rPr>
                <w:sz w:val="24"/>
                <w:szCs w:val="24"/>
              </w:rPr>
            </w:pPr>
            <w:r w:rsidRPr="001263B7">
              <w:rPr>
                <w:sz w:val="24"/>
                <w:szCs w:val="24"/>
              </w:rPr>
              <w:t>Amitriptylin</w:t>
            </w:r>
          </w:p>
        </w:tc>
      </w:tr>
      <w:tr w:rsidR="00702564" w:rsidRPr="001263B7" w14:paraId="1F11FA0F" w14:textId="77777777" w:rsidTr="00632FCC">
        <w:tc>
          <w:tcPr>
            <w:tcW w:w="4531" w:type="dxa"/>
          </w:tcPr>
          <w:p w14:paraId="73CCA133" w14:textId="77777777" w:rsidR="00702564" w:rsidRPr="001263B7" w:rsidRDefault="00702564" w:rsidP="00632FCC">
            <w:pPr>
              <w:rPr>
                <w:b/>
                <w:bCs/>
                <w:sz w:val="24"/>
                <w:szCs w:val="24"/>
              </w:rPr>
            </w:pPr>
            <w:r w:rsidRPr="001263B7">
              <w:rPr>
                <w:b/>
                <w:bCs/>
                <w:sz w:val="24"/>
                <w:szCs w:val="24"/>
              </w:rPr>
              <w:t>kandesartan</w:t>
            </w:r>
          </w:p>
        </w:tc>
        <w:tc>
          <w:tcPr>
            <w:tcW w:w="4531" w:type="dxa"/>
          </w:tcPr>
          <w:p w14:paraId="0C511EA9" w14:textId="77777777" w:rsidR="00702564" w:rsidRPr="001263B7" w:rsidRDefault="00702564" w:rsidP="00632FCC">
            <w:pPr>
              <w:rPr>
                <w:sz w:val="24"/>
                <w:szCs w:val="24"/>
              </w:rPr>
            </w:pPr>
            <w:r w:rsidRPr="001263B7">
              <w:rPr>
                <w:sz w:val="24"/>
                <w:szCs w:val="24"/>
              </w:rPr>
              <w:t>Candesartan</w:t>
            </w:r>
          </w:p>
        </w:tc>
      </w:tr>
    </w:tbl>
    <w:p w14:paraId="0FB2E1ED" w14:textId="10EAB619" w:rsidR="00702564" w:rsidRPr="0020633F" w:rsidRDefault="00702564" w:rsidP="00702564">
      <w:pPr>
        <w:pStyle w:val="pf0"/>
        <w:rPr>
          <w:rFonts w:asciiTheme="minorHAnsi" w:hAnsiTheme="minorHAnsi" w:cs="Arial"/>
        </w:rPr>
      </w:pPr>
      <w:r w:rsidRPr="0020633F">
        <w:rPr>
          <w:rFonts w:asciiTheme="minorHAnsi" w:hAnsiTheme="minorHAnsi" w:cs="Arial"/>
        </w:rPr>
        <w:t>Icke-farmakologisk behandling bör vara grunden för alla patienter. Den kan utgöras av stressreduktion i vid bemärkelse, fysisk aktivitet, avslappningsövningar, sjukgymnastik, undvikande av vissa födoämnen, åtgärder mot läkemedelsöverkonsumtion etcetera. Vid 3 eller fler behandlingskrävande migränanfall per månad kan migränprofylax övervägas. Betablockerare, kandesartan och amitriptylin är samtliga att betrakta som förstahandsval. Den anfallsförebyggande effekten är väsentligen likvärdig men kan variera från individ till individ. Kontraindikationer och biverkningsprofil skiljer sig åt mellan preparaten och individuella faktorer blir avgörande för i vilken ordning den förebyggande behandlingen prövas. Behandlingen bör utvärderas efter 3–6 månader och avslutas om den inte gett en klinisk väsentlig förbättring. Ofta finns utöver migrän ett inslag av spänningshuvudvärk, vilken ibland kan dominera bilden. Detta gör att annan</w:t>
      </w:r>
      <w:r w:rsidR="00BB6263">
        <w:rPr>
          <w:rFonts w:asciiTheme="minorHAnsi" w:hAnsiTheme="minorHAnsi" w:cs="Arial"/>
        </w:rPr>
        <w:t xml:space="preserve"> </w:t>
      </w:r>
      <w:r w:rsidRPr="0020633F">
        <w:rPr>
          <w:rFonts w:asciiTheme="minorHAnsi" w:hAnsiTheme="minorHAnsi" w:cs="Arial"/>
        </w:rPr>
        <w:t xml:space="preserve">värkbehandling än den mot migrän kan vara lika viktig. Beträffande lämpligt anfallsprofylaktikum kan då amitriptylin eller, framför allt vid besvärande bieffekter i form av exempelvis muntorrhet, duloxetin vara ett lämpligt val.  </w:t>
      </w:r>
    </w:p>
    <w:p w14:paraId="5C91F7B8" w14:textId="77777777" w:rsidR="00702564" w:rsidRDefault="00702564" w:rsidP="00702564">
      <w:pPr>
        <w:spacing w:after="240"/>
        <w:rPr>
          <w:rFonts w:cs="Arial"/>
          <w:sz w:val="24"/>
          <w:szCs w:val="24"/>
        </w:rPr>
      </w:pPr>
      <w:r>
        <w:rPr>
          <w:b/>
          <w:bCs/>
          <w:sz w:val="24"/>
          <w:szCs w:val="24"/>
        </w:rPr>
        <w:t>M</w:t>
      </w:r>
      <w:r w:rsidRPr="00BB4738">
        <w:rPr>
          <w:b/>
          <w:bCs/>
          <w:sz w:val="24"/>
          <w:szCs w:val="24"/>
        </w:rPr>
        <w:t>etoprolol</w:t>
      </w:r>
      <w:r w:rsidRPr="00BB4738">
        <w:rPr>
          <w:i/>
          <w:iCs/>
          <w:sz w:val="24"/>
          <w:szCs w:val="24"/>
        </w:rPr>
        <w:t xml:space="preserve"> </w:t>
      </w:r>
      <w:r w:rsidRPr="00BB4738">
        <w:rPr>
          <w:sz w:val="24"/>
          <w:szCs w:val="24"/>
        </w:rPr>
        <w:t>(</w:t>
      </w:r>
      <w:r w:rsidRPr="00BB4738">
        <w:rPr>
          <w:i/>
          <w:iCs/>
          <w:sz w:val="24"/>
          <w:szCs w:val="24"/>
        </w:rPr>
        <w:t>Metoprolol)</w:t>
      </w:r>
      <w:r w:rsidRPr="00BB4738">
        <w:rPr>
          <w:rFonts w:cstheme="minorHAnsi"/>
          <w:sz w:val="24"/>
          <w:szCs w:val="24"/>
        </w:rPr>
        <w:tab/>
      </w:r>
      <w:r>
        <w:rPr>
          <w:rFonts w:cstheme="minorHAnsi"/>
          <w:sz w:val="24"/>
          <w:szCs w:val="24"/>
        </w:rPr>
        <w:br/>
      </w:r>
      <w:r w:rsidRPr="00BB4738">
        <w:rPr>
          <w:rFonts w:cs="Arial"/>
          <w:sz w:val="24"/>
          <w:szCs w:val="24"/>
        </w:rPr>
        <w:t>Ingen säker skillnad i effekt är visad mellan t.ex. metoprolol</w:t>
      </w:r>
      <w:r>
        <w:rPr>
          <w:rFonts w:cs="Arial"/>
          <w:sz w:val="24"/>
          <w:szCs w:val="24"/>
        </w:rPr>
        <w:t xml:space="preserve">, </w:t>
      </w:r>
      <w:r w:rsidRPr="00BB4738">
        <w:rPr>
          <w:rFonts w:cs="Arial"/>
          <w:sz w:val="24"/>
          <w:szCs w:val="24"/>
        </w:rPr>
        <w:t xml:space="preserve">propranolol eller atenolol. Endast de två första har dock indikation i Sverige. </w:t>
      </w:r>
      <w:r>
        <w:rPr>
          <w:rFonts w:cs="Arial"/>
          <w:sz w:val="24"/>
          <w:szCs w:val="24"/>
        </w:rPr>
        <w:t>Metoprolol finns i depotberedning som doseras 1 gång dagligen, vilket kan vara en fördel.</w:t>
      </w:r>
    </w:p>
    <w:p w14:paraId="66D937A4" w14:textId="77777777" w:rsidR="00702564" w:rsidRDefault="00702564" w:rsidP="00702564">
      <w:pPr>
        <w:spacing w:after="240"/>
        <w:rPr>
          <w:rFonts w:cs="Arial"/>
          <w:sz w:val="24"/>
          <w:szCs w:val="24"/>
        </w:rPr>
      </w:pPr>
      <w:r>
        <w:rPr>
          <w:b/>
          <w:bCs/>
          <w:sz w:val="24"/>
          <w:szCs w:val="24"/>
        </w:rPr>
        <w:lastRenderedPageBreak/>
        <w:t>A</w:t>
      </w:r>
      <w:r w:rsidRPr="00BB4738">
        <w:rPr>
          <w:b/>
          <w:bCs/>
          <w:sz w:val="24"/>
          <w:szCs w:val="24"/>
        </w:rPr>
        <w:t xml:space="preserve">mitryptilin </w:t>
      </w:r>
      <w:r w:rsidRPr="00BB4738">
        <w:rPr>
          <w:sz w:val="24"/>
          <w:szCs w:val="24"/>
        </w:rPr>
        <w:t>(</w:t>
      </w:r>
      <w:r w:rsidRPr="00BB4738">
        <w:rPr>
          <w:i/>
          <w:iCs/>
          <w:sz w:val="24"/>
          <w:szCs w:val="24"/>
        </w:rPr>
        <w:t>Amitriptylin</w:t>
      </w:r>
      <w:r w:rsidRPr="00BB4738">
        <w:rPr>
          <w:sz w:val="24"/>
          <w:szCs w:val="24"/>
        </w:rPr>
        <w:t xml:space="preserve">, </w:t>
      </w:r>
      <w:r w:rsidRPr="00BB4738">
        <w:rPr>
          <w:i/>
          <w:iCs/>
          <w:sz w:val="24"/>
          <w:szCs w:val="24"/>
        </w:rPr>
        <w:t>Saroten</w:t>
      </w:r>
      <w:r w:rsidRPr="00BB4738">
        <w:rPr>
          <w:sz w:val="24"/>
          <w:szCs w:val="24"/>
        </w:rPr>
        <w:t>)</w:t>
      </w:r>
      <w:r>
        <w:rPr>
          <w:sz w:val="24"/>
          <w:szCs w:val="24"/>
        </w:rPr>
        <w:br/>
      </w:r>
      <w:r w:rsidRPr="00BB4738">
        <w:rPr>
          <w:rFonts w:cs="Arial"/>
          <w:sz w:val="24"/>
          <w:szCs w:val="24"/>
        </w:rPr>
        <w:t>Amitriptylin är en äldre form av antidepressivum</w:t>
      </w:r>
      <w:r>
        <w:rPr>
          <w:rFonts w:cs="Arial"/>
          <w:sz w:val="24"/>
          <w:szCs w:val="24"/>
        </w:rPr>
        <w:t xml:space="preserve"> som bör ges till kvällen eftersom trötthet under ett antal timmar efter intag är en vanlig biverkan. Preparatet har i FASS även indikationerna neuropatisk smärta och profylaktisk behandling av kronisk huvudvärk av spänningstyp, vilket många gånger kan vara en fördel.</w:t>
      </w:r>
    </w:p>
    <w:p w14:paraId="36387AB3" w14:textId="77777777" w:rsidR="00702564" w:rsidRDefault="00702564" w:rsidP="00702564">
      <w:pPr>
        <w:spacing w:after="240"/>
        <w:rPr>
          <w:rFonts w:cs="Arial"/>
          <w:sz w:val="24"/>
          <w:szCs w:val="24"/>
        </w:rPr>
      </w:pPr>
      <w:r>
        <w:rPr>
          <w:b/>
          <w:bCs/>
          <w:sz w:val="24"/>
          <w:szCs w:val="24"/>
        </w:rPr>
        <w:t>Kandesartan</w:t>
      </w:r>
      <w:r w:rsidRPr="00BB4738">
        <w:rPr>
          <w:i/>
          <w:iCs/>
          <w:sz w:val="24"/>
          <w:szCs w:val="24"/>
        </w:rPr>
        <w:t xml:space="preserve"> </w:t>
      </w:r>
      <w:r w:rsidRPr="00BB4738">
        <w:rPr>
          <w:sz w:val="24"/>
          <w:szCs w:val="24"/>
        </w:rPr>
        <w:t>(</w:t>
      </w:r>
      <w:r>
        <w:rPr>
          <w:i/>
          <w:iCs/>
          <w:sz w:val="24"/>
          <w:szCs w:val="24"/>
        </w:rPr>
        <w:t>Candesartan</w:t>
      </w:r>
      <w:r w:rsidRPr="00BB4738">
        <w:rPr>
          <w:i/>
          <w:iCs/>
          <w:sz w:val="24"/>
          <w:szCs w:val="24"/>
        </w:rPr>
        <w:t>)</w:t>
      </w:r>
      <w:r w:rsidRPr="00BB4738">
        <w:rPr>
          <w:rFonts w:cstheme="minorHAnsi"/>
          <w:sz w:val="24"/>
          <w:szCs w:val="24"/>
        </w:rPr>
        <w:tab/>
      </w:r>
      <w:r>
        <w:rPr>
          <w:rFonts w:cstheme="minorHAnsi"/>
          <w:sz w:val="24"/>
          <w:szCs w:val="24"/>
        </w:rPr>
        <w:br/>
      </w:r>
      <w:r>
        <w:rPr>
          <w:rFonts w:cs="Arial"/>
          <w:sz w:val="24"/>
          <w:szCs w:val="24"/>
        </w:rPr>
        <w:t xml:space="preserve">Angiotensinreceptorblockad med kandesartan saknar indikationen migränprofylax i FASS, men har senaste åren tillkommit som ytterligare ett förstahandsval i behandlingsarsenalen, speciellt hos patienter med samtidig hypertoni. Måldosen bör ligga mellan 8 och 16 mg dagligen. </w:t>
      </w:r>
      <w:r>
        <w:rPr>
          <w:rFonts w:cs="Arial"/>
          <w:sz w:val="24"/>
          <w:szCs w:val="24"/>
        </w:rPr>
        <w:br/>
        <w:t xml:space="preserve">Läkemedlet ska inte användas under graviditet.  </w:t>
      </w:r>
    </w:p>
    <w:p w14:paraId="27277536" w14:textId="526E043E" w:rsidR="00702564" w:rsidRDefault="00702564" w:rsidP="00BB6263">
      <w:pPr>
        <w:spacing w:after="240"/>
        <w:rPr>
          <w:rFonts w:cs="Arial"/>
          <w:sz w:val="24"/>
          <w:szCs w:val="24"/>
        </w:rPr>
      </w:pPr>
      <w:r>
        <w:rPr>
          <w:b/>
          <w:bCs/>
          <w:sz w:val="24"/>
          <w:szCs w:val="24"/>
        </w:rPr>
        <w:t>T</w:t>
      </w:r>
      <w:r w:rsidRPr="00BB4738">
        <w:rPr>
          <w:b/>
          <w:bCs/>
          <w:sz w:val="24"/>
          <w:szCs w:val="24"/>
        </w:rPr>
        <w:t>opiramat</w:t>
      </w:r>
      <w:r w:rsidRPr="00BB4738" w:rsidDel="00CD52A4">
        <w:rPr>
          <w:sz w:val="24"/>
          <w:szCs w:val="24"/>
        </w:rPr>
        <w:t xml:space="preserve"> </w:t>
      </w:r>
      <w:r w:rsidRPr="00BB4738">
        <w:rPr>
          <w:sz w:val="24"/>
          <w:szCs w:val="24"/>
        </w:rPr>
        <w:t>(</w:t>
      </w:r>
      <w:r w:rsidRPr="00BB4738">
        <w:rPr>
          <w:i/>
          <w:iCs/>
          <w:sz w:val="24"/>
          <w:szCs w:val="24"/>
        </w:rPr>
        <w:t>Topiramat</w:t>
      </w:r>
      <w:r w:rsidRPr="00BB4738">
        <w:rPr>
          <w:sz w:val="24"/>
          <w:szCs w:val="24"/>
        </w:rPr>
        <w:t>)</w:t>
      </w:r>
      <w:r>
        <w:rPr>
          <w:sz w:val="24"/>
          <w:szCs w:val="24"/>
        </w:rPr>
        <w:br/>
      </w:r>
      <w:r>
        <w:rPr>
          <w:rFonts w:cs="Arial"/>
          <w:sz w:val="24"/>
          <w:szCs w:val="24"/>
        </w:rPr>
        <w:t xml:space="preserve">Topiramat är ursprungligen ett </w:t>
      </w:r>
      <w:r w:rsidRPr="00BB4738">
        <w:rPr>
          <w:rFonts w:cs="Arial"/>
          <w:sz w:val="24"/>
          <w:szCs w:val="24"/>
        </w:rPr>
        <w:t>antiepileptikum</w:t>
      </w:r>
      <w:r>
        <w:rPr>
          <w:rFonts w:cs="Arial"/>
          <w:sz w:val="24"/>
          <w:szCs w:val="24"/>
        </w:rPr>
        <w:t xml:space="preserve"> med dokumenterad anfallsförebyggande effekt vid migrän. Då preparatet har en biverkningsprofil med risk för nedstämdhet, kognitiv påverkan och viktnedgång bör det sättas in och utvärderas av läkare med erfarenhet av preparatet.</w:t>
      </w:r>
      <w:r w:rsidR="00BB6263">
        <w:rPr>
          <w:rFonts w:cs="Arial"/>
          <w:sz w:val="24"/>
          <w:szCs w:val="24"/>
        </w:rPr>
        <w:t xml:space="preserve"> </w:t>
      </w:r>
      <w:r w:rsidR="00BB6263">
        <w:rPr>
          <w:rFonts w:cs="Arial"/>
          <w:sz w:val="24"/>
          <w:szCs w:val="24"/>
        </w:rPr>
        <w:br/>
      </w:r>
      <w:r w:rsidRPr="0020633F">
        <w:rPr>
          <w:rFonts w:cs="Arial"/>
          <w:sz w:val="24"/>
          <w:szCs w:val="24"/>
        </w:rPr>
        <w:t xml:space="preserve">Då preparatet har en tydlig teratogen effekt rekommenderas det ej till fertila kvinnor som </w:t>
      </w:r>
      <w:r>
        <w:rPr>
          <w:rFonts w:cs="Arial"/>
          <w:sz w:val="24"/>
          <w:szCs w:val="24"/>
        </w:rPr>
        <w:br/>
      </w:r>
      <w:r w:rsidRPr="0020633F">
        <w:rPr>
          <w:rFonts w:cs="Arial"/>
          <w:sz w:val="24"/>
          <w:szCs w:val="24"/>
        </w:rPr>
        <w:t xml:space="preserve">inte har effektiv antikonception. (Se </w:t>
      </w:r>
      <w:hyperlink w:anchor="_Referenser_Neurologi" w:history="1">
        <w:r w:rsidRPr="0020633F">
          <w:rPr>
            <w:rStyle w:val="Hyperlnk"/>
            <w:rFonts w:cs="Arial"/>
            <w:sz w:val="24"/>
            <w:szCs w:val="24"/>
          </w:rPr>
          <w:t>säkerhetsnyhet</w:t>
        </w:r>
      </w:hyperlink>
      <w:r w:rsidRPr="0020633F">
        <w:rPr>
          <w:rFonts w:cs="Arial"/>
          <w:sz w:val="24"/>
          <w:szCs w:val="24"/>
        </w:rPr>
        <w:t xml:space="preserve"> från Läkemedelsverket, sept. 2023)</w:t>
      </w:r>
    </w:p>
    <w:p w14:paraId="2FC84F2B" w14:textId="77777777" w:rsidR="00702564" w:rsidRPr="00BB4738" w:rsidRDefault="00702564" w:rsidP="00702564">
      <w:pPr>
        <w:rPr>
          <w:rFonts w:cs="Arial"/>
          <w:sz w:val="24"/>
          <w:szCs w:val="24"/>
        </w:rPr>
      </w:pPr>
    </w:p>
    <w:p w14:paraId="2174F93D" w14:textId="27257651" w:rsidR="00702564" w:rsidRPr="00BB6263" w:rsidRDefault="00702564" w:rsidP="00702564">
      <w:pPr>
        <w:spacing w:after="240"/>
        <w:rPr>
          <w:rFonts w:cs="Arial"/>
          <w:sz w:val="24"/>
          <w:szCs w:val="24"/>
        </w:rPr>
      </w:pPr>
      <w:r w:rsidRPr="00E57D0C">
        <w:rPr>
          <w:b/>
          <w:bCs/>
          <w:sz w:val="24"/>
          <w:szCs w:val="24"/>
        </w:rPr>
        <w:t>Övrig</w:t>
      </w:r>
      <w:r>
        <w:rPr>
          <w:b/>
          <w:bCs/>
          <w:sz w:val="24"/>
          <w:szCs w:val="24"/>
        </w:rPr>
        <w:t>a läkemedel</w:t>
      </w:r>
      <w:r>
        <w:rPr>
          <w:b/>
          <w:bCs/>
          <w:sz w:val="24"/>
          <w:szCs w:val="24"/>
        </w:rPr>
        <w:br/>
      </w:r>
      <w:r w:rsidRPr="00E32B16">
        <w:rPr>
          <w:rFonts w:cs="Arial"/>
          <w:sz w:val="24"/>
          <w:szCs w:val="24"/>
        </w:rPr>
        <w:t>Botulinumtoxiner respektive de nya s.k. CGRP-hämmarna galkanezumab (Emgality), erenumab (Aimovig), fremanezumab (Ajovy) och eptinezumab (Vyepty</w:t>
      </w:r>
      <w:r>
        <w:rPr>
          <w:rFonts w:cs="Arial"/>
          <w:sz w:val="24"/>
          <w:szCs w:val="24"/>
        </w:rPr>
        <w:t xml:space="preserve">) subventioneras endast för de med </w:t>
      </w:r>
      <w:r w:rsidRPr="00BB4738">
        <w:rPr>
          <w:rFonts w:cs="Arial"/>
          <w:sz w:val="24"/>
          <w:szCs w:val="24"/>
        </w:rPr>
        <w:t xml:space="preserve">kronisk migrän (definierat som huvudvärk minst hälften av månadens dagar och </w:t>
      </w:r>
      <w:r>
        <w:rPr>
          <w:rFonts w:cs="Arial"/>
          <w:sz w:val="24"/>
          <w:szCs w:val="24"/>
        </w:rPr>
        <w:br/>
      </w:r>
      <w:r w:rsidRPr="00BB4738">
        <w:rPr>
          <w:rFonts w:cs="Arial"/>
          <w:sz w:val="24"/>
          <w:szCs w:val="24"/>
        </w:rPr>
        <w:t xml:space="preserve">minst 8 av dem av migränkaraktär, allt detta under minst ett kvartal och utan läkemedelsanvändning). Då preparaten är resurskrävande och mycket dyra är de i princip endast godkända för användning av neurologer </w:t>
      </w:r>
      <w:r>
        <w:rPr>
          <w:rFonts w:cs="Arial"/>
          <w:sz w:val="24"/>
          <w:szCs w:val="24"/>
        </w:rPr>
        <w:t xml:space="preserve">(se subventionsbegränsning i FASS) </w:t>
      </w:r>
      <w:r w:rsidRPr="00BB4738">
        <w:rPr>
          <w:rFonts w:cs="Arial"/>
          <w:sz w:val="24"/>
          <w:szCs w:val="24"/>
        </w:rPr>
        <w:t>och då minst två andra profylaktikum prövats, men varit utan effekt eller gett intolerabla biverkningar</w:t>
      </w:r>
      <w:r>
        <w:rPr>
          <w:rFonts w:cs="Arial"/>
          <w:sz w:val="24"/>
          <w:szCs w:val="24"/>
        </w:rPr>
        <w:t xml:space="preserve">. </w:t>
      </w:r>
      <w:r w:rsidRPr="0020633F">
        <w:rPr>
          <w:rFonts w:cs="Arial"/>
          <w:sz w:val="24"/>
          <w:szCs w:val="24"/>
        </w:rPr>
        <w:t>Inför eventuell behandlingsstart ska patienten ha fyllt i minst två månaders huvudvärksbok. Effekte</w:t>
      </w:r>
      <w:r w:rsidRPr="00A266A7">
        <w:rPr>
          <w:rFonts w:cs="Arial"/>
          <w:sz w:val="24"/>
          <w:szCs w:val="24"/>
        </w:rPr>
        <w:t xml:space="preserve">n (minskning i antal månatliga migrändagar) ska utvärderas efter 3 månader och läkemedlet sättas ut vid utebliven effekt eller om minskningen i antal månatliga migrändagar understiger 30 procent. </w:t>
      </w:r>
      <w:r>
        <w:rPr>
          <w:rFonts w:cs="Arial"/>
          <w:sz w:val="24"/>
          <w:szCs w:val="24"/>
        </w:rPr>
        <w:br/>
      </w:r>
      <w:r w:rsidRPr="00A266A7">
        <w:rPr>
          <w:rFonts w:cs="Arial"/>
          <w:sz w:val="24"/>
          <w:szCs w:val="24"/>
        </w:rPr>
        <w:t>Patienterna ska registreras och följas upp i Neuroregistret. Patienten kan exempelvis rapportera in skattning av sina besvär via PER-funktionen (Patientens Egen Registrering).</w:t>
      </w:r>
      <w:r w:rsidR="00BB6263">
        <w:rPr>
          <w:rFonts w:cs="Arial"/>
          <w:sz w:val="24"/>
          <w:szCs w:val="24"/>
        </w:rPr>
        <w:t xml:space="preserve"> </w:t>
      </w:r>
      <w:r w:rsidR="00BB6263">
        <w:rPr>
          <w:rFonts w:cs="Arial"/>
          <w:sz w:val="24"/>
          <w:szCs w:val="24"/>
        </w:rPr>
        <w:br/>
      </w:r>
      <w:r w:rsidRPr="0020633F">
        <w:rPr>
          <w:rFonts w:cs="Arial"/>
          <w:sz w:val="24"/>
          <w:szCs w:val="24"/>
        </w:rPr>
        <w:t>Det finns också en CGRP-hämmare (Vydura) tillgänglig för anfallsbehandling av migrän och profylaktisk behandling av episodisk migrän hos patienter som har minst 4 migränanfall per månad. Vydura subventioneras endast vid förskrivning av en neurolog för akut behandling av migrän för patienter som provat minst två triptaner utan effekt eller med intolerabla biverkningar. Preparatet sybventioneras ej för profylaktisk behandling.</w:t>
      </w:r>
      <w:r w:rsidRPr="00DB3F4D">
        <w:rPr>
          <w:rFonts w:cs="Arial"/>
          <w:strike/>
          <w:sz w:val="24"/>
          <w:szCs w:val="24"/>
        </w:rPr>
        <w:t xml:space="preserve"> </w:t>
      </w:r>
    </w:p>
    <w:p w14:paraId="1F8A5062" w14:textId="77777777" w:rsidR="00702564" w:rsidRDefault="00702564" w:rsidP="00702564">
      <w:pPr>
        <w:tabs>
          <w:tab w:val="clear" w:pos="284"/>
        </w:tabs>
        <w:spacing w:after="120" w:line="260" w:lineRule="atLeast"/>
        <w:rPr>
          <w:rFonts w:cs="Arial"/>
          <w:strike/>
          <w:sz w:val="24"/>
          <w:szCs w:val="24"/>
        </w:rPr>
      </w:pPr>
      <w:r>
        <w:rPr>
          <w:rFonts w:cs="Arial"/>
          <w:strike/>
          <w:sz w:val="24"/>
          <w:szCs w:val="24"/>
        </w:rPr>
        <w:br w:type="page"/>
      </w:r>
    </w:p>
    <w:p w14:paraId="183A946C" w14:textId="77777777" w:rsidR="00702564" w:rsidRPr="00BB4738" w:rsidRDefault="00702564" w:rsidP="00702564">
      <w:pPr>
        <w:pStyle w:val="Rubrik2"/>
        <w:spacing w:before="0" w:after="0"/>
      </w:pPr>
      <w:r w:rsidRPr="00BB4738">
        <w:lastRenderedPageBreak/>
        <w:t>Epilepsi</w:t>
      </w:r>
      <w:r>
        <w:t xml:space="preserve">  </w:t>
      </w:r>
    </w:p>
    <w:p w14:paraId="1A5CBE64" w14:textId="77777777" w:rsidR="00702564" w:rsidRDefault="00702564" w:rsidP="00702564">
      <w:pPr>
        <w:rPr>
          <w:lang w:val="en-US"/>
        </w:rPr>
      </w:pP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812"/>
      </w:tblGrid>
      <w:tr w:rsidR="00702564" w:rsidRPr="0020633F" w14:paraId="3E6FAD4E" w14:textId="77777777" w:rsidTr="00632FCC">
        <w:tc>
          <w:tcPr>
            <w:tcW w:w="4106" w:type="dxa"/>
          </w:tcPr>
          <w:p w14:paraId="7300BCEB" w14:textId="77777777" w:rsidR="00702564" w:rsidRPr="001263B7" w:rsidRDefault="00702564" w:rsidP="00632FCC">
            <w:pPr>
              <w:rPr>
                <w:sz w:val="24"/>
                <w:szCs w:val="24"/>
                <w:lang w:val="en-US"/>
              </w:rPr>
            </w:pPr>
            <w:r w:rsidRPr="001263B7">
              <w:rPr>
                <w:b/>
                <w:bCs/>
                <w:sz w:val="24"/>
                <w:szCs w:val="24"/>
                <w:lang w:val="en-US"/>
              </w:rPr>
              <w:t>lamotrigin</w:t>
            </w:r>
          </w:p>
        </w:tc>
        <w:tc>
          <w:tcPr>
            <w:tcW w:w="4812" w:type="dxa"/>
          </w:tcPr>
          <w:p w14:paraId="7E5C8538" w14:textId="77777777" w:rsidR="00702564" w:rsidRPr="00921874" w:rsidRDefault="00702564" w:rsidP="00632FCC">
            <w:pPr>
              <w:rPr>
                <w:sz w:val="24"/>
                <w:szCs w:val="24"/>
                <w:lang w:val="en-US"/>
              </w:rPr>
            </w:pPr>
            <w:r w:rsidRPr="00921874">
              <w:rPr>
                <w:sz w:val="24"/>
                <w:szCs w:val="24"/>
                <w:lang w:val="en-US"/>
              </w:rPr>
              <w:t>Lamotrigin Orion*</w:t>
            </w:r>
          </w:p>
        </w:tc>
      </w:tr>
      <w:tr w:rsidR="00702564" w:rsidRPr="001263B7" w14:paraId="0A111AED" w14:textId="77777777" w:rsidTr="00632FCC">
        <w:tc>
          <w:tcPr>
            <w:tcW w:w="4106" w:type="dxa"/>
          </w:tcPr>
          <w:p w14:paraId="5D585BD5" w14:textId="77777777" w:rsidR="00702564" w:rsidRPr="001263B7" w:rsidRDefault="00702564" w:rsidP="00632FCC">
            <w:pPr>
              <w:rPr>
                <w:sz w:val="24"/>
                <w:szCs w:val="24"/>
                <w:lang w:val="en-US"/>
              </w:rPr>
            </w:pPr>
            <w:r w:rsidRPr="001263B7">
              <w:rPr>
                <w:b/>
                <w:bCs/>
                <w:sz w:val="24"/>
                <w:szCs w:val="24"/>
              </w:rPr>
              <w:t>levetiracetam</w:t>
            </w:r>
          </w:p>
        </w:tc>
        <w:tc>
          <w:tcPr>
            <w:tcW w:w="4812" w:type="dxa"/>
          </w:tcPr>
          <w:p w14:paraId="21C7D3B2" w14:textId="77777777" w:rsidR="00702564" w:rsidRPr="00921874" w:rsidRDefault="00702564" w:rsidP="00632FCC">
            <w:pPr>
              <w:rPr>
                <w:sz w:val="24"/>
                <w:szCs w:val="24"/>
              </w:rPr>
            </w:pPr>
            <w:r w:rsidRPr="001263B7">
              <w:rPr>
                <w:sz w:val="24"/>
                <w:szCs w:val="24"/>
              </w:rPr>
              <w:t>Levetiracetam Orion *</w:t>
            </w:r>
          </w:p>
        </w:tc>
      </w:tr>
      <w:tr w:rsidR="00702564" w:rsidRPr="001263B7" w14:paraId="5E78B880" w14:textId="77777777" w:rsidTr="00632FCC">
        <w:tc>
          <w:tcPr>
            <w:tcW w:w="4106" w:type="dxa"/>
          </w:tcPr>
          <w:p w14:paraId="4D429F9C" w14:textId="77777777" w:rsidR="00702564" w:rsidRPr="001263B7" w:rsidRDefault="00702564" w:rsidP="00632FCC">
            <w:pPr>
              <w:rPr>
                <w:sz w:val="24"/>
                <w:szCs w:val="24"/>
                <w:lang w:val="en-US"/>
              </w:rPr>
            </w:pPr>
          </w:p>
          <w:p w14:paraId="0FF1EF47" w14:textId="77777777" w:rsidR="00702564" w:rsidRPr="001263B7" w:rsidRDefault="00702564" w:rsidP="00632FCC">
            <w:pPr>
              <w:rPr>
                <w:b/>
                <w:bCs/>
                <w:sz w:val="24"/>
                <w:szCs w:val="24"/>
              </w:rPr>
            </w:pPr>
            <w:r w:rsidRPr="001263B7">
              <w:rPr>
                <w:b/>
                <w:bCs/>
                <w:sz w:val="24"/>
                <w:szCs w:val="24"/>
              </w:rPr>
              <w:t>Kramplösande</w:t>
            </w:r>
          </w:p>
        </w:tc>
        <w:tc>
          <w:tcPr>
            <w:tcW w:w="4812" w:type="dxa"/>
          </w:tcPr>
          <w:p w14:paraId="4F7534D5" w14:textId="77777777" w:rsidR="00702564" w:rsidRPr="001263B7" w:rsidRDefault="00702564" w:rsidP="00632FCC">
            <w:pPr>
              <w:rPr>
                <w:sz w:val="24"/>
                <w:szCs w:val="24"/>
                <w:lang w:val="en-US"/>
              </w:rPr>
            </w:pPr>
          </w:p>
        </w:tc>
      </w:tr>
      <w:tr w:rsidR="00702564" w:rsidRPr="001263B7" w14:paraId="2CB4330F" w14:textId="77777777" w:rsidTr="00632FCC">
        <w:tc>
          <w:tcPr>
            <w:tcW w:w="4106" w:type="dxa"/>
          </w:tcPr>
          <w:p w14:paraId="584B00A2" w14:textId="77777777" w:rsidR="00702564" w:rsidRPr="001263B7" w:rsidRDefault="00702564" w:rsidP="00632FCC">
            <w:pPr>
              <w:rPr>
                <w:sz w:val="24"/>
                <w:szCs w:val="24"/>
                <w:lang w:val="en-US"/>
              </w:rPr>
            </w:pPr>
            <w:r w:rsidRPr="001263B7">
              <w:rPr>
                <w:b/>
                <w:bCs/>
                <w:sz w:val="24"/>
                <w:szCs w:val="24"/>
              </w:rPr>
              <w:t>diazepam</w:t>
            </w:r>
          </w:p>
        </w:tc>
        <w:tc>
          <w:tcPr>
            <w:tcW w:w="4812" w:type="dxa"/>
          </w:tcPr>
          <w:p w14:paraId="5064238A" w14:textId="77777777" w:rsidR="00702564" w:rsidRPr="001263B7" w:rsidRDefault="00702564" w:rsidP="00632FCC">
            <w:pPr>
              <w:rPr>
                <w:sz w:val="24"/>
                <w:szCs w:val="24"/>
                <w:lang w:val="en-US"/>
              </w:rPr>
            </w:pPr>
            <w:r w:rsidRPr="001263B7">
              <w:rPr>
                <w:sz w:val="24"/>
                <w:szCs w:val="24"/>
              </w:rPr>
              <w:t>Stesolid rektallösning</w:t>
            </w:r>
          </w:p>
        </w:tc>
      </w:tr>
      <w:tr w:rsidR="00702564" w:rsidRPr="001263B7" w14:paraId="0DBA2E3A" w14:textId="77777777" w:rsidTr="00632FCC">
        <w:tc>
          <w:tcPr>
            <w:tcW w:w="8918" w:type="dxa"/>
            <w:gridSpan w:val="2"/>
          </w:tcPr>
          <w:p w14:paraId="18179CB2" w14:textId="77777777" w:rsidR="00702564" w:rsidRDefault="00702564" w:rsidP="00632FCC">
            <w:pPr>
              <w:rPr>
                <w:sz w:val="24"/>
                <w:szCs w:val="24"/>
              </w:rPr>
            </w:pPr>
          </w:p>
          <w:p w14:paraId="5CE30EC3" w14:textId="77777777" w:rsidR="00702564" w:rsidRPr="001263B7" w:rsidRDefault="00702564" w:rsidP="00632FCC">
            <w:pPr>
              <w:rPr>
                <w:sz w:val="24"/>
                <w:szCs w:val="24"/>
              </w:rPr>
            </w:pPr>
            <w:r w:rsidRPr="001263B7">
              <w:rPr>
                <w:sz w:val="24"/>
                <w:szCs w:val="24"/>
              </w:rPr>
              <w:t>Till barn och ungdomar kan som alternativ följande övervägas.</w:t>
            </w:r>
          </w:p>
        </w:tc>
      </w:tr>
      <w:tr w:rsidR="00702564" w:rsidRPr="001263B7" w14:paraId="2E112601" w14:textId="77777777" w:rsidTr="00632FCC">
        <w:tc>
          <w:tcPr>
            <w:tcW w:w="4106" w:type="dxa"/>
          </w:tcPr>
          <w:p w14:paraId="3A8C2350" w14:textId="77777777" w:rsidR="00702564" w:rsidRPr="001263B7" w:rsidRDefault="00702564" w:rsidP="00632FCC">
            <w:pPr>
              <w:rPr>
                <w:sz w:val="24"/>
                <w:szCs w:val="24"/>
              </w:rPr>
            </w:pPr>
            <w:r w:rsidRPr="001263B7">
              <w:rPr>
                <w:b/>
                <w:bCs/>
                <w:sz w:val="24"/>
                <w:szCs w:val="24"/>
                <w:lang w:val="en-GB"/>
              </w:rPr>
              <w:t>midazolam</w:t>
            </w:r>
          </w:p>
        </w:tc>
        <w:tc>
          <w:tcPr>
            <w:tcW w:w="4812" w:type="dxa"/>
          </w:tcPr>
          <w:p w14:paraId="2D338F67" w14:textId="77777777" w:rsidR="00702564" w:rsidRPr="001263B7" w:rsidRDefault="00702564" w:rsidP="00632FCC">
            <w:pPr>
              <w:rPr>
                <w:sz w:val="24"/>
                <w:szCs w:val="24"/>
              </w:rPr>
            </w:pPr>
            <w:r w:rsidRPr="001263B7">
              <w:rPr>
                <w:sz w:val="24"/>
                <w:szCs w:val="24"/>
                <w:lang w:val="en-GB"/>
              </w:rPr>
              <w:t>Buccolam</w:t>
            </w:r>
            <w:r w:rsidRPr="001263B7">
              <w:rPr>
                <w:b/>
                <w:bCs/>
                <w:sz w:val="24"/>
                <w:szCs w:val="24"/>
                <w:lang w:val="en-GB"/>
              </w:rPr>
              <w:t xml:space="preserve"> </w:t>
            </w:r>
            <w:r w:rsidRPr="001263B7">
              <w:rPr>
                <w:sz w:val="24"/>
                <w:szCs w:val="24"/>
                <w:lang w:val="en-GB"/>
              </w:rPr>
              <w:t xml:space="preserve">munhålelösning                          </w:t>
            </w:r>
          </w:p>
        </w:tc>
      </w:tr>
    </w:tbl>
    <w:p w14:paraId="62EBC80E" w14:textId="77777777" w:rsidR="00702564" w:rsidRPr="004E6358" w:rsidRDefault="00702564" w:rsidP="00702564">
      <w:pPr>
        <w:rPr>
          <w:rFonts w:cstheme="minorHAnsi"/>
          <w:iCs/>
          <w:sz w:val="20"/>
          <w:szCs w:val="20"/>
        </w:rPr>
      </w:pPr>
      <w:r w:rsidRPr="004E6358">
        <w:rPr>
          <w:rFonts w:cstheme="minorHAnsi"/>
          <w:iCs/>
          <w:sz w:val="20"/>
          <w:szCs w:val="20"/>
        </w:rPr>
        <w:t>* Vid förskrivning välj Rekommenderade preparat. Stor prisskillnad. Byts ej på apotek.</w:t>
      </w:r>
    </w:p>
    <w:p w14:paraId="0A66BD2C" w14:textId="77777777" w:rsidR="00702564" w:rsidRPr="004E6358" w:rsidRDefault="00702564" w:rsidP="00702564">
      <w:pPr>
        <w:rPr>
          <w:rFonts w:cstheme="minorHAnsi"/>
          <w:iCs/>
          <w:szCs w:val="24"/>
        </w:rPr>
      </w:pPr>
    </w:p>
    <w:p w14:paraId="2273ECAB" w14:textId="6338CAC7" w:rsidR="00702564" w:rsidRDefault="00702564" w:rsidP="00702564">
      <w:pPr>
        <w:rPr>
          <w:rFonts w:cs="Arial"/>
          <w:sz w:val="24"/>
          <w:szCs w:val="24"/>
        </w:rPr>
      </w:pPr>
      <w:r w:rsidRPr="00BB4738">
        <w:rPr>
          <w:rFonts w:cs="Arial"/>
          <w:sz w:val="24"/>
          <w:szCs w:val="24"/>
        </w:rPr>
        <w:t>Flera antiepileptiska läkemedel har registrerats under de senaste decennierna. Inget av de nyare antiepileptiska läkemedlen har visats ha generellt bättre effekt än karbamazepin vid partiell epilepsi eller natriumvalproat vid generaliserad epilepsi. Biverkningspanoramat skiljer sig dock en del varför dessa äldre preparat inte längre är förstahandsval.</w:t>
      </w:r>
    </w:p>
    <w:p w14:paraId="63C996E4" w14:textId="14C82DD4" w:rsidR="00702564" w:rsidRPr="00BB6263" w:rsidRDefault="00702564" w:rsidP="00BB6263">
      <w:pPr>
        <w:tabs>
          <w:tab w:val="clear" w:pos="284"/>
        </w:tabs>
        <w:spacing w:after="120" w:line="260" w:lineRule="atLeast"/>
        <w:rPr>
          <w:rFonts w:cs="Arial"/>
          <w:sz w:val="24"/>
          <w:szCs w:val="24"/>
        </w:rPr>
      </w:pPr>
      <w:r w:rsidRPr="00BB4738">
        <w:rPr>
          <w:rFonts w:cs="Arial"/>
          <w:sz w:val="24"/>
          <w:szCs w:val="24"/>
        </w:rPr>
        <w:t xml:space="preserve">Vid nyinsättning är det ekonomiskt fördelaktigt att använda generikapreparat. Observera att de olika generikapreparaten har stor prisvariation och ej är utbytbara på apotek på grund av epilepsiindikation. Terapigruppen har därför valt att rekommendera generika som bedömts vara hälsoekonomiska och med produktbredd. I flertalet fall kan, efter läkares bedömning, en patient byta mellan olika preparat innehållande samma aktiva substans utifrån kostnadsläget. </w:t>
      </w:r>
      <w:r w:rsidRPr="00BB4738">
        <w:rPr>
          <w:rFonts w:cstheme="minorHAnsi"/>
          <w:sz w:val="24"/>
          <w:szCs w:val="24"/>
        </w:rPr>
        <w:t>Välj därför vid förskrivning i första hand rekommenderat preparat.</w:t>
      </w:r>
    </w:p>
    <w:p w14:paraId="47AE9CD1" w14:textId="77777777" w:rsidR="00702564" w:rsidRDefault="00702564" w:rsidP="00702564">
      <w:pPr>
        <w:spacing w:after="240"/>
        <w:rPr>
          <w:b/>
          <w:bCs/>
          <w:sz w:val="24"/>
          <w:szCs w:val="24"/>
        </w:rPr>
      </w:pPr>
      <w:r>
        <w:rPr>
          <w:b/>
          <w:bCs/>
          <w:sz w:val="24"/>
          <w:szCs w:val="24"/>
        </w:rPr>
        <w:t>L</w:t>
      </w:r>
      <w:r w:rsidRPr="00BB4738">
        <w:rPr>
          <w:b/>
          <w:bCs/>
          <w:sz w:val="24"/>
          <w:szCs w:val="24"/>
        </w:rPr>
        <w:t>amotrigin</w:t>
      </w:r>
      <w:r w:rsidRPr="001B173B">
        <w:rPr>
          <w:b/>
          <w:bCs/>
          <w:sz w:val="24"/>
          <w:szCs w:val="24"/>
        </w:rPr>
        <w:t xml:space="preserve"> </w:t>
      </w:r>
      <w:r w:rsidRPr="001B173B">
        <w:rPr>
          <w:i/>
          <w:iCs/>
          <w:sz w:val="24"/>
          <w:szCs w:val="24"/>
        </w:rPr>
        <w:t xml:space="preserve">(Lamotrigin </w:t>
      </w:r>
      <w:r w:rsidRPr="00921874">
        <w:rPr>
          <w:i/>
          <w:iCs/>
          <w:sz w:val="24"/>
          <w:szCs w:val="24"/>
        </w:rPr>
        <w:t>Orion</w:t>
      </w:r>
      <w:r w:rsidRPr="001B173B">
        <w:rPr>
          <w:i/>
          <w:iCs/>
          <w:sz w:val="24"/>
          <w:szCs w:val="24"/>
        </w:rPr>
        <w:t>)</w:t>
      </w:r>
      <w:r>
        <w:rPr>
          <w:i/>
          <w:iCs/>
          <w:sz w:val="24"/>
          <w:szCs w:val="24"/>
        </w:rPr>
        <w:t xml:space="preserve">  </w:t>
      </w:r>
      <w:r>
        <w:rPr>
          <w:i/>
          <w:iCs/>
          <w:sz w:val="24"/>
          <w:szCs w:val="24"/>
        </w:rPr>
        <w:br/>
      </w:r>
      <w:r w:rsidRPr="00BB4738">
        <w:rPr>
          <w:rFonts w:cs="Arial"/>
          <w:sz w:val="24"/>
          <w:szCs w:val="24"/>
        </w:rPr>
        <w:t xml:space="preserve">Lamotrigin rekommenderas som förstahandsmedel och tilläggsbehandling vid fokala anfall och primärt generaliserade anfall. Preparatet kan särskilt rekommenderas som förstahandsmedel till kvinnor i fertil ålder, till äldre personer samt till personer med nedsatt kognitiv funktion. </w:t>
      </w:r>
      <w:r>
        <w:rPr>
          <w:rFonts w:cs="Arial"/>
          <w:sz w:val="24"/>
          <w:szCs w:val="24"/>
        </w:rPr>
        <w:br/>
      </w:r>
      <w:r w:rsidRPr="00BB4738">
        <w:rPr>
          <w:rFonts w:cs="Arial"/>
          <w:sz w:val="24"/>
          <w:szCs w:val="24"/>
        </w:rPr>
        <w:t xml:space="preserve">Det föreligger betydelsefull interaktion med p-piller (p-piller sänker koncentrationen av lamotrigin). </w:t>
      </w:r>
      <w:r>
        <w:rPr>
          <w:rFonts w:cs="Arial"/>
          <w:sz w:val="24"/>
          <w:szCs w:val="24"/>
        </w:rPr>
        <w:br/>
      </w:r>
      <w:r w:rsidRPr="00BB4738">
        <w:rPr>
          <w:rFonts w:cs="Arial"/>
          <w:sz w:val="24"/>
          <w:szCs w:val="24"/>
        </w:rPr>
        <w:t>Det torde gälla alla östrogeninnehållande läkemedel.</w:t>
      </w:r>
    </w:p>
    <w:p w14:paraId="10C2DEA9" w14:textId="77777777" w:rsidR="00702564" w:rsidRPr="00BB4738" w:rsidRDefault="00702564" w:rsidP="00702564">
      <w:pPr>
        <w:spacing w:after="240"/>
        <w:rPr>
          <w:rFonts w:cs="Arial"/>
          <w:sz w:val="24"/>
          <w:szCs w:val="24"/>
        </w:rPr>
      </w:pPr>
      <w:r>
        <w:rPr>
          <w:b/>
          <w:bCs/>
          <w:sz w:val="24"/>
          <w:szCs w:val="24"/>
        </w:rPr>
        <w:t>L</w:t>
      </w:r>
      <w:r w:rsidRPr="00BB4738">
        <w:rPr>
          <w:b/>
          <w:bCs/>
          <w:sz w:val="24"/>
          <w:szCs w:val="24"/>
        </w:rPr>
        <w:t>evetiracetam</w:t>
      </w:r>
      <w:r w:rsidRPr="001B173B">
        <w:rPr>
          <w:b/>
          <w:bCs/>
          <w:sz w:val="24"/>
          <w:szCs w:val="24"/>
        </w:rPr>
        <w:t xml:space="preserve"> </w:t>
      </w:r>
      <w:r w:rsidRPr="001B173B">
        <w:rPr>
          <w:i/>
          <w:iCs/>
          <w:sz w:val="24"/>
          <w:szCs w:val="24"/>
        </w:rPr>
        <w:t>(Levetiracetam/Orion)</w:t>
      </w:r>
      <w:r>
        <w:rPr>
          <w:i/>
          <w:iCs/>
          <w:sz w:val="24"/>
          <w:szCs w:val="24"/>
        </w:rPr>
        <w:br/>
      </w:r>
      <w:r w:rsidRPr="00BB4738">
        <w:rPr>
          <w:rFonts w:cs="Arial"/>
          <w:sz w:val="24"/>
          <w:szCs w:val="24"/>
        </w:rPr>
        <w:t xml:space="preserve">Levetiracetam är ett förstahandsmedel vid anfall med fokal start och tilläggsbehandling vid generaliserad epilepsi. Biverkningsprofilen är fördelaktig, men trötthet och irritabilitet/aggressivitet är relativt vanligt, det förstnämnda framför allt vid för snabb dosökning. Preparatet saknar betydelsefulla interaktioner och utsöndras via njurarna, vilket kan vara en fördel. </w:t>
      </w:r>
      <w:r>
        <w:rPr>
          <w:rFonts w:cs="Arial"/>
          <w:sz w:val="24"/>
          <w:szCs w:val="24"/>
        </w:rPr>
        <w:br/>
      </w:r>
      <w:r w:rsidRPr="00BB4738">
        <w:rPr>
          <w:rFonts w:cs="Arial"/>
          <w:sz w:val="24"/>
          <w:szCs w:val="24"/>
        </w:rPr>
        <w:t xml:space="preserve">En välkänd och relativt vanlig biverkan av levetiracetam är beteendeförändring och ilska. </w:t>
      </w:r>
      <w:r>
        <w:rPr>
          <w:rFonts w:cs="Arial"/>
          <w:sz w:val="24"/>
          <w:szCs w:val="24"/>
        </w:rPr>
        <w:br/>
      </w:r>
      <w:r w:rsidRPr="00BB4738">
        <w:rPr>
          <w:rFonts w:cs="Arial"/>
          <w:sz w:val="24"/>
          <w:szCs w:val="24"/>
        </w:rPr>
        <w:t xml:space="preserve">Upp till 2/3 av de som drabbas kan få lindring av pyridoxin (vit B6; Romoli et al., 2020) i </w:t>
      </w:r>
      <w:r>
        <w:rPr>
          <w:rFonts w:cs="Arial"/>
          <w:sz w:val="24"/>
          <w:szCs w:val="24"/>
        </w:rPr>
        <w:br/>
      </w:r>
      <w:r w:rsidRPr="00BB4738">
        <w:rPr>
          <w:rFonts w:cs="Arial"/>
          <w:sz w:val="24"/>
          <w:szCs w:val="24"/>
        </w:rPr>
        <w:t>dosering 7 mg/kg eller max 300 mg/d, uppdelat på två doseringstillfällen.</w:t>
      </w:r>
    </w:p>
    <w:p w14:paraId="48A5B7B5" w14:textId="0E5B638B" w:rsidR="00702564" w:rsidRPr="00BB6263" w:rsidRDefault="00702564" w:rsidP="00BB6263">
      <w:pPr>
        <w:spacing w:after="240"/>
        <w:rPr>
          <w:rFonts w:cs="Arial"/>
          <w:sz w:val="24"/>
          <w:szCs w:val="24"/>
        </w:rPr>
      </w:pPr>
      <w:r>
        <w:rPr>
          <w:b/>
          <w:bCs/>
          <w:sz w:val="24"/>
          <w:szCs w:val="24"/>
        </w:rPr>
        <w:t>N</w:t>
      </w:r>
      <w:r w:rsidRPr="00BB4738">
        <w:rPr>
          <w:b/>
          <w:bCs/>
          <w:sz w:val="24"/>
          <w:szCs w:val="24"/>
        </w:rPr>
        <w:t xml:space="preserve">atriumvalproat </w:t>
      </w:r>
      <w:r w:rsidRPr="00BB4738">
        <w:rPr>
          <w:sz w:val="24"/>
          <w:szCs w:val="24"/>
        </w:rPr>
        <w:t>(</w:t>
      </w:r>
      <w:r w:rsidRPr="00BB4738">
        <w:rPr>
          <w:i/>
          <w:iCs/>
          <w:sz w:val="24"/>
          <w:szCs w:val="24"/>
        </w:rPr>
        <w:t>Depakine Retard,</w:t>
      </w:r>
      <w:r w:rsidRPr="00BB4738">
        <w:rPr>
          <w:sz w:val="24"/>
          <w:szCs w:val="24"/>
        </w:rPr>
        <w:t xml:space="preserve"> </w:t>
      </w:r>
      <w:r w:rsidRPr="00BB4738">
        <w:rPr>
          <w:i/>
          <w:iCs/>
          <w:sz w:val="24"/>
          <w:szCs w:val="24"/>
        </w:rPr>
        <w:t>Ergenyl Retard</w:t>
      </w:r>
      <w:r w:rsidRPr="00BB4738">
        <w:rPr>
          <w:sz w:val="24"/>
          <w:szCs w:val="24"/>
        </w:rPr>
        <w:t>)</w:t>
      </w:r>
      <w:r w:rsidRPr="00BB4738">
        <w:rPr>
          <w:b/>
          <w:bCs/>
          <w:sz w:val="24"/>
          <w:szCs w:val="24"/>
        </w:rPr>
        <w:t xml:space="preserve"> </w:t>
      </w:r>
      <w:r w:rsidRPr="00BB4738">
        <w:rPr>
          <w:sz w:val="24"/>
          <w:szCs w:val="24"/>
        </w:rPr>
        <w:t>och</w:t>
      </w:r>
      <w:r w:rsidRPr="00BB4738">
        <w:rPr>
          <w:b/>
          <w:bCs/>
          <w:sz w:val="24"/>
          <w:szCs w:val="24"/>
        </w:rPr>
        <w:t xml:space="preserve"> karbamazepin </w:t>
      </w:r>
      <w:r w:rsidRPr="00BB4738">
        <w:rPr>
          <w:sz w:val="24"/>
          <w:szCs w:val="24"/>
        </w:rPr>
        <w:t>(</w:t>
      </w:r>
      <w:r w:rsidRPr="00BB4738">
        <w:rPr>
          <w:i/>
          <w:iCs/>
          <w:sz w:val="24"/>
          <w:szCs w:val="24"/>
        </w:rPr>
        <w:t>Trimonil Retard,</w:t>
      </w:r>
      <w:r>
        <w:rPr>
          <w:i/>
          <w:iCs/>
          <w:sz w:val="24"/>
          <w:szCs w:val="24"/>
        </w:rPr>
        <w:br/>
      </w:r>
      <w:r w:rsidRPr="00BB4738">
        <w:rPr>
          <w:i/>
          <w:iCs/>
          <w:sz w:val="24"/>
          <w:szCs w:val="24"/>
        </w:rPr>
        <w:t>Hermolepsin Retard,</w:t>
      </w:r>
      <w:r w:rsidRPr="00BB4738">
        <w:rPr>
          <w:sz w:val="24"/>
          <w:szCs w:val="24"/>
        </w:rPr>
        <w:t xml:space="preserve"> </w:t>
      </w:r>
      <w:r w:rsidRPr="00BB4738">
        <w:rPr>
          <w:i/>
          <w:iCs/>
          <w:sz w:val="24"/>
          <w:szCs w:val="24"/>
        </w:rPr>
        <w:t>Tegretol Retard</w:t>
      </w:r>
      <w:r w:rsidRPr="00BB4738">
        <w:rPr>
          <w:sz w:val="24"/>
          <w:szCs w:val="24"/>
        </w:rPr>
        <w:t>)</w:t>
      </w:r>
      <w:r>
        <w:rPr>
          <w:sz w:val="24"/>
          <w:szCs w:val="24"/>
        </w:rPr>
        <w:br/>
      </w:r>
      <w:r w:rsidRPr="00BB4738">
        <w:rPr>
          <w:rFonts w:cs="Arial"/>
          <w:sz w:val="24"/>
          <w:szCs w:val="24"/>
        </w:rPr>
        <w:t>P</w:t>
      </w:r>
      <w:r>
        <w:rPr>
          <w:rFonts w:cs="Arial"/>
          <w:sz w:val="24"/>
          <w:szCs w:val="24"/>
        </w:rPr>
        <w:t xml:space="preserve">å grund av </w:t>
      </w:r>
      <w:r w:rsidRPr="00BB4738">
        <w:rPr>
          <w:rFonts w:cs="Arial"/>
          <w:sz w:val="24"/>
          <w:szCs w:val="24"/>
        </w:rPr>
        <w:t>ogynnsam biverkningsprofil och att det numera finns kostnadseffektiva alternativ</w:t>
      </w:r>
      <w:r w:rsidR="00BB6263">
        <w:rPr>
          <w:rFonts w:cs="Arial"/>
          <w:sz w:val="24"/>
          <w:szCs w:val="24"/>
        </w:rPr>
        <w:t xml:space="preserve"> </w:t>
      </w:r>
      <w:r w:rsidRPr="00BB4738">
        <w:rPr>
          <w:rFonts w:cs="Arial"/>
          <w:sz w:val="24"/>
          <w:szCs w:val="24"/>
        </w:rPr>
        <w:t xml:space="preserve">rekommenderas inte längre natriumvalproat eller karbamazepin. </w:t>
      </w:r>
      <w:r w:rsidR="00BB6263">
        <w:rPr>
          <w:rFonts w:cs="Arial"/>
          <w:sz w:val="24"/>
          <w:szCs w:val="24"/>
        </w:rPr>
        <w:br/>
      </w:r>
      <w:r w:rsidRPr="00BB4738">
        <w:rPr>
          <w:rFonts w:cs="Arial"/>
          <w:sz w:val="24"/>
          <w:szCs w:val="24"/>
        </w:rPr>
        <w:t>P</w:t>
      </w:r>
      <w:r>
        <w:rPr>
          <w:rFonts w:cs="Arial"/>
          <w:sz w:val="24"/>
          <w:szCs w:val="24"/>
        </w:rPr>
        <w:t>å grund av</w:t>
      </w:r>
      <w:r w:rsidRPr="00BB4738">
        <w:rPr>
          <w:rFonts w:cs="Arial"/>
          <w:sz w:val="24"/>
          <w:szCs w:val="24"/>
        </w:rPr>
        <w:t xml:space="preserve"> teratogena och endokrina effekter bör natriumvalproat särskilt undvikas till flickor och fertila kvinnor</w:t>
      </w:r>
      <w:r>
        <w:rPr>
          <w:rFonts w:cs="Arial"/>
          <w:sz w:val="24"/>
          <w:szCs w:val="24"/>
        </w:rPr>
        <w:t>.</w:t>
      </w:r>
    </w:p>
    <w:p w14:paraId="18856516" w14:textId="77777777" w:rsidR="00702564" w:rsidRPr="00BB4738" w:rsidRDefault="00702564" w:rsidP="00702564">
      <w:pPr>
        <w:pStyle w:val="Rubrik2"/>
      </w:pPr>
      <w:r w:rsidRPr="00BB4738">
        <w:lastRenderedPageBreak/>
        <w:t>Kramplösande</w:t>
      </w:r>
    </w:p>
    <w:p w14:paraId="5083B7A9" w14:textId="77777777" w:rsidR="00702564" w:rsidRPr="00BB4738" w:rsidRDefault="00702564" w:rsidP="00702564">
      <w:pPr>
        <w:rPr>
          <w:rFonts w:cs="Arial"/>
          <w:sz w:val="24"/>
          <w:szCs w:val="24"/>
        </w:rPr>
      </w:pPr>
      <w:r w:rsidRPr="00BB4738">
        <w:rPr>
          <w:rFonts w:cs="Arial"/>
          <w:sz w:val="24"/>
          <w:szCs w:val="24"/>
        </w:rPr>
        <w:t xml:space="preserve">Denna typ av behandling är bara aktuell för de patienter som dels har en svår epilepsisjukdom med frekventa anfall, dels bor i särskilt boende, har personlig assistent eller på annat sätt mer eller mindre ständigt har tillgång till personal eller närstående som kan administrera behandlingen. </w:t>
      </w:r>
    </w:p>
    <w:p w14:paraId="6829B0D9" w14:textId="77777777" w:rsidR="00702564" w:rsidRPr="00BB4738" w:rsidRDefault="00702564" w:rsidP="00702564">
      <w:pPr>
        <w:rPr>
          <w:rFonts w:cs="Arial"/>
          <w:sz w:val="24"/>
          <w:szCs w:val="24"/>
        </w:rPr>
      </w:pPr>
    </w:p>
    <w:p w14:paraId="22726899" w14:textId="77777777" w:rsidR="00702564" w:rsidRPr="00BB4738" w:rsidRDefault="00702564" w:rsidP="00702564">
      <w:pPr>
        <w:rPr>
          <w:sz w:val="24"/>
          <w:szCs w:val="24"/>
        </w:rPr>
      </w:pPr>
      <w:r>
        <w:rPr>
          <w:b/>
          <w:bCs/>
          <w:sz w:val="24"/>
          <w:szCs w:val="24"/>
        </w:rPr>
        <w:t>D</w:t>
      </w:r>
      <w:r w:rsidRPr="00BB4738">
        <w:rPr>
          <w:b/>
          <w:bCs/>
          <w:sz w:val="24"/>
          <w:szCs w:val="24"/>
        </w:rPr>
        <w:t xml:space="preserve">iazepam </w:t>
      </w:r>
      <w:r w:rsidRPr="00BB4738">
        <w:rPr>
          <w:sz w:val="24"/>
          <w:szCs w:val="24"/>
        </w:rPr>
        <w:t>(</w:t>
      </w:r>
      <w:r w:rsidRPr="00BB4738">
        <w:rPr>
          <w:i/>
          <w:iCs/>
          <w:sz w:val="24"/>
          <w:szCs w:val="24"/>
        </w:rPr>
        <w:t>Stesolid</w:t>
      </w:r>
      <w:r w:rsidRPr="00BB4738">
        <w:rPr>
          <w:sz w:val="24"/>
          <w:szCs w:val="24"/>
        </w:rPr>
        <w:t>) rektallösning</w:t>
      </w:r>
    </w:p>
    <w:p w14:paraId="1A238169" w14:textId="77777777" w:rsidR="00702564" w:rsidRPr="00BB4738" w:rsidRDefault="00702564" w:rsidP="00702564">
      <w:pPr>
        <w:rPr>
          <w:rFonts w:cs="Arial"/>
          <w:sz w:val="24"/>
          <w:szCs w:val="24"/>
        </w:rPr>
      </w:pPr>
      <w:r w:rsidRPr="00BB4738">
        <w:rPr>
          <w:rFonts w:cs="Arial"/>
          <w:sz w:val="24"/>
          <w:szCs w:val="24"/>
        </w:rPr>
        <w:t>Diazepam är medel för ”egenbehandling” utanför sjukhus samt även förstahandsmedel att bryta anfall under sjukhusvård.</w:t>
      </w:r>
    </w:p>
    <w:p w14:paraId="5F286C17" w14:textId="77777777" w:rsidR="00702564" w:rsidRPr="00BB4738" w:rsidRDefault="00702564" w:rsidP="00702564">
      <w:pPr>
        <w:rPr>
          <w:rFonts w:cs="Arial"/>
          <w:sz w:val="24"/>
          <w:szCs w:val="24"/>
        </w:rPr>
      </w:pPr>
    </w:p>
    <w:p w14:paraId="2CC78B1E" w14:textId="77777777" w:rsidR="00702564" w:rsidRPr="00BB4738" w:rsidRDefault="00702564" w:rsidP="00702564">
      <w:pPr>
        <w:rPr>
          <w:sz w:val="24"/>
          <w:szCs w:val="24"/>
        </w:rPr>
      </w:pPr>
      <w:r>
        <w:rPr>
          <w:b/>
          <w:bCs/>
          <w:sz w:val="24"/>
          <w:szCs w:val="24"/>
        </w:rPr>
        <w:t>M</w:t>
      </w:r>
      <w:r w:rsidRPr="00BB4738">
        <w:rPr>
          <w:b/>
          <w:bCs/>
          <w:sz w:val="24"/>
          <w:szCs w:val="24"/>
        </w:rPr>
        <w:t xml:space="preserve">idazolam </w:t>
      </w:r>
      <w:r w:rsidRPr="00BB4738">
        <w:rPr>
          <w:sz w:val="24"/>
          <w:szCs w:val="24"/>
        </w:rPr>
        <w:t>(</w:t>
      </w:r>
      <w:r w:rsidRPr="00BB4738">
        <w:rPr>
          <w:i/>
          <w:iCs/>
          <w:sz w:val="24"/>
          <w:szCs w:val="24"/>
        </w:rPr>
        <w:t>Buccolam</w:t>
      </w:r>
      <w:r w:rsidRPr="00BB4738">
        <w:rPr>
          <w:sz w:val="24"/>
          <w:szCs w:val="24"/>
        </w:rPr>
        <w:t xml:space="preserve">) munhålelösning                          </w:t>
      </w:r>
    </w:p>
    <w:p w14:paraId="7E30D2CA" w14:textId="77777777" w:rsidR="00702564" w:rsidRPr="0071138D" w:rsidRDefault="00702564" w:rsidP="00702564">
      <w:pPr>
        <w:spacing w:after="240"/>
        <w:rPr>
          <w:rFonts w:cs="Arial"/>
          <w:szCs w:val="24"/>
        </w:rPr>
      </w:pPr>
      <w:r w:rsidRPr="00BB4738">
        <w:rPr>
          <w:rFonts w:cs="Arial"/>
          <w:sz w:val="24"/>
          <w:szCs w:val="24"/>
        </w:rPr>
        <w:t>Buccalt administrerat midazolam är ett alternativ till diazepam som anfallsbehandling utanför sjukhus och har likvärdig anfallskuperande effekt. Enklare administrering kan vara en fördel men kostnaden är</w:t>
      </w:r>
      <w:r>
        <w:rPr>
          <w:rFonts w:cs="Arial"/>
          <w:sz w:val="24"/>
          <w:szCs w:val="24"/>
        </w:rPr>
        <w:t xml:space="preserve"> </w:t>
      </w:r>
      <w:r w:rsidRPr="00921874">
        <w:rPr>
          <w:rFonts w:cs="Arial"/>
          <w:sz w:val="24"/>
          <w:szCs w:val="24"/>
        </w:rPr>
        <w:t>mycket</w:t>
      </w:r>
      <w:r w:rsidRPr="00BB4738">
        <w:rPr>
          <w:rFonts w:cs="Arial"/>
          <w:sz w:val="24"/>
          <w:szCs w:val="24"/>
        </w:rPr>
        <w:t xml:space="preserve"> högre. Alternativet kan övervägas till exempelvis barn och ungdomar.</w:t>
      </w:r>
    </w:p>
    <w:p w14:paraId="321387DE" w14:textId="77777777" w:rsidR="00702564" w:rsidRPr="00BB4738" w:rsidRDefault="00702564" w:rsidP="00702564">
      <w:pPr>
        <w:pStyle w:val="Rubrik2"/>
      </w:pPr>
      <w:r w:rsidRPr="00BB4738">
        <w:t xml:space="preserve">Neurogen smärta </w:t>
      </w:r>
    </w:p>
    <w:p w14:paraId="32502C7C" w14:textId="77777777" w:rsidR="00702564" w:rsidRDefault="00702564" w:rsidP="00702564">
      <w:pPr>
        <w:spacing w:after="240"/>
        <w:rPr>
          <w:rFonts w:asciiTheme="majorHAnsi" w:eastAsiaTheme="majorEastAsia" w:hAnsiTheme="majorHAnsi"/>
          <w:b/>
          <w:bCs/>
          <w:sz w:val="28"/>
          <w:szCs w:val="26"/>
        </w:rPr>
      </w:pPr>
      <w:r w:rsidRPr="00BB4738">
        <w:rPr>
          <w:rFonts w:cs="Arial"/>
          <w:sz w:val="24"/>
          <w:szCs w:val="24"/>
        </w:rPr>
        <w:t>Se avsnitt Smärta.</w:t>
      </w:r>
    </w:p>
    <w:p w14:paraId="48C76CE9" w14:textId="77777777" w:rsidR="00702564" w:rsidRPr="00414657" w:rsidRDefault="00702564" w:rsidP="00702564">
      <w:pPr>
        <w:pStyle w:val="Rubrik2"/>
      </w:pPr>
      <w:r w:rsidRPr="00414657">
        <w:t>Parkinsonism</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8453A0" w14:paraId="23B91F83" w14:textId="77777777" w:rsidTr="00632FCC">
        <w:tc>
          <w:tcPr>
            <w:tcW w:w="4531" w:type="dxa"/>
          </w:tcPr>
          <w:p w14:paraId="25A9F4A6" w14:textId="77777777" w:rsidR="00702564" w:rsidRPr="008453A0" w:rsidRDefault="00702564" w:rsidP="00632FCC">
            <w:pPr>
              <w:rPr>
                <w:rFonts w:cs="Arial"/>
                <w:b/>
                <w:bCs/>
                <w:sz w:val="24"/>
                <w:szCs w:val="24"/>
              </w:rPr>
            </w:pPr>
            <w:r w:rsidRPr="008453A0">
              <w:rPr>
                <w:b/>
                <w:bCs/>
                <w:sz w:val="24"/>
                <w:szCs w:val="24"/>
              </w:rPr>
              <w:t>levodopa + benserazid</w:t>
            </w:r>
          </w:p>
        </w:tc>
        <w:tc>
          <w:tcPr>
            <w:tcW w:w="4531" w:type="dxa"/>
          </w:tcPr>
          <w:p w14:paraId="041B3B28" w14:textId="77777777" w:rsidR="00702564" w:rsidRPr="008453A0" w:rsidRDefault="00702564" w:rsidP="00632FCC">
            <w:pPr>
              <w:rPr>
                <w:rFonts w:cs="Arial"/>
                <w:b/>
                <w:bCs/>
                <w:sz w:val="24"/>
                <w:szCs w:val="24"/>
              </w:rPr>
            </w:pPr>
            <w:r w:rsidRPr="008453A0">
              <w:rPr>
                <w:sz w:val="24"/>
                <w:szCs w:val="24"/>
              </w:rPr>
              <w:t>Madopark</w:t>
            </w:r>
          </w:p>
        </w:tc>
      </w:tr>
      <w:tr w:rsidR="00702564" w:rsidRPr="008453A0" w14:paraId="35442C96" w14:textId="77777777" w:rsidTr="00632FCC">
        <w:tc>
          <w:tcPr>
            <w:tcW w:w="4531" w:type="dxa"/>
          </w:tcPr>
          <w:p w14:paraId="0FFA9DFD" w14:textId="77777777" w:rsidR="00702564" w:rsidRPr="008453A0" w:rsidRDefault="00702564" w:rsidP="00632FCC">
            <w:pPr>
              <w:rPr>
                <w:rFonts w:cs="Arial"/>
                <w:b/>
                <w:bCs/>
                <w:sz w:val="24"/>
                <w:szCs w:val="24"/>
              </w:rPr>
            </w:pPr>
            <w:r w:rsidRPr="008453A0">
              <w:rPr>
                <w:b/>
                <w:bCs/>
                <w:sz w:val="24"/>
                <w:szCs w:val="24"/>
              </w:rPr>
              <w:t>levodopa + karbidopa + entakapon</w:t>
            </w:r>
          </w:p>
        </w:tc>
        <w:tc>
          <w:tcPr>
            <w:tcW w:w="4531" w:type="dxa"/>
          </w:tcPr>
          <w:p w14:paraId="1C8BABA2" w14:textId="77777777" w:rsidR="00702564" w:rsidRPr="00921874" w:rsidRDefault="00702564" w:rsidP="00632FCC">
            <w:pPr>
              <w:rPr>
                <w:rFonts w:cs="Arial"/>
                <w:b/>
                <w:bCs/>
                <w:sz w:val="24"/>
                <w:szCs w:val="24"/>
              </w:rPr>
            </w:pPr>
            <w:r w:rsidRPr="00921874">
              <w:rPr>
                <w:sz w:val="24"/>
                <w:szCs w:val="24"/>
              </w:rPr>
              <w:t>Se bakgrundsmaterial</w:t>
            </w:r>
          </w:p>
        </w:tc>
      </w:tr>
      <w:tr w:rsidR="00702564" w:rsidRPr="008453A0" w14:paraId="3423DE5A" w14:textId="77777777" w:rsidTr="00632FCC">
        <w:tc>
          <w:tcPr>
            <w:tcW w:w="4531" w:type="dxa"/>
          </w:tcPr>
          <w:p w14:paraId="136F3BF4" w14:textId="77777777" w:rsidR="00702564" w:rsidRPr="008453A0" w:rsidRDefault="00702564" w:rsidP="00632FCC">
            <w:pPr>
              <w:rPr>
                <w:b/>
                <w:bCs/>
                <w:sz w:val="24"/>
                <w:szCs w:val="24"/>
              </w:rPr>
            </w:pPr>
            <w:r w:rsidRPr="00921874">
              <w:rPr>
                <w:b/>
                <w:bCs/>
                <w:sz w:val="24"/>
                <w:szCs w:val="24"/>
              </w:rPr>
              <w:t>dopaminagonist</w:t>
            </w:r>
          </w:p>
        </w:tc>
        <w:tc>
          <w:tcPr>
            <w:tcW w:w="4531" w:type="dxa"/>
          </w:tcPr>
          <w:p w14:paraId="2D5BC1BB" w14:textId="77777777" w:rsidR="00702564" w:rsidRPr="00921874" w:rsidRDefault="00702564" w:rsidP="00632FCC">
            <w:pPr>
              <w:rPr>
                <w:sz w:val="24"/>
                <w:szCs w:val="24"/>
              </w:rPr>
            </w:pPr>
            <w:r w:rsidRPr="00921874">
              <w:rPr>
                <w:sz w:val="24"/>
                <w:szCs w:val="24"/>
              </w:rPr>
              <w:t xml:space="preserve">Se bakgrundsmaterial   </w:t>
            </w:r>
          </w:p>
        </w:tc>
      </w:tr>
    </w:tbl>
    <w:p w14:paraId="5F15FE1B" w14:textId="77777777" w:rsidR="00702564" w:rsidRPr="00921874" w:rsidRDefault="00702564" w:rsidP="00702564">
      <w:pPr>
        <w:rPr>
          <w:sz w:val="24"/>
          <w:szCs w:val="24"/>
        </w:rPr>
      </w:pPr>
      <w:r>
        <w:rPr>
          <w:sz w:val="24"/>
          <w:szCs w:val="24"/>
        </w:rPr>
        <w:t xml:space="preserve">   </w:t>
      </w:r>
      <w:r>
        <w:rPr>
          <w:sz w:val="24"/>
          <w:szCs w:val="24"/>
        </w:rPr>
        <w:br/>
      </w:r>
      <w:r w:rsidRPr="00921874">
        <w:rPr>
          <w:sz w:val="24"/>
          <w:szCs w:val="24"/>
        </w:rPr>
        <w:t>Parkinsonism är en symtomtriad med stelhet, skakningar och långsamt rörelsemönster (rigiditet, tremor och hypokinesi). Parkinsonism kan uppkomma som en följd av skador eller påverkan på basala ganglia, som exempel vaskulär parkinsonism och läkemedelsutlöst parkinsonism (främst neuroleptika).  Parkinsons sjukdom är en kronisk-, progressiv-, neurodegenerativ sjukdom med degeneration av de nigrostriatala nervbanorna. Atypisk parkinsonism är symtom som vid parkinsons sjukdom tillsammans med andra neurologiska symtom som inte är förenliga med Parkinsons sjukdom. </w:t>
      </w:r>
    </w:p>
    <w:p w14:paraId="5C86A925" w14:textId="0DCB8AE8" w:rsidR="00702564" w:rsidRPr="00921874" w:rsidRDefault="00702564" w:rsidP="00702564">
      <w:pPr>
        <w:rPr>
          <w:sz w:val="24"/>
          <w:szCs w:val="24"/>
        </w:rPr>
      </w:pPr>
      <w:r w:rsidRPr="00921874">
        <w:rPr>
          <w:sz w:val="24"/>
          <w:szCs w:val="24"/>
        </w:rPr>
        <w:t xml:space="preserve">Vid läkemedelsutlöst parkinsonism bör läkemedlet dosjusteras eller seponeras.  </w:t>
      </w:r>
      <w:r>
        <w:rPr>
          <w:sz w:val="24"/>
          <w:szCs w:val="24"/>
        </w:rPr>
        <w:br/>
      </w:r>
      <w:r w:rsidRPr="00921874">
        <w:rPr>
          <w:sz w:val="24"/>
          <w:szCs w:val="24"/>
        </w:rPr>
        <w:t>Vid atypisk parkinsonism och vid kognitiv svikt kan det finnas en ökad risk för medicinbiverkningar (som exempel ortostatisk hypotension och hallucinos). </w:t>
      </w:r>
    </w:p>
    <w:p w14:paraId="3513C689" w14:textId="77777777" w:rsidR="00702564" w:rsidRPr="00B30D2B" w:rsidRDefault="00702564" w:rsidP="00702564">
      <w:pPr>
        <w:rPr>
          <w:sz w:val="24"/>
          <w:szCs w:val="24"/>
          <w:highlight w:val="yellow"/>
        </w:rPr>
      </w:pPr>
      <w:r>
        <w:rPr>
          <w:sz w:val="24"/>
          <w:szCs w:val="24"/>
          <w:highlight w:val="yellow"/>
        </w:rPr>
        <w:t xml:space="preserve">   </w:t>
      </w:r>
    </w:p>
    <w:p w14:paraId="52B4444B" w14:textId="77777777" w:rsidR="00702564" w:rsidRPr="00921874" w:rsidRDefault="00702564" w:rsidP="00702564">
      <w:pPr>
        <w:rPr>
          <w:sz w:val="24"/>
          <w:szCs w:val="24"/>
        </w:rPr>
      </w:pPr>
      <w:r w:rsidRPr="00921874">
        <w:rPr>
          <w:b/>
          <w:bCs/>
          <w:sz w:val="24"/>
          <w:szCs w:val="24"/>
        </w:rPr>
        <w:t>Levodopa + benserazid</w:t>
      </w:r>
      <w:r w:rsidRPr="00921874">
        <w:rPr>
          <w:sz w:val="24"/>
          <w:szCs w:val="24"/>
        </w:rPr>
        <w:t> (</w:t>
      </w:r>
      <w:r w:rsidRPr="00921874">
        <w:rPr>
          <w:i/>
          <w:iCs/>
          <w:sz w:val="24"/>
          <w:szCs w:val="24"/>
        </w:rPr>
        <w:t>Levodopa/Benserazid, Madopark</w:t>
      </w:r>
      <w:r w:rsidRPr="00921874">
        <w:rPr>
          <w:sz w:val="24"/>
          <w:szCs w:val="24"/>
        </w:rPr>
        <w:t>)</w:t>
      </w:r>
    </w:p>
    <w:p w14:paraId="68ACD8DF" w14:textId="77777777" w:rsidR="00702564" w:rsidRPr="00921874" w:rsidRDefault="00702564" w:rsidP="00702564">
      <w:pPr>
        <w:rPr>
          <w:sz w:val="24"/>
          <w:szCs w:val="24"/>
        </w:rPr>
      </w:pPr>
      <w:r w:rsidRPr="00921874">
        <w:rPr>
          <w:sz w:val="24"/>
          <w:szCs w:val="24"/>
        </w:rPr>
        <w:t>Levodopa är den mest effektiva behandlingen och oftast förstahandsvalet vid Parkinsons sjukdom. Höga doser levdodopa bör undvikas till yngre personer. Levodopa ges alltid i fast kombination med en perifert verkande dekarboxylashämmare. Levodopabehandlingen påbörjas vanligen med 50 mg per dos och den dagliga dosen höjs sedan långsamt (50–100 mg/vecka) till lägsta effektiva dos. Effekten av dispergerbar levodopa (Madopark Quick) kommer snabbare och kan användas på morgonen eller som vid behovs medicinering men bör vanligtvis inte utgöra grundbehandlingen. Med tiden kan levodopadosen behöva minskas men bör aldrig helt utsättas. </w:t>
      </w:r>
    </w:p>
    <w:p w14:paraId="4A08C4DE" w14:textId="77777777" w:rsidR="00702564" w:rsidRPr="00921874" w:rsidRDefault="00702564" w:rsidP="00702564">
      <w:pPr>
        <w:rPr>
          <w:sz w:val="24"/>
          <w:szCs w:val="24"/>
        </w:rPr>
      </w:pPr>
    </w:p>
    <w:p w14:paraId="4D755B07" w14:textId="77777777" w:rsidR="00702564" w:rsidRPr="00921874" w:rsidRDefault="00702564" w:rsidP="00702564">
      <w:pPr>
        <w:rPr>
          <w:sz w:val="24"/>
          <w:szCs w:val="24"/>
        </w:rPr>
      </w:pPr>
      <w:r w:rsidRPr="00921874">
        <w:rPr>
          <w:b/>
          <w:bCs/>
          <w:sz w:val="24"/>
          <w:szCs w:val="24"/>
        </w:rPr>
        <w:lastRenderedPageBreak/>
        <w:t>Levodopa + karbidopa + entakapon</w:t>
      </w:r>
      <w:r w:rsidRPr="00921874">
        <w:rPr>
          <w:sz w:val="24"/>
          <w:szCs w:val="24"/>
        </w:rPr>
        <w:t> (</w:t>
      </w:r>
      <w:r w:rsidRPr="00921874">
        <w:rPr>
          <w:i/>
          <w:iCs/>
          <w:sz w:val="24"/>
          <w:szCs w:val="24"/>
        </w:rPr>
        <w:t>Sastravi, Stalevo</w:t>
      </w:r>
      <w:r w:rsidRPr="00921874">
        <w:rPr>
          <w:sz w:val="24"/>
          <w:szCs w:val="24"/>
        </w:rPr>
        <w:t>)COMT-hämmaren (entakapon) förlångsammar nedbrytningen av dopamin och kan användas för att förstärka effekten av levodopamedicinering och kan användas vid motoriska fluktuationer för att reducera tid i ”off”.</w:t>
      </w:r>
    </w:p>
    <w:p w14:paraId="2A320857" w14:textId="77777777" w:rsidR="00702564" w:rsidRPr="00921874" w:rsidRDefault="00702564" w:rsidP="00702564">
      <w:pPr>
        <w:rPr>
          <w:sz w:val="24"/>
          <w:szCs w:val="24"/>
        </w:rPr>
      </w:pPr>
    </w:p>
    <w:p w14:paraId="5C76C18D" w14:textId="77777777" w:rsidR="00702564" w:rsidRPr="00921874" w:rsidRDefault="00702564" w:rsidP="00702564">
      <w:pPr>
        <w:rPr>
          <w:b/>
          <w:bCs/>
          <w:sz w:val="24"/>
          <w:szCs w:val="24"/>
        </w:rPr>
      </w:pPr>
      <w:r w:rsidRPr="00921874">
        <w:rPr>
          <w:b/>
          <w:bCs/>
          <w:sz w:val="24"/>
          <w:szCs w:val="24"/>
        </w:rPr>
        <w:t>Dopaminagonister</w:t>
      </w:r>
      <w:r w:rsidRPr="00921874">
        <w:rPr>
          <w:sz w:val="24"/>
          <w:szCs w:val="24"/>
        </w:rPr>
        <w:t xml:space="preserve"> </w:t>
      </w:r>
      <w:r w:rsidRPr="00921874">
        <w:rPr>
          <w:b/>
          <w:bCs/>
          <w:sz w:val="24"/>
          <w:szCs w:val="24"/>
        </w:rPr>
        <w:t>(</w:t>
      </w:r>
      <w:r w:rsidRPr="00921874">
        <w:rPr>
          <w:i/>
          <w:iCs/>
          <w:sz w:val="24"/>
          <w:szCs w:val="24"/>
        </w:rPr>
        <w:t>Ropinirol, Pramipexol</w:t>
      </w:r>
      <w:r w:rsidRPr="00921874">
        <w:rPr>
          <w:b/>
          <w:bCs/>
          <w:sz w:val="24"/>
          <w:szCs w:val="24"/>
        </w:rPr>
        <w:t>)</w:t>
      </w:r>
    </w:p>
    <w:p w14:paraId="52EC3728" w14:textId="77777777" w:rsidR="00702564" w:rsidRPr="00921874" w:rsidRDefault="00702564" w:rsidP="00702564">
      <w:pPr>
        <w:rPr>
          <w:sz w:val="24"/>
          <w:szCs w:val="24"/>
        </w:rPr>
      </w:pPr>
      <w:r w:rsidRPr="00921874">
        <w:rPr>
          <w:sz w:val="24"/>
          <w:szCs w:val="24"/>
        </w:rPr>
        <w:t>Dopaminagonister kan användas som monoterapi, främst till yngre patienter för att minska risken för utvecklandet av dyskinesier och som kombinationsterapi med levodopa vid fluktuationer för att reducera tid i ”off”. Dopaminagonister medför en ökad risk för trötthet inklusive plötsligt insomnande, hallucinationer och ortostatisk hypotension jämfört levodopa. </w:t>
      </w:r>
    </w:p>
    <w:p w14:paraId="4B0CD9D0" w14:textId="77777777" w:rsidR="00702564" w:rsidRPr="00921874" w:rsidRDefault="00702564" w:rsidP="00702564">
      <w:pPr>
        <w:rPr>
          <w:sz w:val="24"/>
          <w:szCs w:val="24"/>
        </w:rPr>
      </w:pPr>
    </w:p>
    <w:p w14:paraId="470CEA10" w14:textId="77777777" w:rsidR="00702564" w:rsidRPr="00921874" w:rsidRDefault="00702564" w:rsidP="00702564">
      <w:pPr>
        <w:rPr>
          <w:sz w:val="24"/>
          <w:szCs w:val="24"/>
        </w:rPr>
      </w:pPr>
      <w:r w:rsidRPr="00921874">
        <w:rPr>
          <w:b/>
          <w:bCs/>
          <w:sz w:val="24"/>
          <w:szCs w:val="24"/>
        </w:rPr>
        <w:t>MAO-B-hämmare</w:t>
      </w:r>
      <w:r w:rsidRPr="00921874">
        <w:rPr>
          <w:sz w:val="24"/>
          <w:szCs w:val="24"/>
        </w:rPr>
        <w:t> (</w:t>
      </w:r>
      <w:r w:rsidRPr="00921874">
        <w:rPr>
          <w:i/>
          <w:iCs/>
          <w:sz w:val="24"/>
          <w:szCs w:val="24"/>
        </w:rPr>
        <w:t>Rasaglilin</w:t>
      </w:r>
      <w:r w:rsidRPr="00921874">
        <w:rPr>
          <w:sz w:val="24"/>
          <w:szCs w:val="24"/>
        </w:rPr>
        <w:t xml:space="preserve">, </w:t>
      </w:r>
      <w:r w:rsidRPr="00921874">
        <w:rPr>
          <w:i/>
          <w:iCs/>
          <w:sz w:val="24"/>
          <w:szCs w:val="24"/>
        </w:rPr>
        <w:t>Xadago</w:t>
      </w:r>
      <w:r w:rsidRPr="00921874">
        <w:rPr>
          <w:sz w:val="24"/>
          <w:szCs w:val="24"/>
        </w:rPr>
        <w:t>)</w:t>
      </w:r>
    </w:p>
    <w:p w14:paraId="557C380F" w14:textId="77777777" w:rsidR="00702564" w:rsidRDefault="00702564" w:rsidP="00702564">
      <w:pPr>
        <w:rPr>
          <w:sz w:val="24"/>
          <w:szCs w:val="24"/>
        </w:rPr>
      </w:pPr>
      <w:r w:rsidRPr="00921874">
        <w:rPr>
          <w:sz w:val="24"/>
          <w:szCs w:val="24"/>
        </w:rPr>
        <w:t>MAO-B-hämmare förlångsammar nedbrytningen av dopamin och kan användas som monoterapi vid tidig parksinsons sjukdom när det finns en kvarvarande endogen dopaminproduktion. MAO-B hämmare kan även användas för att förstärka effekten av levodopamedicineringen och kan användas vid motoriska fluktuationer för att reducera tid i ”off”.</w:t>
      </w:r>
    </w:p>
    <w:p w14:paraId="197F85E5" w14:textId="77777777" w:rsidR="00702564" w:rsidRPr="00921874" w:rsidRDefault="00702564" w:rsidP="00702564">
      <w:pPr>
        <w:pStyle w:val="Rubrik2"/>
        <w:rPr>
          <w:lang w:val="en-US"/>
        </w:rPr>
      </w:pPr>
      <w:r w:rsidRPr="00921874">
        <w:rPr>
          <w:lang w:val="en-US"/>
        </w:rPr>
        <w:t>Restless legs (RLS)</w:t>
      </w:r>
      <w:r w:rsidRPr="00921874">
        <w:rPr>
          <w:b w:val="0"/>
          <w:bCs w:val="0"/>
          <w:sz w:val="24"/>
          <w:szCs w:val="24"/>
          <w:highlight w:val="yellow"/>
          <w:lang w:val="en-US"/>
        </w:rPr>
        <w:t xml:space="preserve">  </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921874" w14:paraId="492469CE" w14:textId="77777777" w:rsidTr="00632FCC">
        <w:trPr>
          <w:trHeight w:val="381"/>
        </w:trPr>
        <w:tc>
          <w:tcPr>
            <w:tcW w:w="4531" w:type="dxa"/>
          </w:tcPr>
          <w:p w14:paraId="4C4071FD" w14:textId="77777777" w:rsidR="00702564" w:rsidRPr="00921874" w:rsidRDefault="00702564" w:rsidP="00632FCC">
            <w:pPr>
              <w:rPr>
                <w:b/>
                <w:bCs/>
                <w:sz w:val="24"/>
                <w:szCs w:val="24"/>
              </w:rPr>
            </w:pPr>
            <w:r w:rsidRPr="00921874">
              <w:rPr>
                <w:b/>
                <w:bCs/>
                <w:sz w:val="24"/>
                <w:szCs w:val="24"/>
              </w:rPr>
              <w:t xml:space="preserve">levodopa + benserazid </w:t>
            </w:r>
          </w:p>
        </w:tc>
        <w:tc>
          <w:tcPr>
            <w:tcW w:w="4531" w:type="dxa"/>
          </w:tcPr>
          <w:p w14:paraId="5F61E1E8" w14:textId="77777777" w:rsidR="00702564" w:rsidRPr="00921874" w:rsidRDefault="00702564" w:rsidP="00632FCC">
            <w:pPr>
              <w:rPr>
                <w:sz w:val="24"/>
                <w:szCs w:val="24"/>
              </w:rPr>
            </w:pPr>
            <w:r w:rsidRPr="00921874">
              <w:rPr>
                <w:sz w:val="24"/>
                <w:szCs w:val="24"/>
              </w:rPr>
              <w:t xml:space="preserve">Levodopa/Benserazid, Madopark   </w:t>
            </w:r>
          </w:p>
        </w:tc>
      </w:tr>
    </w:tbl>
    <w:p w14:paraId="14FBEC97" w14:textId="77777777" w:rsidR="00702564" w:rsidRPr="00BB4738" w:rsidRDefault="00702564" w:rsidP="00702564">
      <w:pPr>
        <w:rPr>
          <w:rFonts w:cstheme="minorHAnsi"/>
          <w:b/>
          <w:bCs/>
          <w:sz w:val="24"/>
          <w:szCs w:val="24"/>
        </w:rPr>
      </w:pPr>
      <w:r>
        <w:rPr>
          <w:rFonts w:cstheme="minorHAnsi"/>
          <w:b/>
          <w:bCs/>
          <w:sz w:val="24"/>
          <w:szCs w:val="24"/>
        </w:rPr>
        <w:t xml:space="preserve">  </w:t>
      </w:r>
    </w:p>
    <w:p w14:paraId="1FB00DC9" w14:textId="77777777" w:rsidR="00702564" w:rsidRPr="00BB4738" w:rsidRDefault="00702564" w:rsidP="00702564">
      <w:pPr>
        <w:rPr>
          <w:rFonts w:cs="Arial"/>
          <w:sz w:val="24"/>
          <w:szCs w:val="24"/>
        </w:rPr>
      </w:pPr>
      <w:r w:rsidRPr="00921874">
        <w:rPr>
          <w:rFonts w:cs="Arial"/>
          <w:sz w:val="24"/>
          <w:szCs w:val="24"/>
        </w:rPr>
        <w:t>Diagnos ställs genom anamnes på basen av specifika diagnoskriterier. Tillståndet kan vara sekundärt till exempelvis läk</w:t>
      </w:r>
      <w:r>
        <w:rPr>
          <w:rFonts w:cs="Arial"/>
          <w:sz w:val="24"/>
          <w:szCs w:val="24"/>
        </w:rPr>
        <w:t>e</w:t>
      </w:r>
      <w:r w:rsidRPr="00921874">
        <w:rPr>
          <w:rFonts w:cs="Arial"/>
          <w:sz w:val="24"/>
          <w:szCs w:val="24"/>
        </w:rPr>
        <w:t xml:space="preserve">medel, olika bristtillstånd, njursjukdom, polyneuropati, graviditet med mera. En basal labbutredning kan med fördel innehålla kontroll av Hb, glukos, kreatinin, järn, ferritin, B9 och B12. I första hand rekommenderas icke-farmakologiska åtgärder såsom råd kring motion, rökstopp, lämplig temperatur i sovrummet samt undvikande av stimulerande drycker och för mycket mat nära sänggåendet. För vidare läsning, </w:t>
      </w:r>
      <w:r>
        <w:rPr>
          <w:rFonts w:cs="Arial"/>
          <w:sz w:val="24"/>
          <w:szCs w:val="24"/>
        </w:rPr>
        <w:br/>
      </w:r>
      <w:r w:rsidRPr="00921874">
        <w:rPr>
          <w:rFonts w:cs="Arial"/>
          <w:sz w:val="24"/>
          <w:szCs w:val="24"/>
        </w:rPr>
        <w:t>se</w:t>
      </w:r>
      <w:r w:rsidRPr="00BB4738">
        <w:rPr>
          <w:rFonts w:cs="Arial"/>
          <w:sz w:val="24"/>
          <w:szCs w:val="24"/>
        </w:rPr>
        <w:t xml:space="preserve"> </w:t>
      </w:r>
      <w:hyperlink r:id="rId127" w:history="1">
        <w:r w:rsidRPr="00C73699">
          <w:rPr>
            <w:rStyle w:val="Hyperlnk"/>
            <w:rFonts w:cs="Arial"/>
            <w:color w:val="0070C0"/>
            <w:sz w:val="24"/>
            <w:szCs w:val="24"/>
          </w:rPr>
          <w:t>Läkemedelsbehandling av restless legs syndrom – RLS</w:t>
        </w:r>
      </w:hyperlink>
      <w:r w:rsidRPr="00C73699">
        <w:rPr>
          <w:rFonts w:cs="Arial"/>
          <w:color w:val="0070C0"/>
          <w:sz w:val="24"/>
          <w:szCs w:val="24"/>
        </w:rPr>
        <w:t>.</w:t>
      </w:r>
    </w:p>
    <w:p w14:paraId="400DA2F3" w14:textId="77777777" w:rsidR="00702564" w:rsidRDefault="00702564" w:rsidP="00702564">
      <w:pPr>
        <w:rPr>
          <w:rFonts w:cs="Arial"/>
          <w:b/>
          <w:sz w:val="24"/>
          <w:szCs w:val="24"/>
        </w:rPr>
      </w:pPr>
    </w:p>
    <w:p w14:paraId="66311054" w14:textId="77777777" w:rsidR="00702564" w:rsidRPr="00BB4738" w:rsidRDefault="00702564" w:rsidP="00702564">
      <w:pPr>
        <w:rPr>
          <w:sz w:val="24"/>
          <w:szCs w:val="24"/>
        </w:rPr>
      </w:pPr>
      <w:r>
        <w:rPr>
          <w:b/>
          <w:bCs/>
          <w:sz w:val="24"/>
          <w:szCs w:val="24"/>
        </w:rPr>
        <w:t>L</w:t>
      </w:r>
      <w:r w:rsidRPr="00BB4738">
        <w:rPr>
          <w:b/>
          <w:bCs/>
          <w:sz w:val="24"/>
          <w:szCs w:val="24"/>
        </w:rPr>
        <w:t xml:space="preserve">evodopa + benserazid </w:t>
      </w:r>
      <w:r w:rsidRPr="00BB4738">
        <w:rPr>
          <w:sz w:val="24"/>
          <w:szCs w:val="24"/>
        </w:rPr>
        <w:t>(</w:t>
      </w:r>
      <w:r w:rsidRPr="00BB4738">
        <w:rPr>
          <w:i/>
          <w:iCs/>
          <w:sz w:val="24"/>
          <w:szCs w:val="24"/>
        </w:rPr>
        <w:t>Levodopa/Benserazid,</w:t>
      </w:r>
      <w:r w:rsidRPr="00BB4738">
        <w:rPr>
          <w:sz w:val="24"/>
          <w:szCs w:val="24"/>
        </w:rPr>
        <w:t xml:space="preserve"> </w:t>
      </w:r>
      <w:r w:rsidRPr="00BB4738">
        <w:rPr>
          <w:i/>
          <w:iCs/>
          <w:sz w:val="24"/>
          <w:szCs w:val="24"/>
        </w:rPr>
        <w:t>Madopark</w:t>
      </w:r>
      <w:r w:rsidRPr="00BB4738">
        <w:rPr>
          <w:sz w:val="24"/>
          <w:szCs w:val="24"/>
        </w:rPr>
        <w:t>)</w:t>
      </w:r>
    </w:p>
    <w:p w14:paraId="034C4E5F" w14:textId="77777777" w:rsidR="00702564" w:rsidRDefault="00702564" w:rsidP="00702564">
      <w:r w:rsidRPr="003368AA">
        <w:rPr>
          <w:rFonts w:cs="Arial"/>
          <w:sz w:val="24"/>
          <w:szCs w:val="24"/>
        </w:rPr>
        <w:t>Vid intermittenta lindriga besvär rekommenderas i första hand beh</w:t>
      </w:r>
      <w:r>
        <w:rPr>
          <w:rFonts w:cs="Arial"/>
          <w:sz w:val="24"/>
          <w:szCs w:val="24"/>
        </w:rPr>
        <w:t>a</w:t>
      </w:r>
      <w:r w:rsidRPr="003368AA">
        <w:rPr>
          <w:rFonts w:cs="Arial"/>
          <w:sz w:val="24"/>
          <w:szCs w:val="24"/>
        </w:rPr>
        <w:t xml:space="preserve">ndling med levodopa/benserazid till kvällen ett par gånger per vecka, utifrån risk för toleransutveckling vid frekventare användning. Se </w:t>
      </w:r>
      <w:hyperlink r:id="rId128" w:history="1">
        <w:r w:rsidRPr="003368AA">
          <w:rPr>
            <w:rStyle w:val="Hyperlnk"/>
          </w:rPr>
          <w:t>Behandling av restless legs hos vuxna - Janusinfo.se</w:t>
        </w:r>
      </w:hyperlink>
      <w:r w:rsidRPr="003368AA">
        <w:t>.</w:t>
      </w:r>
    </w:p>
    <w:p w14:paraId="21673C8C" w14:textId="77777777" w:rsidR="00702564" w:rsidRDefault="00702564" w:rsidP="00702564">
      <w:pPr>
        <w:tabs>
          <w:tab w:val="clear" w:pos="284"/>
        </w:tabs>
        <w:spacing w:after="120" w:line="260" w:lineRule="atLeast"/>
      </w:pPr>
    </w:p>
    <w:p w14:paraId="108A9CE2" w14:textId="77777777" w:rsidR="00702564" w:rsidRPr="00BB4738" w:rsidRDefault="00702564" w:rsidP="00702564">
      <w:pPr>
        <w:rPr>
          <w:sz w:val="24"/>
          <w:szCs w:val="24"/>
        </w:rPr>
      </w:pPr>
      <w:r w:rsidRPr="003368AA">
        <w:rPr>
          <w:b/>
          <w:bCs/>
          <w:sz w:val="24"/>
          <w:szCs w:val="24"/>
        </w:rPr>
        <w:t>Dopaminagonister</w:t>
      </w:r>
      <w:r w:rsidRPr="003368AA">
        <w:rPr>
          <w:sz w:val="24"/>
          <w:szCs w:val="24"/>
        </w:rPr>
        <w:t xml:space="preserve"> (</w:t>
      </w:r>
      <w:r w:rsidRPr="003368AA">
        <w:rPr>
          <w:i/>
          <w:iCs/>
          <w:sz w:val="24"/>
          <w:szCs w:val="24"/>
        </w:rPr>
        <w:t>Pramipexol, Ropinirol)</w:t>
      </w:r>
    </w:p>
    <w:p w14:paraId="30B1424D" w14:textId="77777777" w:rsidR="00702564" w:rsidRDefault="00702564" w:rsidP="00702564">
      <w:pPr>
        <w:rPr>
          <w:rFonts w:cs="Arial"/>
          <w:sz w:val="24"/>
          <w:szCs w:val="24"/>
        </w:rPr>
      </w:pPr>
      <w:r w:rsidRPr="00D000C5">
        <w:rPr>
          <w:rFonts w:cs="Arial"/>
          <w:sz w:val="24"/>
          <w:szCs w:val="24"/>
        </w:rPr>
        <w:t xml:space="preserve">Vid måttliga till svåra besvär </w:t>
      </w:r>
      <w:r>
        <w:rPr>
          <w:rFonts w:cs="Arial"/>
          <w:sz w:val="24"/>
          <w:szCs w:val="24"/>
        </w:rPr>
        <w:t xml:space="preserve">rekommenderas </w:t>
      </w:r>
      <w:r w:rsidRPr="00D000C5">
        <w:rPr>
          <w:rFonts w:cs="Arial"/>
          <w:sz w:val="24"/>
          <w:szCs w:val="24"/>
        </w:rPr>
        <w:t>intermittent eller regelbunden behandling till kvällen med dopaminagonist</w:t>
      </w:r>
      <w:r>
        <w:rPr>
          <w:rFonts w:cs="Arial"/>
          <w:sz w:val="24"/>
          <w:szCs w:val="24"/>
        </w:rPr>
        <w:t xml:space="preserve"> (</w:t>
      </w:r>
      <w:r w:rsidRPr="00D000C5">
        <w:rPr>
          <w:rFonts w:cs="Arial"/>
          <w:sz w:val="24"/>
          <w:szCs w:val="24"/>
        </w:rPr>
        <w:t>pramipexol eller ropinirol</w:t>
      </w:r>
      <w:r>
        <w:rPr>
          <w:rFonts w:cs="Arial"/>
          <w:sz w:val="24"/>
          <w:szCs w:val="24"/>
        </w:rPr>
        <w:t>)</w:t>
      </w:r>
      <w:r w:rsidRPr="00D000C5">
        <w:rPr>
          <w:rFonts w:cs="Arial"/>
          <w:sz w:val="24"/>
          <w:szCs w:val="24"/>
        </w:rPr>
        <w:t>.</w:t>
      </w:r>
    </w:p>
    <w:p w14:paraId="1B49404B" w14:textId="77777777" w:rsidR="00702564" w:rsidRPr="00973F2A" w:rsidRDefault="00702564" w:rsidP="00702564">
      <w:pPr>
        <w:rPr>
          <w:rFonts w:cs="Arial"/>
          <w:color w:val="FF0000"/>
          <w:sz w:val="24"/>
          <w:szCs w:val="24"/>
        </w:rPr>
      </w:pPr>
      <w:r>
        <w:rPr>
          <w:rFonts w:cs="Arial"/>
          <w:sz w:val="24"/>
          <w:szCs w:val="24"/>
        </w:rPr>
        <w:t xml:space="preserve">Tas till kvällen, 2-3 timmar före sänggående. </w:t>
      </w:r>
    </w:p>
    <w:p w14:paraId="64343930" w14:textId="77777777" w:rsidR="00702564" w:rsidRPr="00BB4738" w:rsidRDefault="00702564" w:rsidP="00702564">
      <w:pPr>
        <w:rPr>
          <w:rFonts w:cs="Arial"/>
          <w:sz w:val="24"/>
          <w:szCs w:val="24"/>
        </w:rPr>
      </w:pPr>
    </w:p>
    <w:p w14:paraId="4282CC44" w14:textId="77777777" w:rsidR="00702564" w:rsidRPr="00BB4738" w:rsidRDefault="00702564" w:rsidP="00702564">
      <w:pPr>
        <w:rPr>
          <w:sz w:val="24"/>
          <w:szCs w:val="24"/>
        </w:rPr>
      </w:pPr>
      <w:r>
        <w:rPr>
          <w:b/>
          <w:bCs/>
          <w:sz w:val="24"/>
          <w:szCs w:val="24"/>
        </w:rPr>
        <w:t>Rotigotin</w:t>
      </w:r>
      <w:r w:rsidRPr="00BB4738">
        <w:rPr>
          <w:sz w:val="24"/>
          <w:szCs w:val="24"/>
        </w:rPr>
        <w:t xml:space="preserve"> (</w:t>
      </w:r>
      <w:r>
        <w:rPr>
          <w:i/>
          <w:iCs/>
          <w:sz w:val="24"/>
          <w:szCs w:val="24"/>
        </w:rPr>
        <w:t>Neupro</w:t>
      </w:r>
      <w:r w:rsidRPr="00BB4738">
        <w:rPr>
          <w:i/>
          <w:iCs/>
          <w:sz w:val="24"/>
          <w:szCs w:val="24"/>
        </w:rPr>
        <w:t>)</w:t>
      </w:r>
    </w:p>
    <w:p w14:paraId="2EE320C6" w14:textId="77777777" w:rsidR="00702564" w:rsidRDefault="00702564" w:rsidP="00702564">
      <w:pPr>
        <w:rPr>
          <w:rFonts w:cs="Arial"/>
          <w:sz w:val="24"/>
          <w:szCs w:val="24"/>
        </w:rPr>
      </w:pPr>
      <w:r>
        <w:rPr>
          <w:rFonts w:cs="Arial"/>
          <w:sz w:val="24"/>
          <w:szCs w:val="24"/>
        </w:rPr>
        <w:t xml:space="preserve">Ett alternativ vid behandlingskrävande dygnet-runt symptom är Rotigotin-plåster som appliceras </w:t>
      </w:r>
      <w:r>
        <w:rPr>
          <w:rFonts w:cs="Arial"/>
          <w:sz w:val="24"/>
          <w:szCs w:val="24"/>
        </w:rPr>
        <w:br/>
        <w:t xml:space="preserve">1 gång/dygn. </w:t>
      </w:r>
      <w:r w:rsidRPr="004843F2">
        <w:rPr>
          <w:rFonts w:cs="Arial"/>
          <w:sz w:val="24"/>
          <w:szCs w:val="24"/>
        </w:rPr>
        <w:t>En initial dos om 1 mg/24 timmar bör ges 1 gång dagligen</w:t>
      </w:r>
      <w:r>
        <w:rPr>
          <w:rFonts w:cs="Arial"/>
          <w:sz w:val="24"/>
          <w:szCs w:val="24"/>
        </w:rPr>
        <w:t xml:space="preserve"> (plåster med styrkan 2 mg kan klippas på mitten för detta ändamål)</w:t>
      </w:r>
      <w:r w:rsidRPr="004843F2">
        <w:rPr>
          <w:rFonts w:cs="Arial"/>
          <w:sz w:val="24"/>
          <w:szCs w:val="24"/>
        </w:rPr>
        <w:t>. Beroende på det individuella patientsvaret kan dosen ökas med 1 mg/24 timmar varje vecka till en maximal dos om 3 mg/24 timmar</w:t>
      </w:r>
      <w:r>
        <w:rPr>
          <w:rFonts w:cs="Arial"/>
          <w:sz w:val="24"/>
          <w:szCs w:val="24"/>
        </w:rPr>
        <w:t xml:space="preserve">. </w:t>
      </w:r>
      <w:r>
        <w:rPr>
          <w:rFonts w:cs="Arial"/>
          <w:sz w:val="24"/>
          <w:szCs w:val="24"/>
        </w:rPr>
        <w:br/>
        <w:t>Preparatet ingår ej i förmånen vid indikationen RLS.</w:t>
      </w:r>
    </w:p>
    <w:p w14:paraId="5A6D1E20" w14:textId="77777777" w:rsidR="00702564" w:rsidRDefault="00702564" w:rsidP="00702564">
      <w:pPr>
        <w:rPr>
          <w:rFonts w:cs="Arial"/>
          <w:sz w:val="24"/>
          <w:szCs w:val="24"/>
        </w:rPr>
      </w:pPr>
    </w:p>
    <w:p w14:paraId="2729956E" w14:textId="77777777" w:rsidR="00702564" w:rsidRPr="00BB4738" w:rsidRDefault="00702564" w:rsidP="00702564">
      <w:pPr>
        <w:rPr>
          <w:sz w:val="24"/>
          <w:szCs w:val="24"/>
        </w:rPr>
      </w:pPr>
      <w:r>
        <w:rPr>
          <w:b/>
          <w:bCs/>
          <w:sz w:val="24"/>
          <w:szCs w:val="24"/>
        </w:rPr>
        <w:lastRenderedPageBreak/>
        <w:t>Gabapentin</w:t>
      </w:r>
      <w:r w:rsidRPr="00BB4738">
        <w:rPr>
          <w:sz w:val="24"/>
          <w:szCs w:val="24"/>
        </w:rPr>
        <w:t xml:space="preserve"> (</w:t>
      </w:r>
      <w:r>
        <w:rPr>
          <w:i/>
          <w:iCs/>
          <w:sz w:val="24"/>
          <w:szCs w:val="24"/>
        </w:rPr>
        <w:t>Gabapentin</w:t>
      </w:r>
      <w:r w:rsidRPr="00BB4738">
        <w:rPr>
          <w:i/>
          <w:iCs/>
          <w:sz w:val="24"/>
          <w:szCs w:val="24"/>
        </w:rPr>
        <w:t>)</w:t>
      </w:r>
    </w:p>
    <w:p w14:paraId="015674B5" w14:textId="77777777" w:rsidR="00702564" w:rsidRPr="00BB4738" w:rsidRDefault="00702564" w:rsidP="00702564">
      <w:pPr>
        <w:rPr>
          <w:rFonts w:cs="Arial"/>
          <w:sz w:val="24"/>
          <w:szCs w:val="24"/>
        </w:rPr>
      </w:pPr>
      <w:r>
        <w:rPr>
          <w:rFonts w:cs="Arial"/>
          <w:sz w:val="24"/>
          <w:szCs w:val="24"/>
        </w:rPr>
        <w:t xml:space="preserve">Gabapentin är, till skillnad från ovanstående </w:t>
      </w:r>
      <w:r w:rsidRPr="00577639">
        <w:rPr>
          <w:rFonts w:cs="Arial"/>
          <w:strike/>
          <w:sz w:val="24"/>
          <w:szCs w:val="24"/>
        </w:rPr>
        <w:t xml:space="preserve">3 </w:t>
      </w:r>
      <w:r>
        <w:rPr>
          <w:rFonts w:cs="Arial"/>
          <w:sz w:val="24"/>
          <w:szCs w:val="24"/>
        </w:rPr>
        <w:t xml:space="preserve">preparat, ett antiepileptikum snarare än en dopaminagonist. Preparatet kan särskilt övervägas vid samtidig smärta. Succesiv upptrappning </w:t>
      </w:r>
      <w:r w:rsidRPr="003368AA">
        <w:rPr>
          <w:rFonts w:cs="Arial"/>
          <w:sz w:val="24"/>
          <w:szCs w:val="24"/>
        </w:rPr>
        <w:t xml:space="preserve">till lägsta effektiva dos rekommenderas med högst 300 mg åt gången till slutdos 800 - 2400 mg dagligen. Vid RLS rekommenderas att man antingen ger hela dygnsdosen till natten, alternativt att en tredjedel av dygns-dosen ges på sen eftermiddag och resten före sänggående, </w:t>
      </w:r>
      <w:r>
        <w:rPr>
          <w:rFonts w:cs="Arial"/>
          <w:sz w:val="24"/>
          <w:szCs w:val="24"/>
        </w:rPr>
        <w:br/>
      </w:r>
      <w:r w:rsidRPr="003368AA">
        <w:rPr>
          <w:rFonts w:cs="Arial"/>
          <w:sz w:val="24"/>
          <w:szCs w:val="24"/>
        </w:rPr>
        <w:t xml:space="preserve">se </w:t>
      </w:r>
      <w:hyperlink r:id="rId129" w:history="1">
        <w:r w:rsidRPr="003368AA">
          <w:rPr>
            <w:rStyle w:val="Hyperlnk"/>
            <w:rFonts w:cs="Arial"/>
            <w:color w:val="0070C0"/>
            <w:sz w:val="24"/>
            <w:szCs w:val="24"/>
          </w:rPr>
          <w:t>Läkemedelsbehandling av restless legs syndrom – RLS</w:t>
        </w:r>
      </w:hyperlink>
      <w:r w:rsidRPr="00C73699">
        <w:rPr>
          <w:rFonts w:cs="Arial"/>
          <w:color w:val="0070C0"/>
          <w:sz w:val="24"/>
          <w:szCs w:val="24"/>
        </w:rPr>
        <w:t>.</w:t>
      </w:r>
    </w:p>
    <w:p w14:paraId="6CC7EBC3" w14:textId="77777777" w:rsidR="00702564" w:rsidRDefault="00702564" w:rsidP="00702564">
      <w:pPr>
        <w:pStyle w:val="Rubrik2"/>
      </w:pPr>
      <w:r w:rsidRPr="00BB4738">
        <w:t>Benign tremor</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02564" w:rsidRPr="008453A0" w14:paraId="41FDC4AF" w14:textId="77777777" w:rsidTr="00632FCC">
        <w:trPr>
          <w:trHeight w:val="469"/>
        </w:trPr>
        <w:tc>
          <w:tcPr>
            <w:tcW w:w="4531" w:type="dxa"/>
          </w:tcPr>
          <w:p w14:paraId="4CAC97E5" w14:textId="77777777" w:rsidR="00702564" w:rsidRPr="008453A0" w:rsidRDefault="00702564" w:rsidP="00632FCC">
            <w:pPr>
              <w:rPr>
                <w:b/>
                <w:bCs/>
                <w:sz w:val="24"/>
                <w:szCs w:val="24"/>
              </w:rPr>
            </w:pPr>
            <w:r w:rsidRPr="008453A0">
              <w:rPr>
                <w:b/>
                <w:bCs/>
                <w:sz w:val="24"/>
                <w:szCs w:val="24"/>
              </w:rPr>
              <w:t>propranolol</w:t>
            </w:r>
          </w:p>
        </w:tc>
        <w:tc>
          <w:tcPr>
            <w:tcW w:w="4531" w:type="dxa"/>
          </w:tcPr>
          <w:p w14:paraId="144BFB8B" w14:textId="77777777" w:rsidR="00702564" w:rsidRPr="008453A0" w:rsidRDefault="00702564" w:rsidP="00632FCC">
            <w:pPr>
              <w:rPr>
                <w:sz w:val="24"/>
                <w:szCs w:val="24"/>
              </w:rPr>
            </w:pPr>
            <w:r w:rsidRPr="008453A0">
              <w:rPr>
                <w:sz w:val="24"/>
                <w:szCs w:val="24"/>
              </w:rPr>
              <w:t>Propranolol</w:t>
            </w:r>
          </w:p>
        </w:tc>
      </w:tr>
    </w:tbl>
    <w:p w14:paraId="3F6F4876" w14:textId="77777777" w:rsidR="00702564" w:rsidRPr="0071138D" w:rsidRDefault="00702564" w:rsidP="00702564">
      <w:pPr>
        <w:rPr>
          <w:rFonts w:cstheme="minorHAnsi"/>
          <w:szCs w:val="24"/>
        </w:rPr>
      </w:pPr>
    </w:p>
    <w:p w14:paraId="2DDCAB92" w14:textId="549C8EAB" w:rsidR="00702564" w:rsidRPr="00BB4738" w:rsidRDefault="00702564" w:rsidP="00702564">
      <w:pPr>
        <w:rPr>
          <w:sz w:val="24"/>
          <w:szCs w:val="24"/>
        </w:rPr>
      </w:pPr>
      <w:r w:rsidRPr="00BB4738">
        <w:rPr>
          <w:sz w:val="24"/>
          <w:szCs w:val="24"/>
        </w:rPr>
        <w:t>Benign tremor är en beteckning för flera olika tremorformer med liknande fenomenologi, ex</w:t>
      </w:r>
      <w:r>
        <w:rPr>
          <w:sz w:val="24"/>
          <w:szCs w:val="24"/>
        </w:rPr>
        <w:t>empel</w:t>
      </w:r>
      <w:r w:rsidRPr="00BB4738">
        <w:rPr>
          <w:sz w:val="24"/>
          <w:szCs w:val="24"/>
        </w:rPr>
        <w:t>v</w:t>
      </w:r>
      <w:r>
        <w:rPr>
          <w:sz w:val="24"/>
          <w:szCs w:val="24"/>
        </w:rPr>
        <w:t>is</w:t>
      </w:r>
      <w:r w:rsidRPr="00BB4738">
        <w:rPr>
          <w:sz w:val="24"/>
          <w:szCs w:val="24"/>
        </w:rPr>
        <w:t xml:space="preserve"> familjär tremor, senil tremor, essentiell tremor, postural tremor, aktionstremor. Vi har alla en fysiologisk tremor, vilken aktiveras av adrenerga beta2-receptorer i muskulaturen. Fysiologisk tremor anses i situationer med ökad anspänning kunna intensifiera benign tremor. Tremor är också en vanlig biverkan av många läkemedel.</w:t>
      </w:r>
    </w:p>
    <w:p w14:paraId="05AED383" w14:textId="77777777" w:rsidR="00702564" w:rsidRPr="00BB4738" w:rsidRDefault="00702564" w:rsidP="00702564">
      <w:pPr>
        <w:rPr>
          <w:rFonts w:cs="Arial"/>
          <w:sz w:val="24"/>
          <w:szCs w:val="24"/>
        </w:rPr>
      </w:pPr>
      <w:r w:rsidRPr="00BB4738">
        <w:rPr>
          <w:sz w:val="24"/>
          <w:szCs w:val="24"/>
        </w:rPr>
        <w:t xml:space="preserve">Benign tremor ses oftast i övre extremiteterna, mindre ofta i huvudet och än mindre vanlig är den i larynx, bål eller nedre extremiteterna. 50 % av patienterna kan redovisa hereditet för liknande besvär. </w:t>
      </w:r>
    </w:p>
    <w:p w14:paraId="1EF50968" w14:textId="77777777" w:rsidR="00702564" w:rsidRPr="00BB4738" w:rsidRDefault="00702564" w:rsidP="00702564">
      <w:pPr>
        <w:pStyle w:val="Rubrik3"/>
      </w:pPr>
      <w:r w:rsidRPr="00BB4738">
        <w:t>Gemensamma drag är</w:t>
      </w:r>
      <w:r>
        <w:t xml:space="preserve">  </w:t>
      </w:r>
    </w:p>
    <w:p w14:paraId="397692D4" w14:textId="77777777" w:rsidR="00702564" w:rsidRPr="00D63BF4" w:rsidRDefault="00702564" w:rsidP="00702564">
      <w:pPr>
        <w:pStyle w:val="Liststycke"/>
        <w:numPr>
          <w:ilvl w:val="0"/>
          <w:numId w:val="50"/>
        </w:numPr>
        <w:contextualSpacing/>
        <w:rPr>
          <w:rFonts w:cs="Arial"/>
          <w:sz w:val="24"/>
          <w:szCs w:val="24"/>
        </w:rPr>
      </w:pPr>
      <w:r>
        <w:rPr>
          <w:rFonts w:cs="Arial"/>
          <w:sz w:val="24"/>
          <w:szCs w:val="24"/>
        </w:rPr>
        <w:t>G</w:t>
      </w:r>
      <w:r w:rsidRPr="00BB4738">
        <w:rPr>
          <w:rFonts w:cs="Arial"/>
          <w:sz w:val="24"/>
          <w:szCs w:val="24"/>
        </w:rPr>
        <w:t>radvis debut</w:t>
      </w:r>
    </w:p>
    <w:p w14:paraId="14EBA3C3" w14:textId="77777777" w:rsidR="00702564" w:rsidRPr="00BB4738" w:rsidRDefault="00702564" w:rsidP="00702564">
      <w:pPr>
        <w:pStyle w:val="Liststycke"/>
        <w:numPr>
          <w:ilvl w:val="0"/>
          <w:numId w:val="50"/>
        </w:numPr>
        <w:contextualSpacing/>
        <w:rPr>
          <w:rFonts w:cs="Arial"/>
          <w:sz w:val="24"/>
          <w:szCs w:val="24"/>
        </w:rPr>
      </w:pPr>
      <w:r>
        <w:rPr>
          <w:rFonts w:cs="Arial"/>
          <w:sz w:val="24"/>
          <w:szCs w:val="24"/>
        </w:rPr>
        <w:t>E</w:t>
      </w:r>
      <w:r w:rsidRPr="00BB4738">
        <w:rPr>
          <w:rFonts w:cs="Arial"/>
          <w:sz w:val="24"/>
          <w:szCs w:val="24"/>
        </w:rPr>
        <w:t>fter en tid bilaterala (i tillämpliga fall) symptom, väsentligen liksidiga</w:t>
      </w:r>
    </w:p>
    <w:p w14:paraId="2EF63407" w14:textId="77777777" w:rsidR="00702564" w:rsidRPr="00BB4738" w:rsidRDefault="00702564" w:rsidP="00702564">
      <w:pPr>
        <w:pStyle w:val="Liststycke"/>
        <w:numPr>
          <w:ilvl w:val="0"/>
          <w:numId w:val="50"/>
        </w:numPr>
        <w:contextualSpacing/>
        <w:rPr>
          <w:rFonts w:cs="Arial"/>
          <w:sz w:val="24"/>
          <w:szCs w:val="24"/>
        </w:rPr>
      </w:pPr>
      <w:r>
        <w:rPr>
          <w:rFonts w:cs="Arial"/>
          <w:sz w:val="24"/>
          <w:szCs w:val="24"/>
        </w:rPr>
        <w:t>S</w:t>
      </w:r>
      <w:r w:rsidRPr="00BB4738">
        <w:rPr>
          <w:rFonts w:cs="Arial"/>
          <w:sz w:val="24"/>
          <w:szCs w:val="24"/>
        </w:rPr>
        <w:t>ymptomfrihet i komplett vila, medan tremorn syns då extremiteten lyfts mot tyngdkraften och även under rörelser (exempelvis då ett vattenglas förs till munnen)</w:t>
      </w:r>
    </w:p>
    <w:p w14:paraId="3636AF42" w14:textId="77777777" w:rsidR="00702564" w:rsidRPr="00BB4738" w:rsidRDefault="00702564" w:rsidP="00702564">
      <w:pPr>
        <w:pStyle w:val="Liststycke"/>
        <w:numPr>
          <w:ilvl w:val="0"/>
          <w:numId w:val="50"/>
        </w:numPr>
        <w:contextualSpacing/>
        <w:rPr>
          <w:rFonts w:cs="Arial"/>
          <w:sz w:val="24"/>
          <w:szCs w:val="24"/>
        </w:rPr>
      </w:pPr>
      <w:r>
        <w:rPr>
          <w:rFonts w:cs="Arial"/>
          <w:sz w:val="24"/>
          <w:szCs w:val="24"/>
        </w:rPr>
        <w:t>O</w:t>
      </w:r>
      <w:r w:rsidRPr="00BB4738">
        <w:rPr>
          <w:rFonts w:cs="Arial"/>
          <w:sz w:val="24"/>
          <w:szCs w:val="24"/>
        </w:rPr>
        <w:t>fta tillfällig lindring av små mängder alkohol</w:t>
      </w:r>
    </w:p>
    <w:p w14:paraId="6AEE5216" w14:textId="77777777" w:rsidR="00702564" w:rsidRPr="00BB4738" w:rsidRDefault="00702564" w:rsidP="00702564">
      <w:pPr>
        <w:pStyle w:val="Rubrik3"/>
      </w:pPr>
      <w:r w:rsidRPr="00BB4738">
        <w:t xml:space="preserve">Symptom som talar för annan genes till tremor är </w:t>
      </w:r>
    </w:p>
    <w:p w14:paraId="53D01166" w14:textId="77777777" w:rsidR="00702564" w:rsidRPr="00BB4738" w:rsidRDefault="00702564" w:rsidP="00702564">
      <w:pPr>
        <w:pStyle w:val="Liststycke"/>
        <w:numPr>
          <w:ilvl w:val="0"/>
          <w:numId w:val="51"/>
        </w:numPr>
        <w:contextualSpacing/>
        <w:rPr>
          <w:rFonts w:cs="Arial"/>
          <w:sz w:val="24"/>
          <w:szCs w:val="24"/>
        </w:rPr>
      </w:pPr>
      <w:r>
        <w:rPr>
          <w:rFonts w:cs="Arial"/>
          <w:sz w:val="24"/>
          <w:szCs w:val="24"/>
        </w:rPr>
        <w:t>R</w:t>
      </w:r>
      <w:r w:rsidRPr="00BB4738">
        <w:rPr>
          <w:rFonts w:cs="Arial"/>
          <w:sz w:val="24"/>
          <w:szCs w:val="24"/>
        </w:rPr>
        <w:t>igiditet och förlångsamning</w:t>
      </w:r>
    </w:p>
    <w:p w14:paraId="7038562F" w14:textId="77777777" w:rsidR="00702564" w:rsidRPr="00BB4738" w:rsidRDefault="00702564" w:rsidP="00702564">
      <w:pPr>
        <w:pStyle w:val="Liststycke"/>
        <w:numPr>
          <w:ilvl w:val="0"/>
          <w:numId w:val="51"/>
        </w:numPr>
        <w:contextualSpacing/>
        <w:rPr>
          <w:rFonts w:cs="Arial"/>
          <w:sz w:val="24"/>
          <w:szCs w:val="24"/>
        </w:rPr>
      </w:pPr>
      <w:r>
        <w:rPr>
          <w:rFonts w:cs="Arial"/>
          <w:sz w:val="24"/>
          <w:szCs w:val="24"/>
        </w:rPr>
        <w:t>V</w:t>
      </w:r>
      <w:r w:rsidRPr="00BB4738">
        <w:rPr>
          <w:rFonts w:cs="Arial"/>
          <w:sz w:val="24"/>
          <w:szCs w:val="24"/>
        </w:rPr>
        <w:t>ilotremor</w:t>
      </w:r>
    </w:p>
    <w:p w14:paraId="3C4F4B00" w14:textId="77777777" w:rsidR="00702564" w:rsidRPr="00BB4738" w:rsidRDefault="00702564" w:rsidP="00702564">
      <w:pPr>
        <w:pStyle w:val="Liststycke"/>
        <w:numPr>
          <w:ilvl w:val="0"/>
          <w:numId w:val="51"/>
        </w:numPr>
        <w:contextualSpacing/>
        <w:rPr>
          <w:rFonts w:cs="Arial"/>
          <w:sz w:val="24"/>
          <w:szCs w:val="24"/>
        </w:rPr>
      </w:pPr>
      <w:r>
        <w:rPr>
          <w:rFonts w:cs="Arial"/>
          <w:sz w:val="24"/>
          <w:szCs w:val="24"/>
        </w:rPr>
        <w:t>P</w:t>
      </w:r>
      <w:r w:rsidRPr="00BB4738">
        <w:rPr>
          <w:rFonts w:cs="Arial"/>
          <w:sz w:val="24"/>
          <w:szCs w:val="24"/>
        </w:rPr>
        <w:t>atientens ålder &lt;40 år då sjukvården konsulteras</w:t>
      </w:r>
    </w:p>
    <w:p w14:paraId="48FD17A4" w14:textId="77777777" w:rsidR="00702564" w:rsidRPr="00BB4738" w:rsidRDefault="00702564" w:rsidP="00702564">
      <w:pPr>
        <w:rPr>
          <w:rFonts w:cs="Arial"/>
          <w:sz w:val="24"/>
          <w:szCs w:val="24"/>
        </w:rPr>
      </w:pPr>
    </w:p>
    <w:p w14:paraId="56E62A6E" w14:textId="20FA0527" w:rsidR="00702564" w:rsidRDefault="00702564" w:rsidP="00A95E69">
      <w:pPr>
        <w:tabs>
          <w:tab w:val="clear" w:pos="284"/>
        </w:tabs>
        <w:spacing w:after="120" w:line="260" w:lineRule="atLeast"/>
        <w:rPr>
          <w:sz w:val="24"/>
          <w:szCs w:val="24"/>
        </w:rPr>
      </w:pPr>
      <w:r w:rsidRPr="00BB4738">
        <w:rPr>
          <w:sz w:val="24"/>
          <w:szCs w:val="24"/>
        </w:rPr>
        <w:t>Behandlingen syftar till att reducera stimuleringen av beta2-receptorerna. Icke-medicinsk behandling utgörs av reduktion av ämnen med beta2-stimulerande effekt såsom koffein, nikotin och adrenerga läkemedel.</w:t>
      </w:r>
      <w:r>
        <w:rPr>
          <w:sz w:val="24"/>
          <w:szCs w:val="24"/>
        </w:rPr>
        <w:t xml:space="preserve"> </w:t>
      </w:r>
      <w:r w:rsidRPr="00BB4738">
        <w:rPr>
          <w:sz w:val="24"/>
          <w:szCs w:val="24"/>
        </w:rPr>
        <w:t xml:space="preserve">Medicinsk behandling utgörs i första hand av behandling med beta2-receptorblockerande läkemedel med god CNS-penetrans. I Sverige är propranolol registrerat på denna indikation. Lämplig dos är ofta 80–160 mg/d, fördelat på 1–3 doseringstillfällen, men denna kan vb ökas betydligt. Vid dålig effekt eller intolerabilitet kan atenolol </w:t>
      </w:r>
      <w:r>
        <w:rPr>
          <w:sz w:val="24"/>
          <w:szCs w:val="24"/>
        </w:rPr>
        <w:t xml:space="preserve">eller </w:t>
      </w:r>
      <w:r w:rsidRPr="00BB4738">
        <w:rPr>
          <w:sz w:val="24"/>
          <w:szCs w:val="24"/>
        </w:rPr>
        <w:t xml:space="preserve">vissa antiepileptika </w:t>
      </w:r>
      <w:r>
        <w:rPr>
          <w:sz w:val="24"/>
          <w:szCs w:val="24"/>
        </w:rPr>
        <w:t>användas.</w:t>
      </w:r>
      <w:r>
        <w:rPr>
          <w:sz w:val="24"/>
          <w:szCs w:val="24"/>
        </w:rPr>
        <w:br/>
        <w:t xml:space="preserve">I utvalda fall kan </w:t>
      </w:r>
      <w:r w:rsidRPr="00E32B16">
        <w:rPr>
          <w:sz w:val="24"/>
          <w:szCs w:val="24"/>
        </w:rPr>
        <w:t>bensodiazepiner</w:t>
      </w:r>
      <w:r>
        <w:rPr>
          <w:sz w:val="24"/>
          <w:szCs w:val="24"/>
        </w:rPr>
        <w:t xml:space="preserve"> prövas. </w:t>
      </w:r>
      <w:r w:rsidRPr="00BB4738">
        <w:rPr>
          <w:sz w:val="24"/>
          <w:szCs w:val="24"/>
        </w:rPr>
        <w:t>Om inte heller farmakologisk behandling fungerar kan utvalda fall aktualiseras för DBS (djup hjärnstimulering med elektroder).</w:t>
      </w:r>
    </w:p>
    <w:p w14:paraId="56F6AC8E" w14:textId="77777777" w:rsidR="00702564" w:rsidRDefault="00702564" w:rsidP="00702564">
      <w:pPr>
        <w:tabs>
          <w:tab w:val="clear" w:pos="284"/>
        </w:tabs>
        <w:spacing w:after="120" w:line="260" w:lineRule="atLeast"/>
        <w:rPr>
          <w:sz w:val="24"/>
          <w:szCs w:val="24"/>
        </w:rPr>
      </w:pPr>
    </w:p>
    <w:p w14:paraId="5046A152" w14:textId="77777777" w:rsidR="00702564" w:rsidRPr="00BB4738" w:rsidRDefault="00702564" w:rsidP="00702564">
      <w:pPr>
        <w:pStyle w:val="Rubrik2"/>
      </w:pPr>
      <w:r>
        <w:lastRenderedPageBreak/>
        <w:t>S</w:t>
      </w:r>
      <w:r w:rsidRPr="00BB4738">
        <w:t>troke</w:t>
      </w:r>
    </w:p>
    <w:p w14:paraId="40A7A98B" w14:textId="77777777" w:rsidR="00702564" w:rsidRPr="00075D2A" w:rsidRDefault="00702564" w:rsidP="00702564">
      <w:pPr>
        <w:rPr>
          <w:sz w:val="24"/>
          <w:szCs w:val="24"/>
        </w:rPr>
      </w:pPr>
      <w:r w:rsidRPr="00075D2A">
        <w:rPr>
          <w:sz w:val="24"/>
          <w:szCs w:val="24"/>
        </w:rPr>
        <w:t xml:space="preserve">Stroke är ett samlingsnamn för sjukdomar som drabbar hjärnans kärl och som ger upphov till akuta neurologiska symtom, innefattandes hjärninfarkt, hjärnblödning och subaraknoidalblödning. </w:t>
      </w:r>
      <w:r>
        <w:rPr>
          <w:sz w:val="24"/>
          <w:szCs w:val="24"/>
        </w:rPr>
        <w:br/>
      </w:r>
      <w:r w:rsidRPr="00075D2A">
        <w:rPr>
          <w:sz w:val="24"/>
          <w:szCs w:val="24"/>
        </w:rPr>
        <w:t>Vid symtomduration mindre än 24 timmar definieras tillståndet som transitorisk ischemisk attack (TIA).</w:t>
      </w:r>
      <w:r>
        <w:rPr>
          <w:sz w:val="24"/>
          <w:szCs w:val="24"/>
        </w:rPr>
        <w:t xml:space="preserve"> </w:t>
      </w:r>
      <w:r w:rsidRPr="00075D2A">
        <w:rPr>
          <w:sz w:val="24"/>
          <w:szCs w:val="24"/>
        </w:rPr>
        <w:t>Hjärnblödning under behandling med warfarin reverseras med koagulationsfaktorkoncentrat kombinerat med K-vitamin. Hjärnblödning under behandling med dabigatran reverseras med idarucizumab. Koagulationsbehandling kan ges vid annan blödning under antikoagulations</w:t>
      </w:r>
      <w:r>
        <w:rPr>
          <w:sz w:val="24"/>
          <w:szCs w:val="24"/>
        </w:rPr>
        <w:t>-</w:t>
      </w:r>
      <w:r w:rsidRPr="00075D2A">
        <w:rPr>
          <w:sz w:val="24"/>
          <w:szCs w:val="24"/>
        </w:rPr>
        <w:t>behandling.</w:t>
      </w:r>
      <w:r>
        <w:rPr>
          <w:sz w:val="24"/>
          <w:szCs w:val="24"/>
        </w:rPr>
        <w:t xml:space="preserve"> </w:t>
      </w:r>
      <w:r w:rsidRPr="00075D2A">
        <w:rPr>
          <w:sz w:val="24"/>
          <w:szCs w:val="24"/>
        </w:rPr>
        <w:t xml:space="preserve">Vid hjärninfarkt och betydande neurologiska symtom kan rekanalisering (iv trombolys) och/eller endovaskulär behandling (trombektomi) ges inom 4,5 och / eller 24 timmar respektive. </w:t>
      </w:r>
    </w:p>
    <w:p w14:paraId="7B2022C4" w14:textId="77777777" w:rsidR="00702564" w:rsidRPr="00075D2A" w:rsidRDefault="00702564" w:rsidP="00702564">
      <w:pPr>
        <w:rPr>
          <w:sz w:val="24"/>
          <w:szCs w:val="24"/>
        </w:rPr>
      </w:pPr>
      <w:r w:rsidRPr="00075D2A">
        <w:rPr>
          <w:sz w:val="24"/>
          <w:szCs w:val="24"/>
        </w:rPr>
        <w:t xml:space="preserve">Vid lindrig hjärninfarkt och högrisk TIA rekommenderas dubbel trombocythämning med acetylsalicylsyra (bolus 300 mg följt av 75 mg dagligen) och klopidogrel (bolus 300 mg följt av 75 mg dagligen) under de första 3 veckorna, därefter följt av enkel trombocythämning. </w:t>
      </w:r>
      <w:r>
        <w:rPr>
          <w:sz w:val="24"/>
          <w:szCs w:val="24"/>
        </w:rPr>
        <w:br/>
      </w:r>
      <w:r w:rsidRPr="00075D2A">
        <w:rPr>
          <w:sz w:val="24"/>
          <w:szCs w:val="24"/>
        </w:rPr>
        <w:t xml:space="preserve">För patienter med större hjärninfarkt är förstahandsvalet acetylsalicylsyra (bolus 300 mg följt av 75 mg dagligen). Vid hjärninfarkt eller TIA och förmaksflimmer insätts antikoagulantia i förebyggande syfte. Därtill bör statinbehandling vid ischemisk stroke och blodtryckssänkande läkemedel vid högt och ibland vid normalt blodtryck erbjudas. </w:t>
      </w:r>
      <w:r>
        <w:rPr>
          <w:sz w:val="24"/>
          <w:szCs w:val="24"/>
        </w:rPr>
        <w:br/>
      </w:r>
    </w:p>
    <w:p w14:paraId="1AE2C147" w14:textId="77777777" w:rsidR="00702564" w:rsidRPr="000E2619" w:rsidRDefault="00702564" w:rsidP="00702564">
      <w:pPr>
        <w:rPr>
          <w:rFonts w:asciiTheme="minorHAnsi" w:hAnsiTheme="minorHAnsi" w:cs="Arial"/>
          <w:b/>
          <w:bCs/>
          <w:sz w:val="24"/>
          <w:szCs w:val="24"/>
        </w:rPr>
      </w:pPr>
      <w:r w:rsidRPr="000E2619">
        <w:rPr>
          <w:rFonts w:asciiTheme="minorHAnsi" w:hAnsiTheme="minorHAnsi" w:cs="Arial"/>
          <w:b/>
          <w:bCs/>
          <w:sz w:val="24"/>
          <w:szCs w:val="24"/>
        </w:rPr>
        <w:t>Lipidsänkning</w:t>
      </w:r>
    </w:p>
    <w:p w14:paraId="081D6EE1" w14:textId="77777777" w:rsidR="00702564" w:rsidRPr="000E2619" w:rsidRDefault="00702564" w:rsidP="00702564">
      <w:pPr>
        <w:rPr>
          <w:rFonts w:asciiTheme="minorHAnsi" w:hAnsiTheme="minorHAnsi" w:cs="Arial"/>
          <w:b/>
          <w:bCs/>
          <w:sz w:val="24"/>
          <w:szCs w:val="24"/>
        </w:rPr>
      </w:pPr>
      <w:r w:rsidRPr="000E2619">
        <w:rPr>
          <w:rFonts w:asciiTheme="minorHAnsi" w:hAnsiTheme="minorHAnsi" w:cs="Arial"/>
          <w:b/>
          <w:bCs/>
          <w:sz w:val="24"/>
          <w:szCs w:val="24"/>
        </w:rPr>
        <w:t>Hypertoni</w:t>
      </w:r>
    </w:p>
    <w:p w14:paraId="6C33560C" w14:textId="77777777" w:rsidR="00702564" w:rsidRPr="000E2619" w:rsidRDefault="00702564" w:rsidP="00702564">
      <w:pPr>
        <w:rPr>
          <w:rFonts w:asciiTheme="minorHAnsi" w:hAnsiTheme="minorHAnsi" w:cs="Arial"/>
          <w:b/>
          <w:bCs/>
          <w:sz w:val="24"/>
          <w:szCs w:val="24"/>
        </w:rPr>
      </w:pPr>
      <w:r w:rsidRPr="000E2619">
        <w:rPr>
          <w:rFonts w:asciiTheme="minorHAnsi" w:hAnsiTheme="minorHAnsi" w:cs="Arial"/>
          <w:b/>
          <w:bCs/>
          <w:sz w:val="24"/>
          <w:szCs w:val="24"/>
        </w:rPr>
        <w:t>Sekundärprevention efter cerebral infarkt med flimmer</w:t>
      </w:r>
    </w:p>
    <w:p w14:paraId="0878FFED" w14:textId="77777777" w:rsidR="00702564" w:rsidRPr="000E2619" w:rsidRDefault="00702564" w:rsidP="00702564">
      <w:pPr>
        <w:rPr>
          <w:rFonts w:asciiTheme="minorHAnsi" w:hAnsiTheme="minorHAnsi" w:cs="Arial"/>
          <w:sz w:val="24"/>
          <w:szCs w:val="24"/>
        </w:rPr>
      </w:pPr>
      <w:r w:rsidRPr="000E2619">
        <w:rPr>
          <w:rFonts w:asciiTheme="minorHAnsi" w:hAnsiTheme="minorHAnsi" w:cs="Arial"/>
          <w:sz w:val="24"/>
          <w:szCs w:val="24"/>
        </w:rPr>
        <w:t>Se avsnitt Hjärta-Kärl.</w:t>
      </w:r>
    </w:p>
    <w:p w14:paraId="24FEDA6D" w14:textId="77777777" w:rsidR="00702564" w:rsidRPr="000E2619" w:rsidRDefault="00702564" w:rsidP="00702564">
      <w:pPr>
        <w:rPr>
          <w:rFonts w:asciiTheme="minorHAnsi" w:hAnsiTheme="minorHAnsi" w:cs="Arial"/>
          <w:sz w:val="24"/>
          <w:szCs w:val="24"/>
        </w:rPr>
      </w:pPr>
    </w:p>
    <w:p w14:paraId="600E4B55" w14:textId="77777777" w:rsidR="00702564" w:rsidRPr="000E2619" w:rsidRDefault="00702564" w:rsidP="00702564">
      <w:pPr>
        <w:rPr>
          <w:rFonts w:asciiTheme="minorHAnsi" w:hAnsiTheme="minorHAnsi" w:cs="Arial"/>
          <w:b/>
          <w:bCs/>
          <w:sz w:val="24"/>
          <w:szCs w:val="24"/>
        </w:rPr>
      </w:pPr>
      <w:r w:rsidRPr="000E2619">
        <w:rPr>
          <w:rFonts w:asciiTheme="minorHAnsi" w:hAnsiTheme="minorHAnsi" w:cs="Arial"/>
          <w:b/>
          <w:bCs/>
          <w:sz w:val="24"/>
          <w:szCs w:val="24"/>
        </w:rPr>
        <w:t>Icke-farmakologisk behandling</w:t>
      </w:r>
    </w:p>
    <w:p w14:paraId="1F6CDD83" w14:textId="77777777" w:rsidR="00702564" w:rsidRPr="000E2619" w:rsidRDefault="00702564" w:rsidP="00702564">
      <w:pPr>
        <w:spacing w:after="240" w:line="240" w:lineRule="auto"/>
        <w:rPr>
          <w:rFonts w:asciiTheme="minorHAnsi" w:eastAsia="Times New Roman" w:hAnsiTheme="minorHAnsi" w:cs="Arial"/>
          <w:color w:val="404040"/>
          <w:sz w:val="24"/>
          <w:szCs w:val="24"/>
          <w:lang w:eastAsia="sv-SE"/>
        </w:rPr>
      </w:pPr>
      <w:r w:rsidRPr="000E2619">
        <w:rPr>
          <w:rFonts w:asciiTheme="minorHAnsi" w:eastAsia="Times New Roman" w:hAnsiTheme="minorHAnsi" w:cs="Arial"/>
          <w:color w:val="404040"/>
          <w:sz w:val="24"/>
          <w:szCs w:val="24"/>
          <w:lang w:eastAsia="sv-SE"/>
        </w:rPr>
        <w:t xml:space="preserve">Utöver läkemedelspreventiv sekundärprevention är det viktigt med genomgång och stöd för goda levnadsvanor. </w:t>
      </w:r>
    </w:p>
    <w:p w14:paraId="2E7AB811" w14:textId="77777777" w:rsidR="00702564" w:rsidRPr="000E2619" w:rsidRDefault="00702564" w:rsidP="00702564">
      <w:pPr>
        <w:pStyle w:val="Liststycke"/>
        <w:numPr>
          <w:ilvl w:val="0"/>
          <w:numId w:val="66"/>
        </w:numPr>
        <w:spacing w:line="240" w:lineRule="auto"/>
        <w:ind w:left="714" w:hanging="357"/>
        <w:rPr>
          <w:rFonts w:asciiTheme="minorHAnsi" w:eastAsia="Times New Roman" w:hAnsiTheme="minorHAnsi" w:cs="Arial"/>
          <w:color w:val="404040"/>
          <w:sz w:val="24"/>
          <w:szCs w:val="24"/>
          <w:lang w:eastAsia="sv-SE"/>
        </w:rPr>
      </w:pPr>
      <w:r w:rsidRPr="000E2619">
        <w:rPr>
          <w:rFonts w:asciiTheme="minorHAnsi" w:eastAsia="Times New Roman" w:hAnsiTheme="minorHAnsi" w:cs="Arial"/>
          <w:color w:val="404040"/>
          <w:sz w:val="24"/>
          <w:szCs w:val="24"/>
          <w:lang w:eastAsia="sv-SE"/>
        </w:rPr>
        <w:t>Rökstopp</w:t>
      </w:r>
    </w:p>
    <w:p w14:paraId="34F436F9" w14:textId="77777777" w:rsidR="00702564" w:rsidRPr="000E2619" w:rsidRDefault="00702564" w:rsidP="00702564">
      <w:pPr>
        <w:pStyle w:val="Liststycke"/>
        <w:numPr>
          <w:ilvl w:val="0"/>
          <w:numId w:val="66"/>
        </w:numPr>
        <w:spacing w:line="240" w:lineRule="auto"/>
        <w:ind w:left="714" w:hanging="357"/>
        <w:rPr>
          <w:rFonts w:asciiTheme="minorHAnsi" w:eastAsia="Times New Roman" w:hAnsiTheme="minorHAnsi" w:cs="Arial"/>
          <w:color w:val="404040"/>
          <w:sz w:val="24"/>
          <w:szCs w:val="24"/>
          <w:lang w:eastAsia="sv-SE"/>
        </w:rPr>
      </w:pPr>
      <w:r w:rsidRPr="000E2619">
        <w:rPr>
          <w:rFonts w:asciiTheme="minorHAnsi" w:eastAsia="Times New Roman" w:hAnsiTheme="minorHAnsi" w:cs="Arial"/>
          <w:color w:val="404040"/>
          <w:sz w:val="24"/>
          <w:szCs w:val="24"/>
          <w:lang w:eastAsia="sv-SE"/>
        </w:rPr>
        <w:t>Undvika alkolholöverkonsumtion</w:t>
      </w:r>
    </w:p>
    <w:p w14:paraId="17EDBD49" w14:textId="77777777" w:rsidR="00702564" w:rsidRPr="000E2619" w:rsidRDefault="00702564" w:rsidP="00702564">
      <w:pPr>
        <w:pStyle w:val="Liststycke"/>
        <w:numPr>
          <w:ilvl w:val="0"/>
          <w:numId w:val="66"/>
        </w:numPr>
        <w:spacing w:line="240" w:lineRule="auto"/>
        <w:ind w:left="714" w:hanging="357"/>
        <w:rPr>
          <w:rFonts w:asciiTheme="minorHAnsi" w:eastAsia="Times New Roman" w:hAnsiTheme="minorHAnsi" w:cs="Arial"/>
          <w:color w:val="404040"/>
          <w:sz w:val="24"/>
          <w:szCs w:val="24"/>
          <w:lang w:eastAsia="sv-SE"/>
        </w:rPr>
      </w:pPr>
      <w:r w:rsidRPr="000E2619">
        <w:rPr>
          <w:rFonts w:asciiTheme="minorHAnsi" w:eastAsia="Times New Roman" w:hAnsiTheme="minorHAnsi" w:cs="Arial"/>
          <w:color w:val="404040"/>
          <w:sz w:val="24"/>
          <w:szCs w:val="24"/>
          <w:lang w:eastAsia="sv-SE"/>
        </w:rPr>
        <w:t>God kost</w:t>
      </w:r>
    </w:p>
    <w:p w14:paraId="1683504C" w14:textId="77777777" w:rsidR="00702564" w:rsidRPr="000E2619" w:rsidRDefault="00702564" w:rsidP="00702564">
      <w:pPr>
        <w:pStyle w:val="Liststycke"/>
        <w:numPr>
          <w:ilvl w:val="0"/>
          <w:numId w:val="66"/>
        </w:numPr>
        <w:spacing w:line="240" w:lineRule="auto"/>
        <w:ind w:left="714" w:hanging="357"/>
        <w:rPr>
          <w:rFonts w:asciiTheme="minorHAnsi" w:eastAsia="Times New Roman" w:hAnsiTheme="minorHAnsi" w:cs="Arial"/>
          <w:color w:val="404040"/>
          <w:sz w:val="24"/>
          <w:szCs w:val="24"/>
          <w:lang w:eastAsia="sv-SE"/>
        </w:rPr>
      </w:pPr>
      <w:r w:rsidRPr="000E2619">
        <w:rPr>
          <w:rFonts w:asciiTheme="minorHAnsi" w:eastAsia="Times New Roman" w:hAnsiTheme="minorHAnsi" w:cs="Arial"/>
          <w:color w:val="404040"/>
          <w:sz w:val="24"/>
          <w:szCs w:val="24"/>
          <w:lang w:eastAsia="sv-SE"/>
        </w:rPr>
        <w:t>Ökad motion</w:t>
      </w:r>
    </w:p>
    <w:p w14:paraId="46AC1E9E" w14:textId="77777777" w:rsidR="00702564" w:rsidRPr="000E2619" w:rsidRDefault="00702564" w:rsidP="00702564">
      <w:pPr>
        <w:pStyle w:val="Liststycke"/>
        <w:numPr>
          <w:ilvl w:val="0"/>
          <w:numId w:val="66"/>
        </w:numPr>
        <w:spacing w:line="240" w:lineRule="auto"/>
        <w:ind w:left="714" w:hanging="357"/>
        <w:rPr>
          <w:rFonts w:asciiTheme="minorHAnsi" w:eastAsia="Times New Roman" w:hAnsiTheme="minorHAnsi" w:cs="Arial"/>
          <w:color w:val="404040"/>
          <w:sz w:val="24"/>
          <w:szCs w:val="24"/>
          <w:lang w:eastAsia="sv-SE"/>
        </w:rPr>
      </w:pPr>
      <w:r w:rsidRPr="000E2619">
        <w:rPr>
          <w:rFonts w:asciiTheme="minorHAnsi" w:eastAsia="Times New Roman" w:hAnsiTheme="minorHAnsi" w:cs="Arial"/>
          <w:color w:val="404040"/>
          <w:sz w:val="24"/>
          <w:szCs w:val="24"/>
          <w:lang w:eastAsia="sv-SE"/>
        </w:rPr>
        <w:t>Åtgärda / behandla psykosociala stressorer och depression</w:t>
      </w:r>
    </w:p>
    <w:p w14:paraId="541F7747" w14:textId="77777777" w:rsidR="00702564" w:rsidRPr="007A1826" w:rsidRDefault="00702564" w:rsidP="00702564">
      <w:pPr>
        <w:spacing w:after="240" w:line="240" w:lineRule="auto"/>
        <w:rPr>
          <w:rFonts w:asciiTheme="minorHAnsi" w:eastAsia="Times New Roman" w:hAnsiTheme="minorHAnsi" w:cs="Arial"/>
          <w:color w:val="404040"/>
          <w:sz w:val="24"/>
          <w:szCs w:val="24"/>
          <w:lang w:val="en-US" w:eastAsia="sv-SE"/>
        </w:rPr>
      </w:pPr>
      <w:r w:rsidRPr="000E2619">
        <w:rPr>
          <w:rFonts w:asciiTheme="minorHAnsi" w:eastAsia="Times New Roman" w:hAnsiTheme="minorHAnsi" w:cs="Arial"/>
          <w:color w:val="404040"/>
          <w:sz w:val="24"/>
          <w:szCs w:val="24"/>
          <w:lang w:eastAsia="sv-SE"/>
        </w:rPr>
        <w:tab/>
      </w:r>
      <w:r w:rsidRPr="00CF2B7D">
        <w:rPr>
          <w:rFonts w:asciiTheme="minorHAnsi" w:eastAsia="Times New Roman" w:hAnsiTheme="minorHAnsi" w:cs="Arial"/>
          <w:b/>
          <w:bCs/>
          <w:color w:val="404040"/>
          <w:sz w:val="24"/>
          <w:szCs w:val="24"/>
          <w:lang w:val="en-US" w:eastAsia="sv-SE"/>
        </w:rPr>
        <w:br/>
      </w:r>
      <w:r w:rsidRPr="007A1826">
        <w:rPr>
          <w:rFonts w:asciiTheme="minorHAnsi" w:eastAsia="Times New Roman" w:hAnsiTheme="minorHAnsi" w:cs="Arial"/>
          <w:color w:val="404040"/>
          <w:sz w:val="24"/>
          <w:szCs w:val="24"/>
          <w:lang w:val="en-US" w:eastAsia="sv-SE"/>
        </w:rPr>
        <w:t>Se FYSS - Stroke.</w:t>
      </w:r>
    </w:p>
    <w:p w14:paraId="562FBD80" w14:textId="77777777" w:rsidR="00702564" w:rsidRPr="001E5EFF" w:rsidRDefault="00702564" w:rsidP="00702564">
      <w:pPr>
        <w:pStyle w:val="Rubrik2"/>
        <w:rPr>
          <w:rFonts w:asciiTheme="minorHAnsi" w:hAnsiTheme="minorHAnsi"/>
          <w:b w:val="0"/>
          <w:bCs w:val="0"/>
          <w:sz w:val="24"/>
          <w:szCs w:val="24"/>
        </w:rPr>
      </w:pPr>
      <w:r w:rsidRPr="003C5955">
        <w:rPr>
          <w:lang w:val="en-US"/>
        </w:rPr>
        <w:t xml:space="preserve">Referenser   </w:t>
      </w:r>
      <w:r w:rsidRPr="003C5955">
        <w:rPr>
          <w:lang w:val="en-US"/>
        </w:rPr>
        <w:br/>
      </w:r>
      <w:r w:rsidRPr="001E5EFF">
        <w:rPr>
          <w:rFonts w:asciiTheme="minorHAnsi" w:hAnsiTheme="minorHAnsi" w:cs="Arial"/>
          <w:b w:val="0"/>
          <w:bCs w:val="0"/>
          <w:sz w:val="24"/>
          <w:szCs w:val="24"/>
          <w:lang w:val="en-US"/>
        </w:rPr>
        <w:t xml:space="preserve">Romoli M, Perucca E, Sen A. Pyridoxine supplementation for levetiracetam-related neuropsychiatric adverse events: A systematic review.  </w:t>
      </w:r>
      <w:r w:rsidRPr="001E5EFF">
        <w:rPr>
          <w:rFonts w:asciiTheme="minorHAnsi" w:hAnsiTheme="minorHAnsi" w:cs="Arial"/>
          <w:b w:val="0"/>
          <w:bCs w:val="0"/>
          <w:sz w:val="24"/>
          <w:szCs w:val="24"/>
        </w:rPr>
        <w:t>Epilepsy Behav. 103;2020.</w:t>
      </w:r>
    </w:p>
    <w:p w14:paraId="0085C81F" w14:textId="77777777" w:rsidR="00702564" w:rsidRDefault="00702564" w:rsidP="00702564">
      <w:pPr>
        <w:rPr>
          <w:sz w:val="24"/>
          <w:szCs w:val="24"/>
        </w:rPr>
      </w:pPr>
      <w:hyperlink r:id="rId130" w:history="1">
        <w:r w:rsidRPr="008C5236">
          <w:rPr>
            <w:rStyle w:val="Hyperlnk"/>
            <w:color w:val="0070C0"/>
            <w:sz w:val="24"/>
            <w:szCs w:val="24"/>
          </w:rPr>
          <w:t>Personcentrerat och sammanhållet vårdförlopp Stroke och TIA - tidiga insatser och vård</w:t>
        </w:r>
      </w:hyperlink>
      <w:r w:rsidRPr="00882D1B">
        <w:rPr>
          <w:sz w:val="24"/>
          <w:szCs w:val="24"/>
        </w:rPr>
        <w:t xml:space="preserve"> 2022-09-15</w:t>
      </w:r>
    </w:p>
    <w:p w14:paraId="275B00F7" w14:textId="77777777" w:rsidR="00702564" w:rsidRPr="00882D1B" w:rsidRDefault="00702564" w:rsidP="00702564">
      <w:pPr>
        <w:rPr>
          <w:sz w:val="24"/>
          <w:szCs w:val="24"/>
        </w:rPr>
      </w:pPr>
    </w:p>
    <w:p w14:paraId="6940C3F1" w14:textId="77777777" w:rsidR="00702564" w:rsidRPr="00882D1B" w:rsidRDefault="00702564" w:rsidP="00702564">
      <w:pPr>
        <w:pStyle w:val="Kommentarer"/>
        <w:rPr>
          <w:sz w:val="24"/>
          <w:szCs w:val="24"/>
        </w:rPr>
      </w:pPr>
      <w:r w:rsidRPr="00882D1B">
        <w:rPr>
          <w:sz w:val="24"/>
          <w:szCs w:val="24"/>
        </w:rPr>
        <w:t xml:space="preserve">Riktlinje för migrän, Nationellt system för kunskapsstyrning, Hälso- och sjukvård. </w:t>
      </w:r>
      <w:r>
        <w:rPr>
          <w:sz w:val="24"/>
          <w:szCs w:val="24"/>
        </w:rPr>
        <w:br/>
      </w:r>
      <w:r w:rsidRPr="00882D1B">
        <w:rPr>
          <w:sz w:val="24"/>
          <w:szCs w:val="24"/>
        </w:rPr>
        <w:t xml:space="preserve">Beslutsdatum 2022-10-25. </w:t>
      </w:r>
      <w:r>
        <w:rPr>
          <w:sz w:val="24"/>
          <w:szCs w:val="24"/>
        </w:rPr>
        <w:br/>
      </w:r>
    </w:p>
    <w:p w14:paraId="74A9F370" w14:textId="77777777" w:rsidR="00702564" w:rsidRDefault="00702564" w:rsidP="00702564">
      <w:pPr>
        <w:pStyle w:val="Kommentarer"/>
        <w:rPr>
          <w:rFonts w:asciiTheme="minorHAnsi" w:hAnsiTheme="minorHAnsi"/>
          <w:sz w:val="24"/>
          <w:szCs w:val="24"/>
        </w:rPr>
      </w:pPr>
      <w:r w:rsidRPr="00882D1B">
        <w:rPr>
          <w:rFonts w:asciiTheme="minorHAnsi" w:hAnsiTheme="minorHAnsi"/>
          <w:sz w:val="24"/>
          <w:szCs w:val="24"/>
        </w:rPr>
        <w:t>Läkemedelsbehandling av epilepsi - behandlingsrekommendation. Information från Läkemedelsverket 2019;30(3):1-17.</w:t>
      </w:r>
      <w:r>
        <w:rPr>
          <w:rFonts w:asciiTheme="minorHAnsi" w:hAnsiTheme="minorHAnsi"/>
          <w:sz w:val="24"/>
          <w:szCs w:val="24"/>
        </w:rPr>
        <w:t xml:space="preserve"> </w:t>
      </w:r>
    </w:p>
    <w:p w14:paraId="36ED1403" w14:textId="77777777" w:rsidR="00702564" w:rsidRDefault="00702564" w:rsidP="00702564">
      <w:pPr>
        <w:pStyle w:val="Kommentarer"/>
        <w:rPr>
          <w:rFonts w:cs="Arial"/>
          <w:sz w:val="24"/>
          <w:szCs w:val="24"/>
        </w:rPr>
      </w:pPr>
      <w:hyperlink r:id="rId131" w:history="1">
        <w:r w:rsidRPr="008C5236">
          <w:rPr>
            <w:rStyle w:val="Hyperlnk"/>
            <w:rFonts w:cs="Arial"/>
            <w:color w:val="0070C0"/>
            <w:sz w:val="24"/>
            <w:szCs w:val="24"/>
          </w:rPr>
          <w:t>Läkemedelsbehandling av restless legs syndrom – RLS</w:t>
        </w:r>
      </w:hyperlink>
      <w:r w:rsidRPr="008C5236">
        <w:rPr>
          <w:rFonts w:cs="Arial"/>
          <w:color w:val="0070C0"/>
          <w:sz w:val="24"/>
          <w:szCs w:val="24"/>
        </w:rPr>
        <w:t xml:space="preserve">. </w:t>
      </w:r>
      <w:r>
        <w:rPr>
          <w:rFonts w:cs="Arial"/>
          <w:sz w:val="24"/>
          <w:szCs w:val="24"/>
        </w:rPr>
        <w:t>Läkemedelsverket 2009:20(3):9-27.</w:t>
      </w:r>
    </w:p>
    <w:p w14:paraId="4025888A" w14:textId="77777777" w:rsidR="00702564" w:rsidRPr="008C5236" w:rsidRDefault="00702564" w:rsidP="00702564">
      <w:pPr>
        <w:pStyle w:val="Kommentarer"/>
        <w:rPr>
          <w:rFonts w:cs="Arial"/>
          <w:color w:val="0070C0"/>
          <w:sz w:val="24"/>
          <w:szCs w:val="24"/>
        </w:rPr>
      </w:pPr>
    </w:p>
    <w:p w14:paraId="7AF3DA9D" w14:textId="77777777" w:rsidR="00702564" w:rsidRPr="003368AA" w:rsidRDefault="00702564" w:rsidP="00702564">
      <w:pPr>
        <w:rPr>
          <w:rStyle w:val="Hyperlnk"/>
        </w:rPr>
      </w:pPr>
      <w:hyperlink r:id="rId132" w:history="1">
        <w:r w:rsidRPr="008C5236">
          <w:rPr>
            <w:rStyle w:val="Hyperlnk"/>
            <w:color w:val="0070C0"/>
          </w:rPr>
          <w:t>EMA rekommenderar ytterligare åtgärder för att undvika behandling med topiramat under graviditet</w:t>
        </w:r>
        <w:r w:rsidRPr="008C5236">
          <w:rPr>
            <w:rStyle w:val="Hyperlnk"/>
            <w:color w:val="0070C0"/>
          </w:rPr>
          <w:br/>
          <w:t>Läkemedelsverket (lakemedelsverket.se)</w:t>
        </w:r>
      </w:hyperlink>
      <w:r w:rsidRPr="003368AA">
        <w:t xml:space="preserve">  </w:t>
      </w:r>
      <w:hyperlink r:id="rId133" w:history="1">
        <w:r w:rsidRPr="008C5236">
          <w:rPr>
            <w:rStyle w:val="Hyperlnk"/>
            <w:color w:val="0070C0"/>
          </w:rPr>
          <w:t>Behandling av restless legs hos vuxna - Janusinfo.se</w:t>
        </w:r>
      </w:hyperlink>
    </w:p>
    <w:p w14:paraId="7816B9FC" w14:textId="77777777" w:rsidR="00702564" w:rsidRPr="00FB33D1" w:rsidRDefault="00702564" w:rsidP="00702564">
      <w:pPr>
        <w:pStyle w:val="Rubrik1"/>
        <w:rPr>
          <w:color w:val="FF0000"/>
        </w:rPr>
      </w:pPr>
      <w:r>
        <w:br w:type="page"/>
      </w:r>
      <w:r>
        <w:lastRenderedPageBreak/>
        <w:t>Osteoporos</w:t>
      </w:r>
    </w:p>
    <w:p w14:paraId="1AE9E99E" w14:textId="77777777" w:rsidR="00702564" w:rsidRPr="00B10B55" w:rsidRDefault="00702564" w:rsidP="00702564">
      <w:pPr>
        <w:rPr>
          <w:rFonts w:cstheme="minorHAnsi"/>
          <w:b/>
          <w:bCs/>
          <w:iCs/>
          <w:sz w:val="24"/>
          <w:szCs w:val="24"/>
        </w:rPr>
      </w:pPr>
      <w:r w:rsidRPr="00B10B55">
        <w:rPr>
          <w:rFonts w:cstheme="minorHAnsi"/>
          <w:b/>
          <w:bCs/>
          <w:iCs/>
          <w:sz w:val="24"/>
          <w:szCs w:val="24"/>
        </w:rPr>
        <w:t xml:space="preserve">Senast uppdaterad </w:t>
      </w:r>
      <w:r>
        <w:rPr>
          <w:rFonts w:cstheme="minorHAnsi"/>
          <w:b/>
          <w:bCs/>
          <w:iCs/>
          <w:sz w:val="24"/>
          <w:szCs w:val="24"/>
        </w:rPr>
        <w:t>2026-03-24</w:t>
      </w:r>
    </w:p>
    <w:p w14:paraId="1AB409A0" w14:textId="77777777" w:rsidR="00702564" w:rsidRPr="00A403F5" w:rsidRDefault="00702564" w:rsidP="00702564">
      <w:pPr>
        <w:rPr>
          <w:rFonts w:cstheme="minorHAnsi"/>
          <w:i/>
          <w:szCs w:val="24"/>
        </w:rPr>
      </w:pPr>
    </w:p>
    <w:p w14:paraId="07E1ED96" w14:textId="77777777" w:rsidR="00702564" w:rsidRPr="00602CBA" w:rsidRDefault="00702564" w:rsidP="00702564">
      <w:pPr>
        <w:rPr>
          <w:rFonts w:asciiTheme="majorHAnsi" w:hAnsiTheme="majorHAnsi" w:cstheme="minorHAnsi"/>
          <w:b/>
          <w:bCs/>
          <w:sz w:val="28"/>
          <w:szCs w:val="28"/>
        </w:rPr>
      </w:pPr>
      <w:r w:rsidRPr="00506878">
        <w:rPr>
          <w:rFonts w:asciiTheme="majorHAnsi" w:hAnsiTheme="majorHAnsi" w:cstheme="minorHAnsi"/>
          <w:b/>
          <w:bCs/>
          <w:sz w:val="28"/>
          <w:szCs w:val="28"/>
        </w:rPr>
        <w:t>Terapigruppsmedlemmar</w:t>
      </w:r>
    </w:p>
    <w:p w14:paraId="01643849" w14:textId="77777777" w:rsidR="00702564" w:rsidRPr="00B10B55" w:rsidRDefault="00702564" w:rsidP="00702564">
      <w:pPr>
        <w:rPr>
          <w:rFonts w:cstheme="minorHAnsi"/>
          <w:sz w:val="24"/>
          <w:szCs w:val="24"/>
        </w:rPr>
      </w:pPr>
      <w:r w:rsidRPr="00B10B55">
        <w:rPr>
          <w:rFonts w:cstheme="minorHAnsi"/>
          <w:sz w:val="24"/>
          <w:szCs w:val="24"/>
        </w:rPr>
        <w:t>Bela Cseke, överläkare</w:t>
      </w:r>
      <w:r>
        <w:rPr>
          <w:rFonts w:cstheme="minorHAnsi"/>
          <w:sz w:val="24"/>
          <w:szCs w:val="24"/>
        </w:rPr>
        <w:t>,</w:t>
      </w:r>
      <w:r w:rsidRPr="00B10B55">
        <w:rPr>
          <w:rFonts w:cstheme="minorHAnsi"/>
          <w:sz w:val="24"/>
          <w:szCs w:val="24"/>
        </w:rPr>
        <w:t xml:space="preserve"> Medicinkliniken</w:t>
      </w:r>
    </w:p>
    <w:p w14:paraId="7CD0031C" w14:textId="77777777" w:rsidR="00702564" w:rsidRDefault="00702564" w:rsidP="00702564">
      <w:pPr>
        <w:rPr>
          <w:rFonts w:cstheme="minorHAnsi"/>
          <w:sz w:val="24"/>
          <w:szCs w:val="24"/>
        </w:rPr>
      </w:pPr>
      <w:r w:rsidRPr="00B10B55">
        <w:rPr>
          <w:rFonts w:cstheme="minorHAnsi"/>
          <w:sz w:val="24"/>
          <w:szCs w:val="24"/>
        </w:rPr>
        <w:t>Barbara Jasna, överläkare</w:t>
      </w:r>
      <w:r>
        <w:rPr>
          <w:rFonts w:cstheme="minorHAnsi"/>
          <w:sz w:val="24"/>
          <w:szCs w:val="24"/>
        </w:rPr>
        <w:t>,</w:t>
      </w:r>
      <w:r w:rsidRPr="00B10B55">
        <w:rPr>
          <w:rFonts w:cstheme="minorHAnsi"/>
          <w:sz w:val="24"/>
          <w:szCs w:val="24"/>
        </w:rPr>
        <w:t xml:space="preserve"> Medicinkliniken</w:t>
      </w:r>
    </w:p>
    <w:p w14:paraId="53144B06" w14:textId="77777777" w:rsidR="00702564" w:rsidRPr="00B10B55" w:rsidRDefault="00702564" w:rsidP="00702564">
      <w:pPr>
        <w:rPr>
          <w:rFonts w:cstheme="minorHAnsi"/>
          <w:sz w:val="24"/>
          <w:szCs w:val="24"/>
        </w:rPr>
      </w:pPr>
      <w:r>
        <w:rPr>
          <w:rFonts w:cstheme="minorHAnsi"/>
          <w:sz w:val="24"/>
          <w:szCs w:val="24"/>
        </w:rPr>
        <w:t>Kitta Barta Csekene, överläkare, Medicinkliniken</w:t>
      </w:r>
    </w:p>
    <w:p w14:paraId="4C8F0251" w14:textId="77777777" w:rsidR="00702564" w:rsidRPr="00B10B55" w:rsidRDefault="00702564" w:rsidP="00702564">
      <w:pPr>
        <w:rPr>
          <w:rFonts w:cstheme="minorHAnsi"/>
          <w:sz w:val="24"/>
          <w:szCs w:val="24"/>
        </w:rPr>
      </w:pPr>
      <w:r>
        <w:rPr>
          <w:rFonts w:cstheme="minorHAnsi"/>
          <w:sz w:val="24"/>
          <w:szCs w:val="24"/>
        </w:rPr>
        <w:t>Martina Björkhem</w:t>
      </w:r>
      <w:r w:rsidRPr="00B10B55">
        <w:rPr>
          <w:rFonts w:cstheme="minorHAnsi"/>
          <w:sz w:val="24"/>
          <w:szCs w:val="24"/>
        </w:rPr>
        <w:t>, diabetes</w:t>
      </w:r>
      <w:r>
        <w:rPr>
          <w:rFonts w:cstheme="minorHAnsi"/>
          <w:sz w:val="24"/>
          <w:szCs w:val="24"/>
        </w:rPr>
        <w:t>sjuk</w:t>
      </w:r>
      <w:r w:rsidRPr="00B10B55">
        <w:rPr>
          <w:rFonts w:cstheme="minorHAnsi"/>
          <w:sz w:val="24"/>
          <w:szCs w:val="24"/>
        </w:rPr>
        <w:t>sköterska</w:t>
      </w:r>
      <w:r>
        <w:rPr>
          <w:rFonts w:cstheme="minorHAnsi"/>
          <w:sz w:val="24"/>
          <w:szCs w:val="24"/>
        </w:rPr>
        <w:t>, Valjehälsan</w:t>
      </w:r>
      <w:r>
        <w:rPr>
          <w:rFonts w:cstheme="minorHAnsi"/>
          <w:sz w:val="24"/>
          <w:szCs w:val="24"/>
        </w:rPr>
        <w:br/>
        <w:t>Titti Mattsson, specialistläkare, Valjehälsan</w:t>
      </w:r>
    </w:p>
    <w:p w14:paraId="2558AECD" w14:textId="77777777" w:rsidR="00702564" w:rsidRPr="00B10B55" w:rsidRDefault="00702564" w:rsidP="00702564">
      <w:pPr>
        <w:rPr>
          <w:rFonts w:cstheme="minorHAnsi"/>
          <w:sz w:val="24"/>
          <w:szCs w:val="24"/>
        </w:rPr>
      </w:pPr>
      <w:r>
        <w:rPr>
          <w:rFonts w:cstheme="minorHAnsi"/>
          <w:sz w:val="24"/>
          <w:szCs w:val="24"/>
        </w:rPr>
        <w:t>Julia Andersson</w:t>
      </w:r>
      <w:r w:rsidRPr="00B10B55">
        <w:rPr>
          <w:rFonts w:cstheme="minorHAnsi"/>
          <w:sz w:val="24"/>
          <w:szCs w:val="24"/>
        </w:rPr>
        <w:t>, diabetes</w:t>
      </w:r>
      <w:r>
        <w:rPr>
          <w:rFonts w:cstheme="minorHAnsi"/>
          <w:sz w:val="24"/>
          <w:szCs w:val="24"/>
        </w:rPr>
        <w:t>sjuk</w:t>
      </w:r>
      <w:r w:rsidRPr="00B10B55">
        <w:rPr>
          <w:rFonts w:cstheme="minorHAnsi"/>
          <w:sz w:val="24"/>
          <w:szCs w:val="24"/>
        </w:rPr>
        <w:t>sköterska</w:t>
      </w:r>
      <w:r>
        <w:rPr>
          <w:rFonts w:cstheme="minorHAnsi"/>
          <w:sz w:val="24"/>
          <w:szCs w:val="24"/>
        </w:rPr>
        <w:t>, Medicinkliniken</w:t>
      </w:r>
    </w:p>
    <w:p w14:paraId="5636ABFD" w14:textId="77777777" w:rsidR="00702564" w:rsidRPr="00B10B55" w:rsidRDefault="00702564" w:rsidP="00702564">
      <w:pPr>
        <w:rPr>
          <w:sz w:val="24"/>
          <w:szCs w:val="24"/>
        </w:rPr>
      </w:pPr>
      <w:r>
        <w:rPr>
          <w:rFonts w:cstheme="minorHAnsi"/>
          <w:sz w:val="24"/>
          <w:szCs w:val="24"/>
        </w:rPr>
        <w:t>Hanna Justad, apotekare, Läkemedelsenheten</w:t>
      </w:r>
    </w:p>
    <w:p w14:paraId="0A70E7A0" w14:textId="77777777" w:rsidR="00702564" w:rsidRPr="00B10B55" w:rsidRDefault="00702564" w:rsidP="00702564">
      <w:pPr>
        <w:rPr>
          <w:sz w:val="24"/>
          <w:szCs w:val="24"/>
        </w:rPr>
      </w:pPr>
    </w:p>
    <w:p w14:paraId="28728904" w14:textId="77777777" w:rsidR="00702564" w:rsidRDefault="00702564" w:rsidP="00702564">
      <w:pPr>
        <w:rPr>
          <w:sz w:val="24"/>
          <w:szCs w:val="24"/>
        </w:rPr>
      </w:pPr>
      <w:r w:rsidRPr="28CBA9FB">
        <w:rPr>
          <w:sz w:val="24"/>
          <w:szCs w:val="24"/>
        </w:rPr>
        <w:t>Rutin för hantering av intravenösa och subkutana preparat i Hälsovalet</w:t>
      </w:r>
      <w:r>
        <w:rPr>
          <w:sz w:val="24"/>
          <w:szCs w:val="24"/>
        </w:rPr>
        <w:t xml:space="preserve"> finns, </w:t>
      </w:r>
      <w:r>
        <w:rPr>
          <w:sz w:val="24"/>
          <w:szCs w:val="24"/>
        </w:rPr>
        <w:br/>
      </w:r>
      <w:r w:rsidRPr="28CBA9FB">
        <w:rPr>
          <w:sz w:val="24"/>
          <w:szCs w:val="24"/>
        </w:rPr>
        <w:t>Zoledronsyra och densomuab ska rekvireras.</w:t>
      </w:r>
      <w:r>
        <w:rPr>
          <w:sz w:val="24"/>
          <w:szCs w:val="24"/>
        </w:rPr>
        <w:t xml:space="preserve"> </w:t>
      </w:r>
      <w:r>
        <w:rPr>
          <w:sz w:val="24"/>
          <w:szCs w:val="24"/>
        </w:rPr>
        <w:br/>
        <w:t xml:space="preserve">Se länk </w:t>
      </w:r>
      <w:hyperlink r:id="rId134" w:history="1">
        <w:r w:rsidRPr="00454713">
          <w:rPr>
            <w:rStyle w:val="Hyperlnk"/>
            <w:color w:val="0070C0"/>
            <w:sz w:val="24"/>
            <w:szCs w:val="24"/>
          </w:rPr>
          <w:t>Rekvisition av läkemedel inom Hälsoval Blekinge</w:t>
        </w:r>
      </w:hyperlink>
    </w:p>
    <w:p w14:paraId="4CFF3884" w14:textId="151A0C4B" w:rsidR="00702564" w:rsidRDefault="00702564" w:rsidP="00702564">
      <w:pPr>
        <w:rPr>
          <w:sz w:val="24"/>
          <w:szCs w:val="24"/>
        </w:rPr>
      </w:pPr>
    </w:p>
    <w:tbl>
      <w:tblPr>
        <w:tblStyle w:val="RegionBlekinge-medlinjer"/>
        <w:tblW w:w="9498" w:type="dxa"/>
        <w:tblInd w:w="-62" w:type="dxa"/>
        <w:tblLook w:val="04A0" w:firstRow="1" w:lastRow="0" w:firstColumn="1" w:lastColumn="0" w:noHBand="0" w:noVBand="1"/>
      </w:tblPr>
      <w:tblGrid>
        <w:gridCol w:w="4610"/>
        <w:gridCol w:w="4888"/>
      </w:tblGrid>
      <w:tr w:rsidR="00702564" w:rsidRPr="00EB1997" w14:paraId="2ED9DDAD" w14:textId="77777777" w:rsidTr="00632FCC">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610" w:type="dxa"/>
          </w:tcPr>
          <w:p w14:paraId="76280687" w14:textId="77777777" w:rsidR="00702564" w:rsidRPr="00EB1997" w:rsidRDefault="00702564" w:rsidP="00632FCC">
            <w:pPr>
              <w:rPr>
                <w:bCs/>
                <w:sz w:val="24"/>
                <w:szCs w:val="24"/>
              </w:rPr>
            </w:pPr>
            <w:r w:rsidRPr="00EB1997">
              <w:rPr>
                <w:sz w:val="24"/>
                <w:szCs w:val="24"/>
              </w:rPr>
              <w:t>zoledronsyra</w:t>
            </w:r>
          </w:p>
        </w:tc>
        <w:tc>
          <w:tcPr>
            <w:tcW w:w="4888" w:type="dxa"/>
          </w:tcPr>
          <w:p w14:paraId="788F5C6E" w14:textId="77777777" w:rsidR="00702564" w:rsidRPr="00171A21" w:rsidRDefault="00702564" w:rsidP="00632FCC">
            <w:pPr>
              <w:spacing w:before="9"/>
              <w:ind w:right="6"/>
              <w:cnfStyle w:val="100000000000" w:firstRow="1" w:lastRow="0" w:firstColumn="0" w:lastColumn="0" w:oddVBand="0" w:evenVBand="0" w:oddHBand="0" w:evenHBand="0" w:firstRowFirstColumn="0" w:firstRowLastColumn="0" w:lastRowFirstColumn="0" w:lastRowLastColumn="0"/>
              <w:rPr>
                <w:b w:val="0"/>
                <w:bCs/>
                <w:sz w:val="24"/>
                <w:szCs w:val="24"/>
              </w:rPr>
            </w:pPr>
            <w:r>
              <w:rPr>
                <w:b w:val="0"/>
                <w:bCs/>
                <w:sz w:val="24"/>
                <w:szCs w:val="24"/>
              </w:rPr>
              <w:t>Zoledronsyra acid Oresund Pharma/</w:t>
            </w:r>
            <w:r w:rsidRPr="00171A21">
              <w:rPr>
                <w:b w:val="0"/>
                <w:bCs/>
                <w:sz w:val="24"/>
                <w:szCs w:val="24"/>
              </w:rPr>
              <w:t>Aclasta</w:t>
            </w:r>
            <w:r w:rsidRPr="00FE3814">
              <w:rPr>
                <w:b w:val="0"/>
                <w:bCs/>
                <w:sz w:val="24"/>
                <w:szCs w:val="24"/>
              </w:rPr>
              <w:t xml:space="preserve"> </w:t>
            </w:r>
            <w:r w:rsidRPr="00FE3814">
              <w:rPr>
                <w:b w:val="0"/>
                <w:bCs/>
              </w:rPr>
              <w:t>**</w:t>
            </w:r>
            <w:r w:rsidRPr="00171A21">
              <w:rPr>
                <w:b w:val="0"/>
                <w:bCs/>
                <w:sz w:val="24"/>
                <w:szCs w:val="24"/>
              </w:rPr>
              <w:br/>
            </w:r>
            <w:r w:rsidRPr="00FE3814">
              <w:rPr>
                <w:sz w:val="24"/>
                <w:szCs w:val="24"/>
              </w:rPr>
              <w:t>5 mg</w:t>
            </w:r>
            <w:r>
              <w:rPr>
                <w:sz w:val="24"/>
                <w:szCs w:val="24"/>
              </w:rPr>
              <w:t>/100 ml</w:t>
            </w:r>
            <w:r w:rsidRPr="00171A21">
              <w:rPr>
                <w:b w:val="0"/>
                <w:bCs/>
                <w:sz w:val="24"/>
                <w:szCs w:val="24"/>
              </w:rPr>
              <w:t xml:space="preserve"> iv infusion 1 gång/år</w:t>
            </w:r>
          </w:p>
        </w:tc>
      </w:tr>
      <w:tr w:rsidR="00702564" w:rsidRPr="00EB1997" w14:paraId="0563D04A" w14:textId="77777777" w:rsidTr="00632FCC">
        <w:trPr>
          <w:trHeight w:val="548"/>
        </w:trPr>
        <w:tc>
          <w:tcPr>
            <w:cnfStyle w:val="001000000000" w:firstRow="0" w:lastRow="0" w:firstColumn="1" w:lastColumn="0" w:oddVBand="0" w:evenVBand="0" w:oddHBand="0" w:evenHBand="0" w:firstRowFirstColumn="0" w:firstRowLastColumn="0" w:lastRowFirstColumn="0" w:lastRowLastColumn="0"/>
            <w:tcW w:w="4610" w:type="dxa"/>
          </w:tcPr>
          <w:p w14:paraId="7719F71B" w14:textId="77777777" w:rsidR="00702564" w:rsidRPr="00EB1997" w:rsidRDefault="00702564" w:rsidP="00632FCC">
            <w:pPr>
              <w:rPr>
                <w:b w:val="0"/>
                <w:sz w:val="24"/>
                <w:szCs w:val="24"/>
              </w:rPr>
            </w:pPr>
            <w:r w:rsidRPr="00EB1997">
              <w:rPr>
                <w:sz w:val="24"/>
                <w:szCs w:val="24"/>
              </w:rPr>
              <w:t>alendronsyra</w:t>
            </w:r>
          </w:p>
          <w:p w14:paraId="3A29CF07" w14:textId="77777777" w:rsidR="00702564" w:rsidRPr="006306AB" w:rsidRDefault="00702564" w:rsidP="00632FCC">
            <w:pPr>
              <w:rPr>
                <w:b w:val="0"/>
                <w:sz w:val="24"/>
                <w:szCs w:val="24"/>
              </w:rPr>
            </w:pPr>
            <w:r w:rsidRPr="00EB1997">
              <w:rPr>
                <w:sz w:val="24"/>
                <w:szCs w:val="24"/>
              </w:rPr>
              <w:t>alendronsyra + kalk +vitamin D3</w:t>
            </w:r>
          </w:p>
        </w:tc>
        <w:tc>
          <w:tcPr>
            <w:tcW w:w="4888" w:type="dxa"/>
          </w:tcPr>
          <w:p w14:paraId="70F82212" w14:textId="77777777" w:rsidR="00702564" w:rsidRDefault="00702564" w:rsidP="00632FCC">
            <w:pPr>
              <w:cnfStyle w:val="000000000000" w:firstRow="0" w:lastRow="0" w:firstColumn="0" w:lastColumn="0" w:oddVBand="0" w:evenVBand="0" w:oddHBand="0" w:evenHBand="0" w:firstRowFirstColumn="0" w:firstRowLastColumn="0" w:lastRowFirstColumn="0" w:lastRowLastColumn="0"/>
              <w:rPr>
                <w:sz w:val="24"/>
                <w:szCs w:val="24"/>
              </w:rPr>
            </w:pPr>
            <w:r w:rsidRPr="001601CA">
              <w:rPr>
                <w:sz w:val="24"/>
                <w:szCs w:val="24"/>
              </w:rPr>
              <w:t>Aledronat veckotablett</w:t>
            </w:r>
          </w:p>
          <w:p w14:paraId="7A400745" w14:textId="77777777" w:rsidR="00702564" w:rsidRPr="00C37616" w:rsidRDefault="00702564" w:rsidP="00632FCC">
            <w:pPr>
              <w:spacing w:before="9"/>
              <w:ind w:right="6"/>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Tridepos</w:t>
            </w:r>
          </w:p>
        </w:tc>
      </w:tr>
      <w:tr w:rsidR="00702564" w:rsidRPr="00EB1997" w14:paraId="17C8C02A" w14:textId="77777777" w:rsidTr="00632FCC">
        <w:trPr>
          <w:trHeight w:val="564"/>
        </w:trPr>
        <w:tc>
          <w:tcPr>
            <w:cnfStyle w:val="001000000000" w:firstRow="0" w:lastRow="0" w:firstColumn="1" w:lastColumn="0" w:oddVBand="0" w:evenVBand="0" w:oddHBand="0" w:evenHBand="0" w:firstRowFirstColumn="0" w:firstRowLastColumn="0" w:lastRowFirstColumn="0" w:lastRowLastColumn="0"/>
            <w:tcW w:w="9498" w:type="dxa"/>
            <w:gridSpan w:val="2"/>
          </w:tcPr>
          <w:p w14:paraId="613A61DA" w14:textId="77777777" w:rsidR="00702564" w:rsidRPr="00EB1997" w:rsidRDefault="00702564" w:rsidP="00632FCC">
            <w:pPr>
              <w:rPr>
                <w:i/>
                <w:iCs/>
                <w:sz w:val="24"/>
                <w:szCs w:val="24"/>
              </w:rPr>
            </w:pPr>
            <w:r w:rsidRPr="003247AF">
              <w:rPr>
                <w:rFonts w:cs="Open Sans"/>
                <w:b w:val="0"/>
                <w:bCs/>
                <w:color w:val="404040"/>
                <w:sz w:val="24"/>
                <w:szCs w:val="24"/>
              </w:rPr>
              <w:t xml:space="preserve">Zoledronsyra har bättre följsamhet och bättre effekt på höft än alendronsyra. Kontroll av följsamhet </w:t>
            </w:r>
            <w:r>
              <w:rPr>
                <w:rFonts w:cs="Open Sans"/>
                <w:b w:val="0"/>
                <w:bCs/>
                <w:color w:val="404040"/>
                <w:sz w:val="24"/>
                <w:szCs w:val="24"/>
              </w:rPr>
              <w:br/>
            </w:r>
            <w:r w:rsidRPr="003247AF">
              <w:rPr>
                <w:rFonts w:cs="Open Sans"/>
                <w:b w:val="0"/>
                <w:bCs/>
                <w:color w:val="404040"/>
                <w:sz w:val="24"/>
                <w:szCs w:val="24"/>
              </w:rPr>
              <w:t xml:space="preserve">vid p.o bisfosfonatbehandling bör göras efter 3 månader. Zoledronsyra kan användas i 3 år och vid </w:t>
            </w:r>
            <w:r>
              <w:rPr>
                <w:rFonts w:cs="Open Sans"/>
                <w:b w:val="0"/>
                <w:bCs/>
                <w:color w:val="404040"/>
                <w:sz w:val="24"/>
                <w:szCs w:val="24"/>
              </w:rPr>
              <w:br/>
            </w:r>
            <w:r w:rsidRPr="003247AF">
              <w:rPr>
                <w:rFonts w:cs="Open Sans"/>
                <w:b w:val="0"/>
                <w:bCs/>
                <w:color w:val="404040"/>
                <w:sz w:val="24"/>
                <w:szCs w:val="24"/>
              </w:rPr>
              <w:t>hög frakturrisk i 6 år. Alendronsyra kan användas i 5 år och vid hög frakturrisk upp till 8 år.</w:t>
            </w:r>
          </w:p>
        </w:tc>
      </w:tr>
    </w:tbl>
    <w:p w14:paraId="0B80C82E" w14:textId="77777777" w:rsidR="00702564" w:rsidRDefault="00702564" w:rsidP="00702564">
      <w:pPr>
        <w:rPr>
          <w:sz w:val="24"/>
          <w:szCs w:val="24"/>
        </w:rPr>
      </w:pPr>
      <w:r w:rsidRPr="00D25FAB">
        <w:t>*</w:t>
      </w:r>
      <w:r>
        <w:t xml:space="preserve">* </w:t>
      </w:r>
      <w:r w:rsidRPr="00D25FAB">
        <w:t>Läkemedel som ska rekvireras</w:t>
      </w:r>
    </w:p>
    <w:tbl>
      <w:tblPr>
        <w:tblStyle w:val="Rutntstabell1ljusdekorfrg1"/>
        <w:tblW w:w="9356"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4755"/>
        <w:gridCol w:w="4601"/>
      </w:tblGrid>
      <w:tr w:rsidR="00702564" w14:paraId="654489B8" w14:textId="77777777" w:rsidTr="00632FCC">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4755" w:type="dxa"/>
            <w:tcBorders>
              <w:bottom w:val="none" w:sz="0" w:space="0" w:color="auto"/>
            </w:tcBorders>
          </w:tcPr>
          <w:p w14:paraId="668C33AC" w14:textId="77777777" w:rsidR="00702564" w:rsidRDefault="00702564" w:rsidP="00632FCC">
            <w:r w:rsidRPr="6D318EFA">
              <w:t>Benspecifik läkemedelsbehandling:</w:t>
            </w:r>
          </w:p>
          <w:p w14:paraId="2BA738B5" w14:textId="77777777" w:rsidR="00702564" w:rsidRDefault="00702564" w:rsidP="00632FCC">
            <w:pPr>
              <w:rPr>
                <w:b w:val="0"/>
                <w:bCs w:val="0"/>
              </w:rPr>
            </w:pPr>
            <w:r>
              <w:rPr>
                <w:b w:val="0"/>
                <w:bCs w:val="0"/>
              </w:rPr>
              <w:t xml:space="preserve">Zoledronsyra (t ex Aclasta infusion iv 1 gång/år) eller alendronsyra (Alendronat) veckotablett.             </w:t>
            </w:r>
          </w:p>
          <w:p w14:paraId="49374ED2" w14:textId="77777777" w:rsidR="00702564" w:rsidRDefault="00702564" w:rsidP="00632FCC">
            <w:r>
              <w:t xml:space="preserve">                         </w:t>
            </w:r>
          </w:p>
          <w:p w14:paraId="69D7AAAC" w14:textId="77777777" w:rsidR="00702564" w:rsidRDefault="00702564" w:rsidP="00632FCC">
            <w:r w:rsidRPr="6D318EFA">
              <w:t xml:space="preserve">         </w:t>
            </w:r>
          </w:p>
          <w:p w14:paraId="11BB8744" w14:textId="77777777" w:rsidR="00702564" w:rsidRDefault="00702564" w:rsidP="00632FCC">
            <w:pPr>
              <w:rPr>
                <w:b w:val="0"/>
                <w:bCs w:val="0"/>
              </w:rPr>
            </w:pPr>
            <w:r>
              <w:rPr>
                <w:b w:val="0"/>
                <w:bCs w:val="0"/>
              </w:rPr>
              <w:t xml:space="preserve">Välj zoledronsyra vid misstanke om sämre följsamhet, hos personer som har sväljningssvårighet, kognitiv störning, som är multisjuka, sköra och är över 80 års ålder. </w:t>
            </w:r>
          </w:p>
          <w:p w14:paraId="6240FC11" w14:textId="77777777" w:rsidR="00702564" w:rsidRDefault="00702564" w:rsidP="00632FCC">
            <w:pPr>
              <w:rPr>
                <w:b w:val="0"/>
                <w:bCs w:val="0"/>
              </w:rPr>
            </w:pPr>
            <w:r>
              <w:rPr>
                <w:b w:val="0"/>
                <w:bCs w:val="0"/>
              </w:rPr>
              <w:t xml:space="preserve"> </w:t>
            </w:r>
          </w:p>
          <w:p w14:paraId="7212F323" w14:textId="77777777" w:rsidR="00702564" w:rsidRDefault="00702564" w:rsidP="00632FCC">
            <w:pPr>
              <w:rPr>
                <w:b w:val="0"/>
                <w:bCs w:val="0"/>
              </w:rPr>
            </w:pPr>
            <w:r>
              <w:rPr>
                <w:b w:val="0"/>
                <w:bCs w:val="0"/>
              </w:rPr>
              <w:t>Benspecifik läkemedelsbehandling vid nedsatt njurfunktion (GFR &lt;35 ml/min):</w:t>
            </w:r>
          </w:p>
          <w:p w14:paraId="5C06732F" w14:textId="77777777" w:rsidR="00702564" w:rsidRDefault="00702564" w:rsidP="00632FCC">
            <w:pPr>
              <w:rPr>
                <w:b w:val="0"/>
                <w:bCs w:val="0"/>
              </w:rPr>
            </w:pPr>
            <w:r>
              <w:rPr>
                <w:b w:val="0"/>
                <w:bCs w:val="0"/>
              </w:rPr>
              <w:t xml:space="preserve">denosumab </w:t>
            </w:r>
            <w:r>
              <w:br/>
            </w:r>
            <w:r>
              <w:rPr>
                <w:b w:val="0"/>
                <w:bCs w:val="0"/>
              </w:rPr>
              <w:t>- Prolia subcutan inj var 6:e månad</w:t>
            </w:r>
          </w:p>
          <w:p w14:paraId="7E7DBA72" w14:textId="77777777" w:rsidR="00702564" w:rsidRDefault="00702564" w:rsidP="00632FCC">
            <w:pPr>
              <w:rPr>
                <w:b w:val="0"/>
                <w:bCs w:val="0"/>
              </w:rPr>
            </w:pPr>
            <w:r>
              <w:rPr>
                <w:b w:val="0"/>
                <w:bCs w:val="0"/>
              </w:rPr>
              <w:t>- tills vidare behandling</w:t>
            </w:r>
          </w:p>
          <w:p w14:paraId="3866A897" w14:textId="77777777" w:rsidR="00702564" w:rsidRDefault="00702564" w:rsidP="00632FCC">
            <w:r>
              <w:t xml:space="preserve"> </w:t>
            </w:r>
          </w:p>
          <w:p w14:paraId="555E8863" w14:textId="77777777" w:rsidR="00702564" w:rsidRDefault="00702564" w:rsidP="00632FCC">
            <w:r>
              <w:t xml:space="preserve"> </w:t>
            </w:r>
          </w:p>
        </w:tc>
        <w:tc>
          <w:tcPr>
            <w:tcW w:w="4601" w:type="dxa"/>
            <w:tcBorders>
              <w:bottom w:val="none" w:sz="0" w:space="0" w:color="auto"/>
            </w:tcBorders>
          </w:tcPr>
          <w:p w14:paraId="26A32E82" w14:textId="77777777" w:rsidR="00702564" w:rsidRDefault="00702564" w:rsidP="00632FCC">
            <w:pPr>
              <w:cnfStyle w:val="100000000000" w:firstRow="1" w:lastRow="0" w:firstColumn="0" w:lastColumn="0" w:oddVBand="0" w:evenVBand="0" w:oddHBand="0" w:evenHBand="0" w:firstRowFirstColumn="0" w:firstRowLastColumn="0" w:lastRowFirstColumn="0" w:lastRowLastColumn="0"/>
            </w:pPr>
            <w:r w:rsidRPr="28CBA9FB">
              <w:t>Tillägg vid benspecifik läkemedelsbehandling (gäller ej Tridepos):</w:t>
            </w:r>
          </w:p>
          <w:p w14:paraId="5D3C0452" w14:textId="77777777" w:rsidR="00702564" w:rsidRDefault="00702564" w:rsidP="00632FCC">
            <w:pPr>
              <w:cnfStyle w:val="100000000000" w:firstRow="1" w:lastRow="0" w:firstColumn="0" w:lastColumn="0" w:oddVBand="0" w:evenVBand="0" w:oddHBand="0" w:evenHBand="0" w:firstRowFirstColumn="0" w:firstRowLastColumn="0" w:lastRowFirstColumn="0" w:lastRowLastColumn="0"/>
            </w:pPr>
            <w:r>
              <w:rPr>
                <w:b w:val="0"/>
                <w:bCs w:val="0"/>
              </w:rPr>
              <w:t>kalciumkarbonat 500 mg och kolekalciferol 800 IE, t ex Kalcipos-D forte (1 tablett om dagen).</w:t>
            </w:r>
            <w:r>
              <w:t xml:space="preserve">  </w:t>
            </w:r>
          </w:p>
          <w:p w14:paraId="627EA87C" w14:textId="77777777" w:rsidR="00702564" w:rsidRDefault="00702564" w:rsidP="00632FCC">
            <w:pPr>
              <w:cnfStyle w:val="100000000000" w:firstRow="1" w:lastRow="0" w:firstColumn="0" w:lastColumn="0" w:oddVBand="0" w:evenVBand="0" w:oddHBand="0" w:evenHBand="0" w:firstRowFirstColumn="0" w:firstRowLastColumn="0" w:lastRowFirstColumn="0" w:lastRowLastColumn="0"/>
            </w:pPr>
            <w:r w:rsidRPr="6D318EFA">
              <w:t xml:space="preserve"> </w:t>
            </w:r>
          </w:p>
          <w:p w14:paraId="30129010" w14:textId="77777777" w:rsidR="00702564" w:rsidRDefault="00702564" w:rsidP="00632FCC">
            <w:pPr>
              <w:cnfStyle w:val="100000000000" w:firstRow="1" w:lastRow="0" w:firstColumn="0" w:lastColumn="0" w:oddVBand="0" w:evenVBand="0" w:oddHBand="0" w:evenHBand="0" w:firstRowFirstColumn="0" w:firstRowLastColumn="0" w:lastRowFirstColumn="0" w:lastRowLastColumn="0"/>
            </w:pPr>
            <w:r>
              <w:rPr>
                <w:b w:val="0"/>
                <w:bCs w:val="0"/>
              </w:rPr>
              <w:t>(Ta hänsyn till andra läkemedel vid intagningen, t.ex. levotyroxin, PPI, järnpreparat.)</w:t>
            </w:r>
          </w:p>
          <w:p w14:paraId="532D88AF" w14:textId="77777777" w:rsidR="00702564" w:rsidRDefault="00702564" w:rsidP="00632FCC">
            <w:pPr>
              <w:cnfStyle w:val="100000000000" w:firstRow="1" w:lastRow="0" w:firstColumn="0" w:lastColumn="0" w:oddVBand="0" w:evenVBand="0" w:oddHBand="0" w:evenHBand="0" w:firstRowFirstColumn="0" w:firstRowLastColumn="0" w:lastRowFirstColumn="0" w:lastRowLastColumn="0"/>
            </w:pPr>
            <w:r>
              <w:rPr>
                <w:b w:val="0"/>
                <w:bCs w:val="0"/>
              </w:rPr>
              <w:t xml:space="preserve">  </w:t>
            </w:r>
          </w:p>
          <w:p w14:paraId="14E1775F" w14:textId="77777777" w:rsidR="00702564" w:rsidRDefault="00702564" w:rsidP="00632FCC">
            <w:pPr>
              <w:jc w:val="both"/>
              <w:cnfStyle w:val="100000000000" w:firstRow="1" w:lastRow="0" w:firstColumn="0" w:lastColumn="0" w:oddVBand="0" w:evenVBand="0" w:oddHBand="0" w:evenHBand="0" w:firstRowFirstColumn="0" w:firstRowLastColumn="0" w:lastRowFirstColumn="0" w:lastRowLastColumn="0"/>
            </w:pPr>
            <w:r>
              <w:rPr>
                <w:b w:val="0"/>
                <w:bCs w:val="0"/>
              </w:rPr>
              <w:t xml:space="preserve">Man bör fortsätta behandlingen med kalcium och kolekalciferol ca ett år till efter avslutad behandling med benspecifika läkemedel då effekten av benspecifika läkemedel kvarstår i skelettet. </w:t>
            </w:r>
          </w:p>
          <w:p w14:paraId="28AD2A2A" w14:textId="77777777" w:rsidR="00702564" w:rsidRDefault="00702564" w:rsidP="00632FCC">
            <w:pPr>
              <w:cnfStyle w:val="100000000000" w:firstRow="1" w:lastRow="0" w:firstColumn="0" w:lastColumn="0" w:oddVBand="0" w:evenVBand="0" w:oddHBand="0" w:evenHBand="0" w:firstRowFirstColumn="0" w:firstRowLastColumn="0" w:lastRowFirstColumn="0" w:lastRowLastColumn="0"/>
            </w:pPr>
            <w:r>
              <w:rPr>
                <w:b w:val="0"/>
                <w:bCs w:val="0"/>
              </w:rPr>
              <w:t xml:space="preserve"> </w:t>
            </w:r>
          </w:p>
          <w:p w14:paraId="16375F02" w14:textId="77777777" w:rsidR="00702564" w:rsidRDefault="00702564" w:rsidP="00632FCC">
            <w:pPr>
              <w:cnfStyle w:val="100000000000" w:firstRow="1" w:lastRow="0" w:firstColumn="0" w:lastColumn="0" w:oddVBand="0" w:evenVBand="0" w:oddHBand="0" w:evenHBand="0" w:firstRowFirstColumn="0" w:firstRowLastColumn="0" w:lastRowFirstColumn="0" w:lastRowLastColumn="0"/>
            </w:pPr>
            <w:r>
              <w:rPr>
                <w:b w:val="0"/>
                <w:bCs w:val="0"/>
              </w:rPr>
              <w:t xml:space="preserve">Kalcium och vitamin-D bör användas vid glukokortikoidbehandling oavsett bentäthet och frakturrisk. </w:t>
            </w:r>
          </w:p>
        </w:tc>
      </w:tr>
    </w:tbl>
    <w:p w14:paraId="5466458A" w14:textId="77777777" w:rsidR="00A43F38" w:rsidRDefault="00A43F38" w:rsidP="00702564">
      <w:pPr>
        <w:rPr>
          <w:rStyle w:val="Rubrik3Char"/>
        </w:rPr>
      </w:pPr>
    </w:p>
    <w:p w14:paraId="40236E61" w14:textId="77777777" w:rsidR="00BB6263" w:rsidRDefault="00BB6263" w:rsidP="00702564">
      <w:pPr>
        <w:rPr>
          <w:rStyle w:val="Rubrik3Char"/>
        </w:rPr>
      </w:pPr>
    </w:p>
    <w:p w14:paraId="4F36F130" w14:textId="23564861" w:rsidR="00702564" w:rsidRPr="009C05A9" w:rsidRDefault="00702564" w:rsidP="00702564">
      <w:pPr>
        <w:rPr>
          <w:sz w:val="24"/>
          <w:szCs w:val="24"/>
        </w:rPr>
      </w:pPr>
      <w:r w:rsidRPr="009C05A9">
        <w:rPr>
          <w:rStyle w:val="Rubrik3Char"/>
        </w:rPr>
        <w:lastRenderedPageBreak/>
        <w:t>Riskfaktorer och FRAX</w:t>
      </w:r>
    </w:p>
    <w:p w14:paraId="09CFAD43" w14:textId="77777777" w:rsidR="00702564" w:rsidRPr="009C05A9" w:rsidRDefault="00702564" w:rsidP="00702564">
      <w:pPr>
        <w:rPr>
          <w:sz w:val="24"/>
          <w:szCs w:val="24"/>
        </w:rPr>
      </w:pPr>
      <w:r w:rsidRPr="009C05A9">
        <w:rPr>
          <w:sz w:val="24"/>
          <w:szCs w:val="24"/>
        </w:rPr>
        <w:t xml:space="preserve">Förutom låg bentäthet och tidigare fraktur finns flera andra riskfaktorer för ny fraktur, såsom hög ålder, ärftlighet, kortison och rökning. Med hjälp av </w:t>
      </w:r>
      <w:hyperlink r:id="rId135">
        <w:r w:rsidRPr="009C05A9">
          <w:rPr>
            <w:rStyle w:val="Hyperlnk"/>
            <w:rFonts w:eastAsia="Garamond" w:cs="Garamond"/>
            <w:sz w:val="24"/>
            <w:szCs w:val="24"/>
          </w:rPr>
          <w:t>FRAX</w:t>
        </w:r>
      </w:hyperlink>
      <w:r w:rsidRPr="009C05A9">
        <w:rPr>
          <w:sz w:val="24"/>
          <w:szCs w:val="24"/>
        </w:rPr>
        <w:t>, en webbaserad riskberäkning, kan 10-årsrisken för osteoporosfrakturer beräknas. Vid skattad risk över 15% och annan riskfaktor rekommenderas bentäthetsmätning. Bentäthetsmätning bör alltid utföras på kotkompressionspatienter och biologiskt yngre höftfrakturpatienter.</w:t>
      </w:r>
    </w:p>
    <w:p w14:paraId="7F368940" w14:textId="77777777" w:rsidR="00702564" w:rsidRPr="009C05A9" w:rsidRDefault="00702564" w:rsidP="00702564">
      <w:pPr>
        <w:pStyle w:val="Liststycke"/>
        <w:numPr>
          <w:ilvl w:val="0"/>
          <w:numId w:val="98"/>
        </w:numPr>
        <w:rPr>
          <w:sz w:val="24"/>
          <w:szCs w:val="24"/>
        </w:rPr>
      </w:pPr>
      <w:r w:rsidRPr="009C05A9">
        <w:rPr>
          <w:sz w:val="24"/>
          <w:szCs w:val="24"/>
        </w:rPr>
        <w:t xml:space="preserve">FRAX är en webbaserad beräkningsmodell som sammanväger flera riskfaktorer och beräknar </w:t>
      </w:r>
      <w:r w:rsidRPr="009C05A9">
        <w:rPr>
          <w:sz w:val="24"/>
          <w:szCs w:val="24"/>
        </w:rPr>
        <w:br/>
        <w:t xml:space="preserve">10-årsrisk för osteoporosfraktur: </w:t>
      </w:r>
      <w:r w:rsidRPr="009C05A9">
        <w:rPr>
          <w:rStyle w:val="Hyperlnk"/>
          <w:sz w:val="24"/>
          <w:szCs w:val="24"/>
        </w:rPr>
        <w:t>www.shef.ac.uk/FRAX/</w:t>
      </w:r>
      <w:r w:rsidRPr="009C05A9">
        <w:rPr>
          <w:sz w:val="24"/>
          <w:szCs w:val="24"/>
        </w:rPr>
        <w:t xml:space="preserve"> </w:t>
      </w:r>
      <w:hyperlink/>
    </w:p>
    <w:p w14:paraId="282F65D7" w14:textId="77593E89" w:rsidR="00702564" w:rsidRPr="00A43F38" w:rsidRDefault="00702564" w:rsidP="00702564">
      <w:pPr>
        <w:pStyle w:val="Liststycke"/>
        <w:numPr>
          <w:ilvl w:val="0"/>
          <w:numId w:val="98"/>
        </w:numPr>
        <w:rPr>
          <w:sz w:val="24"/>
          <w:szCs w:val="24"/>
        </w:rPr>
      </w:pPr>
      <w:r w:rsidRPr="009C05A9">
        <w:rPr>
          <w:sz w:val="24"/>
          <w:szCs w:val="24"/>
        </w:rPr>
        <w:t xml:space="preserve">FRAX ger en bra vägledning vilka patienter som behöver utredas och behandlas för osteoporos. </w:t>
      </w:r>
    </w:p>
    <w:p w14:paraId="3D62A0DA" w14:textId="77777777" w:rsidR="00702564" w:rsidRPr="009C05A9" w:rsidRDefault="00702564" w:rsidP="00702564">
      <w:pPr>
        <w:pStyle w:val="Rubrik3"/>
      </w:pPr>
      <w:r w:rsidRPr="009C05A9">
        <w:t>Diagnos</w:t>
      </w:r>
    </w:p>
    <w:p w14:paraId="0BC1AA6F" w14:textId="77777777" w:rsidR="00702564" w:rsidRPr="009C05A9" w:rsidRDefault="00702564" w:rsidP="00702564">
      <w:pPr>
        <w:rPr>
          <w:sz w:val="24"/>
          <w:szCs w:val="24"/>
        </w:rPr>
      </w:pPr>
      <w:r w:rsidRPr="009C05A9">
        <w:rPr>
          <w:sz w:val="24"/>
          <w:szCs w:val="24"/>
        </w:rPr>
        <w:t xml:space="preserve">Diagnosen osteoporos ställs genom bentäthetsmätning (DXA) i höft och ländrygg. Gränsen för osteoporos är 2,5 standardavvikelser (SD) under medelvärdet för unga friska kvinnor (s.k. T-score). </w:t>
      </w:r>
      <w:r w:rsidRPr="009C05A9">
        <w:rPr>
          <w:b/>
          <w:bCs/>
          <w:sz w:val="24"/>
          <w:szCs w:val="24"/>
        </w:rPr>
        <w:t>Behandlingsindikation avgörs dock inte av diagnosen osteoporos, utan av patientens frakturrisk.</w:t>
      </w:r>
      <w:r w:rsidRPr="009C05A9">
        <w:rPr>
          <w:sz w:val="24"/>
          <w:szCs w:val="24"/>
        </w:rPr>
        <w:t xml:space="preserve"> DXA rekommenderas vid förhöjd frakturrisk (FRAX &gt;15%) och annan riskfaktor. Vid DXA mätningen undersöks även förekomst av kotkompressioner med VFA. </w:t>
      </w:r>
    </w:p>
    <w:p w14:paraId="1FB412A2" w14:textId="77777777" w:rsidR="00702564" w:rsidRPr="009C05A9" w:rsidRDefault="00702564" w:rsidP="00702564">
      <w:pPr>
        <w:rPr>
          <w:sz w:val="24"/>
          <w:szCs w:val="24"/>
        </w:rPr>
      </w:pPr>
      <w:r w:rsidRPr="009C05A9">
        <w:rPr>
          <w:sz w:val="24"/>
          <w:szCs w:val="24"/>
        </w:rPr>
        <w:t xml:space="preserve">Anamnes bör ange förekomst av tidigare fraktur, ärftlighet för fraktur, rökning, kortisonbehandling, fallolyckor samt möjlig sekundär osteoporos. Förekomst av kot- och höftfraktur samt multipla frakturer innebär ytterligare förhöjd risk. Vid diagnostiskt besök hos läkare bör patientens längd och vikt mätas samt längd vid 25 års ålder efterfrågas. Vid längdminskning på ≥5 cm, kyfosutveckling, eller perkussionssmärta över spinalutskotten bör kotkompression misstänkas. Balans och möjlighet att resa sig från stol utan hjälp bör också ingå i statusundersökningen. En kraftig viktnedgång de senaste fem åren är relaterad till ökad frakturrisk. Förekomst av en eller flera kotkompressioner påverkar både prognos och val av läkemedelsbehandling. </w:t>
      </w:r>
    </w:p>
    <w:p w14:paraId="5A3B8E11" w14:textId="77777777" w:rsidR="00702564" w:rsidRPr="009C05A9" w:rsidRDefault="00702564" w:rsidP="00702564">
      <w:pPr>
        <w:rPr>
          <w:sz w:val="24"/>
          <w:szCs w:val="24"/>
        </w:rPr>
      </w:pPr>
      <w:r w:rsidRPr="009C05A9">
        <w:rPr>
          <w:sz w:val="24"/>
          <w:szCs w:val="24"/>
        </w:rPr>
        <w:t xml:space="preserve">Patienter med osteoporos bör utredas med blodprover för kalcium, ALP och eGFR (kreatinin och/eller cystatin-C). Vid misstanke om rubbning i kalcium och D-vitaminbalansen bör parathormon, joniserat kalcium och D-vitamin analyseras. S-elfores samt fria lätta kedjor kontrolleras vid myelommisstanke och S-testosteron kontrolleras hos män med osteoporos med misstänkt hypogonadism. </w:t>
      </w:r>
    </w:p>
    <w:p w14:paraId="46B52B9A" w14:textId="1BFE1775" w:rsidR="00702564" w:rsidRPr="00BB6263" w:rsidRDefault="00702564" w:rsidP="00D96F17">
      <w:pPr>
        <w:rPr>
          <w:sz w:val="24"/>
          <w:szCs w:val="24"/>
          <w:highlight w:val="yellow"/>
        </w:rPr>
      </w:pPr>
      <w:r w:rsidRPr="009C05A9">
        <w:rPr>
          <w:sz w:val="24"/>
          <w:szCs w:val="24"/>
        </w:rPr>
        <w:t xml:space="preserve">Sekundär osteoporos är vanligt vid flera sjukdomar, exempelvis RA, KOL, hyperparatyreoidism, malabsorption, samt vid viss läkemedelsbehandling. </w:t>
      </w:r>
    </w:p>
    <w:p w14:paraId="075074E4" w14:textId="77777777" w:rsidR="00D96F17" w:rsidRDefault="00D96F17" w:rsidP="00D96F17">
      <w:pPr>
        <w:rPr>
          <w:sz w:val="24"/>
          <w:szCs w:val="24"/>
        </w:rPr>
      </w:pPr>
    </w:p>
    <w:p w14:paraId="2F568166" w14:textId="77777777" w:rsidR="00702564" w:rsidRPr="009C05A9" w:rsidRDefault="00702564" w:rsidP="00702564">
      <w:pPr>
        <w:jc w:val="both"/>
        <w:rPr>
          <w:rFonts w:eastAsia="Garamond" w:cs="Garamond"/>
          <w:b/>
          <w:bCs/>
        </w:rPr>
      </w:pPr>
      <w:r w:rsidRPr="009C05A9">
        <w:rPr>
          <w:rStyle w:val="Rubrik3Char"/>
        </w:rPr>
        <w:t>Egenvård</w:t>
      </w:r>
      <w:r w:rsidRPr="009C05A9">
        <w:rPr>
          <w:rFonts w:eastAsia="Garamond" w:cs="Garamond"/>
          <w:b/>
          <w:bCs/>
        </w:rPr>
        <w:t xml:space="preserve"> </w:t>
      </w:r>
    </w:p>
    <w:p w14:paraId="24AEE05A" w14:textId="77777777" w:rsidR="00702564" w:rsidRPr="009C05A9" w:rsidRDefault="00702564" w:rsidP="00702564">
      <w:pPr>
        <w:rPr>
          <w:sz w:val="24"/>
          <w:szCs w:val="24"/>
        </w:rPr>
      </w:pPr>
      <w:r w:rsidRPr="009C05A9">
        <w:rPr>
          <w:sz w:val="24"/>
          <w:szCs w:val="24"/>
        </w:rPr>
        <w:t>Fysisk aktivitet med belastning är viktigt för skelettet under hela livet. Hos äldre rekommenderas viktbärande (skelettbelastande) fysisk aktivitet som förbättrar balansen samt andra fallpreventiva åtgärder, såsom utsättning/dosminskning av fallinducerande läkemedel, synhjälpmedel, halk-skydd och anpassning av hemmiljön. Adekvat kostintag av kalcium och D-vitamin rekommenderas.</w:t>
      </w:r>
    </w:p>
    <w:p w14:paraId="63E19C4F" w14:textId="77777777" w:rsidR="00702564" w:rsidRPr="009A13FF" w:rsidRDefault="00702564" w:rsidP="00702564">
      <w:pPr>
        <w:jc w:val="both"/>
        <w:rPr>
          <w:rFonts w:eastAsia="Garamond" w:cs="Garamond"/>
          <w:highlight w:val="yellow"/>
        </w:rPr>
      </w:pPr>
    </w:p>
    <w:p w14:paraId="613664B4" w14:textId="77777777" w:rsidR="00702564" w:rsidRPr="009A13FF" w:rsidRDefault="00702564" w:rsidP="00702564">
      <w:pPr>
        <w:jc w:val="both"/>
        <w:rPr>
          <w:rFonts w:eastAsia="Garamond" w:cs="Garamond"/>
          <w:b/>
          <w:bCs/>
          <w:highlight w:val="yellow"/>
        </w:rPr>
      </w:pPr>
    </w:p>
    <w:p w14:paraId="1FCE1CEA" w14:textId="77777777" w:rsidR="00D96F17" w:rsidRDefault="00D96F17" w:rsidP="00702564">
      <w:pPr>
        <w:jc w:val="both"/>
        <w:rPr>
          <w:rStyle w:val="Rubrik3Char"/>
        </w:rPr>
      </w:pPr>
    </w:p>
    <w:p w14:paraId="2C2BAFB4" w14:textId="77777777" w:rsidR="00BB6263" w:rsidRDefault="00BB6263" w:rsidP="00702564">
      <w:pPr>
        <w:jc w:val="both"/>
        <w:rPr>
          <w:rStyle w:val="Rubrik3Char"/>
        </w:rPr>
      </w:pPr>
    </w:p>
    <w:p w14:paraId="7EC23DB4" w14:textId="7DD69554" w:rsidR="00702564" w:rsidRPr="009C05A9" w:rsidRDefault="00702564" w:rsidP="00702564">
      <w:pPr>
        <w:jc w:val="both"/>
        <w:rPr>
          <w:rFonts w:eastAsia="Garamond" w:cs="Garamond"/>
          <w:b/>
          <w:bCs/>
        </w:rPr>
      </w:pPr>
      <w:r w:rsidRPr="009C05A9">
        <w:rPr>
          <w:rStyle w:val="Rubrik3Char"/>
        </w:rPr>
        <w:lastRenderedPageBreak/>
        <w:t>Läkemedel</w:t>
      </w:r>
      <w:r w:rsidRPr="009C05A9">
        <w:rPr>
          <w:rFonts w:eastAsia="Garamond" w:cs="Garamond"/>
          <w:b/>
          <w:bCs/>
        </w:rPr>
        <w:t xml:space="preserve"> </w:t>
      </w:r>
    </w:p>
    <w:p w14:paraId="7CC62D4E" w14:textId="77777777" w:rsidR="00702564" w:rsidRPr="009C05A9" w:rsidRDefault="00702564" w:rsidP="00702564">
      <w:pPr>
        <w:rPr>
          <w:sz w:val="24"/>
          <w:szCs w:val="24"/>
        </w:rPr>
      </w:pPr>
      <w:r w:rsidRPr="009C05A9">
        <w:rPr>
          <w:sz w:val="24"/>
          <w:szCs w:val="24"/>
        </w:rPr>
        <w:t xml:space="preserve">Läkemedelsbehandling vid osteoporos avser att sänka framtida frakturrisk. Som aktiv läkemedelsbehandling rekommenderas antiresorptiva läkemedel, i första hand bisfosfonater och i andra hand denosumab. Patienter med hög frakturrisk och svår osteoporos (framför allt kot- eller höftfrakturpatienter) bör remitteras till osteoporosmottagning för ställningstagande till sekventiell behandling (anabolt verkande parathormonanalog eller romosozumab följt av antiresorptivt läkemedel). </w:t>
      </w:r>
    </w:p>
    <w:p w14:paraId="59C5008C" w14:textId="77777777" w:rsidR="00702564" w:rsidRPr="009C05A9" w:rsidRDefault="00702564" w:rsidP="00702564">
      <w:pPr>
        <w:rPr>
          <w:sz w:val="24"/>
          <w:szCs w:val="24"/>
        </w:rPr>
      </w:pPr>
      <w:r w:rsidRPr="009C05A9">
        <w:rPr>
          <w:sz w:val="24"/>
          <w:szCs w:val="24"/>
        </w:rPr>
        <w:t>Läkemedelsbehandling ska övervägas till patienter med:</w:t>
      </w:r>
    </w:p>
    <w:p w14:paraId="75B2D465" w14:textId="77777777" w:rsidR="00702564" w:rsidRPr="009C05A9" w:rsidRDefault="00702564" w:rsidP="00702564">
      <w:pPr>
        <w:pStyle w:val="Liststycke"/>
        <w:numPr>
          <w:ilvl w:val="0"/>
          <w:numId w:val="115"/>
        </w:numPr>
        <w:jc w:val="both"/>
        <w:rPr>
          <w:rFonts w:eastAsia="Garamond" w:cs="Garamond"/>
          <w:sz w:val="24"/>
          <w:szCs w:val="24"/>
        </w:rPr>
      </w:pPr>
      <w:r w:rsidRPr="009C05A9">
        <w:rPr>
          <w:sz w:val="24"/>
          <w:szCs w:val="24"/>
        </w:rPr>
        <w:t xml:space="preserve">Genomgången höftfraktur eller kotkompression oavsett bentäthet (hög risk) </w:t>
      </w:r>
    </w:p>
    <w:p w14:paraId="688B2937" w14:textId="77777777" w:rsidR="00702564" w:rsidRPr="009C05A9" w:rsidRDefault="00702564" w:rsidP="00702564">
      <w:pPr>
        <w:pStyle w:val="Liststycke"/>
        <w:numPr>
          <w:ilvl w:val="0"/>
          <w:numId w:val="115"/>
        </w:numPr>
        <w:jc w:val="both"/>
        <w:rPr>
          <w:rFonts w:eastAsia="Garamond" w:cs="Garamond"/>
          <w:sz w:val="24"/>
          <w:szCs w:val="24"/>
        </w:rPr>
      </w:pPr>
      <w:r w:rsidRPr="009C05A9">
        <w:rPr>
          <w:rFonts w:eastAsia="Garamond" w:cs="Garamond"/>
          <w:sz w:val="24"/>
          <w:szCs w:val="24"/>
        </w:rPr>
        <w:t xml:space="preserve">Annan tidigare osteoporosrelaterad fraktur och samtidig låg bentäthet (T-score&lt;-1.0 SD) </w:t>
      </w:r>
      <w:r>
        <w:rPr>
          <w:rFonts w:eastAsia="Garamond" w:cs="Garamond"/>
          <w:sz w:val="24"/>
          <w:szCs w:val="24"/>
        </w:rPr>
        <w:br/>
      </w:r>
      <w:r w:rsidRPr="009C05A9">
        <w:rPr>
          <w:rFonts w:eastAsia="Garamond" w:cs="Garamond"/>
          <w:sz w:val="24"/>
          <w:szCs w:val="24"/>
        </w:rPr>
        <w:t>och FRAX&gt;15%</w:t>
      </w:r>
    </w:p>
    <w:p w14:paraId="3DB90D01" w14:textId="77777777" w:rsidR="00702564" w:rsidRPr="009C05A9" w:rsidRDefault="00702564" w:rsidP="00702564">
      <w:pPr>
        <w:pStyle w:val="Liststycke"/>
        <w:numPr>
          <w:ilvl w:val="0"/>
          <w:numId w:val="115"/>
        </w:numPr>
        <w:jc w:val="both"/>
        <w:rPr>
          <w:rFonts w:eastAsia="Garamond" w:cs="Garamond"/>
          <w:sz w:val="24"/>
          <w:szCs w:val="24"/>
        </w:rPr>
      </w:pPr>
      <w:r w:rsidRPr="009C05A9">
        <w:rPr>
          <w:rFonts w:eastAsia="Garamond" w:cs="Garamond"/>
          <w:sz w:val="24"/>
          <w:szCs w:val="24"/>
        </w:rPr>
        <w:t xml:space="preserve">Osteoporos (T-score&lt;-2.5 SD) och FRAX&gt;20% </w:t>
      </w:r>
    </w:p>
    <w:p w14:paraId="7F34BA06" w14:textId="77777777" w:rsidR="00702564" w:rsidRPr="009C05A9" w:rsidRDefault="00702564" w:rsidP="00702564">
      <w:pPr>
        <w:pStyle w:val="Liststycke"/>
        <w:numPr>
          <w:ilvl w:val="0"/>
          <w:numId w:val="115"/>
        </w:numPr>
      </w:pPr>
      <w:r w:rsidRPr="009C05A9">
        <w:rPr>
          <w:sz w:val="24"/>
          <w:szCs w:val="24"/>
        </w:rPr>
        <w:t xml:space="preserve">Planerad behandling med kortison (se nedan) </w:t>
      </w:r>
      <w:r w:rsidRPr="009C05A9">
        <w:rPr>
          <w:sz w:val="24"/>
          <w:szCs w:val="24"/>
        </w:rPr>
        <w:br/>
      </w:r>
    </w:p>
    <w:p w14:paraId="24D17024" w14:textId="77777777" w:rsidR="00702564" w:rsidRDefault="00702564" w:rsidP="00702564">
      <w:pPr>
        <w:rPr>
          <w:sz w:val="24"/>
          <w:szCs w:val="24"/>
        </w:rPr>
      </w:pPr>
      <w:r w:rsidRPr="009C05A9">
        <w:rPr>
          <w:sz w:val="24"/>
          <w:szCs w:val="24"/>
        </w:rPr>
        <w:t xml:space="preserve">Antiresorptiv och anabol/sekventiell behandling ges som monoterapi med tillskott av daglig dos kalcium och D-vitamin. Vid sjunkande bentäthet eller frakturer, speciellt kotfrakturer, under pågående behandling, bör terapibyte övervägas. Om behandlingsindikation föreligger oavsett bentäthet, bör inte låg tillgänglighet till DXA försena läkemedelsbehandling, särskilt inte om uppföljning ej planeras. </w:t>
      </w:r>
    </w:p>
    <w:p w14:paraId="11C7E794" w14:textId="77777777" w:rsidR="00702564" w:rsidRPr="009C05A9" w:rsidRDefault="00702564" w:rsidP="00702564">
      <w:pPr>
        <w:rPr>
          <w:sz w:val="24"/>
          <w:szCs w:val="24"/>
        </w:rPr>
      </w:pPr>
    </w:p>
    <w:p w14:paraId="3D0BCBB8" w14:textId="77777777" w:rsidR="00702564" w:rsidRPr="009A13FF" w:rsidRDefault="00702564" w:rsidP="00702564">
      <w:pPr>
        <w:jc w:val="both"/>
        <w:rPr>
          <w:rFonts w:eastAsia="Garamond" w:cs="Garamond"/>
          <w:b/>
          <w:bCs/>
          <w:highlight w:val="yellow"/>
        </w:rPr>
      </w:pPr>
    </w:p>
    <w:p w14:paraId="0893191B" w14:textId="77777777" w:rsidR="00702564" w:rsidRPr="009C05A9" w:rsidRDefault="00702564" w:rsidP="00702564">
      <w:pPr>
        <w:jc w:val="both"/>
        <w:rPr>
          <w:rFonts w:eastAsia="Garamond" w:cs="Garamond"/>
          <w:b/>
          <w:bCs/>
        </w:rPr>
      </w:pPr>
      <w:r w:rsidRPr="009C05A9">
        <w:rPr>
          <w:rStyle w:val="Rubrik3Char"/>
        </w:rPr>
        <w:t>Bisfosfonater</w:t>
      </w:r>
      <w:r w:rsidRPr="009C05A9">
        <w:rPr>
          <w:rFonts w:eastAsia="Garamond" w:cs="Garamond"/>
          <w:b/>
          <w:bCs/>
        </w:rPr>
        <w:t xml:space="preserve"> </w:t>
      </w:r>
    </w:p>
    <w:p w14:paraId="0E36CA52" w14:textId="77777777" w:rsidR="00702564" w:rsidRPr="009C05A9" w:rsidRDefault="00702564" w:rsidP="00702564">
      <w:pPr>
        <w:rPr>
          <w:sz w:val="24"/>
          <w:szCs w:val="24"/>
        </w:rPr>
      </w:pPr>
      <w:r w:rsidRPr="009C05A9">
        <w:rPr>
          <w:sz w:val="24"/>
          <w:szCs w:val="24"/>
        </w:rPr>
        <w:t xml:space="preserve">Bisfosfonaterna zoledronsyra och alendronsyra har likartad mekanism och minskar frakturrisken effektivt. I första hand rekommenderas årlig infusion zoledronsyra 5 mg eller veckodos alendronsyra 70 mg. Zoledronsyrabehandling har bättre följsamhet och är särskilt lämpligt vid nedsatt kognition, sväljsvårigheter, genomgått mag-tarmoperation eller till patienter som fått mag-tarmsymtom av perorala bisfosfonater. Bisfosfonatbehandling ska i regel kombineras med kalcium och D-vitamin. Den frakturförebyggande effekten av bisfosfonater är god. Vid behandling bör patienten ha eGFR ≥35 mL/min och ej vara hypokalcemisk. </w:t>
      </w:r>
    </w:p>
    <w:p w14:paraId="66FC7764" w14:textId="77777777" w:rsidR="00702564" w:rsidRPr="009C05A9" w:rsidRDefault="00702564" w:rsidP="00702564">
      <w:pPr>
        <w:rPr>
          <w:sz w:val="24"/>
          <w:szCs w:val="24"/>
          <w:u w:val="single"/>
        </w:rPr>
      </w:pPr>
    </w:p>
    <w:p w14:paraId="7E7D1BBB" w14:textId="77777777" w:rsidR="00702564" w:rsidRPr="009C05A9" w:rsidRDefault="00702564" w:rsidP="00702564">
      <w:pPr>
        <w:rPr>
          <w:sz w:val="24"/>
          <w:szCs w:val="24"/>
          <w:u w:val="single"/>
        </w:rPr>
      </w:pPr>
      <w:r w:rsidRPr="009C05A9">
        <w:rPr>
          <w:sz w:val="24"/>
          <w:szCs w:val="24"/>
          <w:u w:val="single"/>
        </w:rPr>
        <w:t>Behandlingsutsättning/uppehåll med bisfosfonat:</w:t>
      </w:r>
    </w:p>
    <w:p w14:paraId="209DBE0F" w14:textId="77777777" w:rsidR="00702564" w:rsidRPr="009C05A9" w:rsidRDefault="00702564" w:rsidP="00702564">
      <w:pPr>
        <w:rPr>
          <w:sz w:val="24"/>
          <w:szCs w:val="24"/>
        </w:rPr>
      </w:pPr>
      <w:r w:rsidRPr="009C05A9">
        <w:rPr>
          <w:sz w:val="24"/>
          <w:szCs w:val="24"/>
        </w:rPr>
        <w:t xml:space="preserve">Bisfosfonat har uttalad affinitet för benvävnad och efter några års behandling finns kvarstående effekt på skelettet under flera år. Efter ca 5 års behandling med bisfosfonat kan därför uppehåll under 2–3 år övervägas. Om patienten har kvarvarande hög risk (osteoporos, kotkompression, ny osteoporosfraktur under pågående behandling eller kortisonbehandling ≥5 mg prednisolon per dag) bör fortsatt behandling övervägas; upp till 10 år med perorala bisfosfonater och upp till 6 år med parenteral behandling. Vid utsättning av bisfosfonat, bör kalcium och D-vitamin ges under ytterligare 1–2 år. </w:t>
      </w:r>
    </w:p>
    <w:p w14:paraId="5E91194B" w14:textId="77777777" w:rsidR="00702564" w:rsidRPr="009C05A9" w:rsidRDefault="00702564" w:rsidP="00702564">
      <w:pPr>
        <w:rPr>
          <w:sz w:val="24"/>
          <w:szCs w:val="24"/>
        </w:rPr>
      </w:pPr>
      <w:r w:rsidRPr="009C05A9">
        <w:rPr>
          <w:sz w:val="24"/>
          <w:szCs w:val="24"/>
        </w:rPr>
        <w:t xml:space="preserve">Det finns ingen anledning att seponera behandlingen vid rutinmässig tandvård. Man bör undvika att sätta in bisfosfonat inför mer omfattande tandingrepp, t.ex. tandimplantat. </w:t>
      </w:r>
    </w:p>
    <w:p w14:paraId="7F8435E6" w14:textId="77777777" w:rsidR="00702564" w:rsidRPr="009A13FF" w:rsidRDefault="00702564" w:rsidP="00702564">
      <w:pPr>
        <w:jc w:val="both"/>
        <w:rPr>
          <w:rFonts w:eastAsia="Garamond" w:cs="Garamond"/>
          <w:b/>
          <w:bCs/>
          <w:highlight w:val="yellow"/>
        </w:rPr>
      </w:pPr>
      <w:r w:rsidRPr="009A13FF">
        <w:rPr>
          <w:rFonts w:eastAsia="Garamond" w:cs="Garamond"/>
          <w:b/>
          <w:bCs/>
          <w:highlight w:val="yellow"/>
        </w:rPr>
        <w:t xml:space="preserve"> </w:t>
      </w:r>
    </w:p>
    <w:p w14:paraId="0E14A8BA" w14:textId="77777777" w:rsidR="00702564" w:rsidRPr="009C05A9" w:rsidRDefault="00702564" w:rsidP="00702564">
      <w:pPr>
        <w:pStyle w:val="Rubrik3"/>
      </w:pPr>
      <w:r w:rsidRPr="009C05A9">
        <w:lastRenderedPageBreak/>
        <w:t>Denosumab - Prolia</w:t>
      </w:r>
    </w:p>
    <w:p w14:paraId="499997E6" w14:textId="77777777" w:rsidR="00702564" w:rsidRPr="009C05A9" w:rsidRDefault="00702564" w:rsidP="00702564">
      <w:pPr>
        <w:rPr>
          <w:sz w:val="24"/>
          <w:szCs w:val="24"/>
        </w:rPr>
      </w:pPr>
      <w:r w:rsidRPr="009C05A9">
        <w:rPr>
          <w:sz w:val="24"/>
          <w:szCs w:val="24"/>
        </w:rPr>
        <w:t xml:space="preserve">Om bisfosfonat ger biverkningar eller vid terapisvikt kan antiresorptiv behandling ges med denosumab (monoklonal antikropp) subkutant en gång i halvåret. Den frakturreducerande effekten på kotkompressioner är mycket god och effekt ses även på ickevertebrala frakturer och höftfrakturer. Denosumab ökar bentätheten snabbare och över längre tid än bisfosfonater och kan därför vara lämpligt vid uttalad osteoporos och / eller hög frakturrisk om inte benuppbyggande läkemedel (teriparatid/romosozumab) är aktuellt. Vid utsättning av denosumab minskar bentätheten markant och frakturrisken ökar snabbt. Därför </w:t>
      </w:r>
      <w:r w:rsidRPr="009C05A9">
        <w:rPr>
          <w:sz w:val="24"/>
          <w:szCs w:val="24"/>
          <w:u w:val="single"/>
        </w:rPr>
        <w:t>rekommenderas behandling med denosumab tills vidare</w:t>
      </w:r>
      <w:r w:rsidRPr="009C05A9">
        <w:rPr>
          <w:sz w:val="24"/>
          <w:szCs w:val="24"/>
        </w:rPr>
        <w:t xml:space="preserve">, alternativt byte till bisfosfonat (om möjligt). Förutsatt att kalciumnivåerna är normala, kan denosumab även ges vid nedsatt njurfunktion (vid gravt nedsatt njurfunktion i samråd med njurmedicin). </w:t>
      </w:r>
    </w:p>
    <w:p w14:paraId="24653277" w14:textId="77777777" w:rsidR="00702564" w:rsidRPr="009A13FF" w:rsidRDefault="00702564" w:rsidP="00702564">
      <w:pPr>
        <w:jc w:val="both"/>
        <w:rPr>
          <w:rFonts w:eastAsia="Garamond" w:cs="Garamond"/>
          <w:b/>
          <w:bCs/>
          <w:highlight w:val="yellow"/>
        </w:rPr>
      </w:pPr>
    </w:p>
    <w:p w14:paraId="594DC5E3" w14:textId="77777777" w:rsidR="00702564" w:rsidRPr="00E05713" w:rsidRDefault="00702564" w:rsidP="00702564">
      <w:pPr>
        <w:jc w:val="both"/>
        <w:rPr>
          <w:rFonts w:eastAsia="Garamond" w:cs="Garamond"/>
        </w:rPr>
      </w:pPr>
      <w:r w:rsidRPr="00E05713">
        <w:rPr>
          <w:rStyle w:val="Rubrik3Char"/>
        </w:rPr>
        <w:t>Biverkningar med antiresorptiv behandling</w:t>
      </w:r>
      <w:r w:rsidRPr="00E05713">
        <w:rPr>
          <w:rFonts w:eastAsia="Garamond" w:cs="Garamond"/>
        </w:rPr>
        <w:t xml:space="preserve"> </w:t>
      </w:r>
    </w:p>
    <w:p w14:paraId="17AD7A52" w14:textId="77777777" w:rsidR="00702564" w:rsidRPr="00E05713" w:rsidRDefault="00702564" w:rsidP="00702564">
      <w:pPr>
        <w:rPr>
          <w:sz w:val="24"/>
          <w:szCs w:val="24"/>
        </w:rPr>
      </w:pPr>
      <w:r w:rsidRPr="00E05713">
        <w:rPr>
          <w:sz w:val="24"/>
          <w:szCs w:val="24"/>
        </w:rPr>
        <w:t xml:space="preserve">De vanligaste biverkningarna av peroral bisfosfonat är mag-tarmbesvär i form av retningar i matstrupe och magsäck. Ovanliga biverkningar av bisfosfonat är generell led- och muskelsmärta. Biverkningar av denosumab är få. </w:t>
      </w:r>
    </w:p>
    <w:p w14:paraId="753A61FE" w14:textId="77777777" w:rsidR="00702564" w:rsidRPr="00E05713" w:rsidRDefault="00702564" w:rsidP="00702564">
      <w:pPr>
        <w:rPr>
          <w:sz w:val="24"/>
          <w:szCs w:val="24"/>
          <w:u w:val="single"/>
        </w:rPr>
      </w:pPr>
    </w:p>
    <w:p w14:paraId="5BCE550B" w14:textId="77777777" w:rsidR="00702564" w:rsidRPr="00E05713" w:rsidRDefault="00702564" w:rsidP="00702564">
      <w:pPr>
        <w:rPr>
          <w:sz w:val="24"/>
          <w:szCs w:val="24"/>
          <w:u w:val="single"/>
        </w:rPr>
      </w:pPr>
      <w:r w:rsidRPr="00E05713">
        <w:rPr>
          <w:sz w:val="24"/>
          <w:szCs w:val="24"/>
          <w:u w:val="single"/>
        </w:rPr>
        <w:t>Sällsynta biverkningar:</w:t>
      </w:r>
      <w:r w:rsidRPr="00E05713">
        <w:rPr>
          <w:sz w:val="24"/>
          <w:szCs w:val="24"/>
        </w:rPr>
        <w:t xml:space="preserve"> </w:t>
      </w:r>
    </w:p>
    <w:p w14:paraId="15A165EF" w14:textId="77777777" w:rsidR="00702564" w:rsidRPr="00E05713" w:rsidRDefault="00702564" w:rsidP="00702564">
      <w:pPr>
        <w:rPr>
          <w:sz w:val="24"/>
          <w:szCs w:val="24"/>
        </w:rPr>
      </w:pPr>
      <w:r w:rsidRPr="00E05713">
        <w:rPr>
          <w:sz w:val="24"/>
          <w:szCs w:val="24"/>
        </w:rPr>
        <w:t xml:space="preserve">Incidensen för osteonekros i käken (ONJ) för osteoporospatienter är låg. Incidenstalen hos denna patientgrupp är 0,001 till 0,01% jämfört med &lt;0,001% hos den allmänna befolkningen. Det finns ingen anledning att seponera behandlingen vid rutinmässig tandvård. Man bör undvika att sätta in bisfosfonat inför mer omfattande tandingrepp, t.ex. tandimplantat. </w:t>
      </w:r>
    </w:p>
    <w:p w14:paraId="6BD03A9E" w14:textId="77777777" w:rsidR="00702564" w:rsidRPr="00E05713" w:rsidRDefault="00702564" w:rsidP="00702564">
      <w:pPr>
        <w:rPr>
          <w:sz w:val="24"/>
          <w:szCs w:val="24"/>
        </w:rPr>
      </w:pPr>
      <w:r w:rsidRPr="00E05713">
        <w:rPr>
          <w:sz w:val="24"/>
          <w:szCs w:val="24"/>
        </w:rPr>
        <w:t xml:space="preserve">Risken för atypisk subtrokantär femurfraktur har rapporterats vara förhöjd (3.2–50 fall per 100 000 personår). Befintliga data tyder på att risken för atypisk femurfraktur och ONJ med denosumab liknar den för bisfosfonater. </w:t>
      </w:r>
    </w:p>
    <w:p w14:paraId="2E65B377" w14:textId="77777777" w:rsidR="00702564" w:rsidRPr="00E05713" w:rsidRDefault="00702564" w:rsidP="00702564">
      <w:pPr>
        <w:jc w:val="both"/>
        <w:rPr>
          <w:rFonts w:eastAsia="Garamond" w:cs="Garamond"/>
          <w:b/>
          <w:bCs/>
        </w:rPr>
      </w:pPr>
    </w:p>
    <w:p w14:paraId="0EA29DA5" w14:textId="77777777" w:rsidR="00702564" w:rsidRPr="00E05713" w:rsidRDefault="00702564" w:rsidP="00702564">
      <w:pPr>
        <w:jc w:val="both"/>
        <w:rPr>
          <w:rFonts w:eastAsia="Garamond" w:cs="Garamond"/>
          <w:b/>
          <w:bCs/>
        </w:rPr>
      </w:pPr>
      <w:r w:rsidRPr="00E05713">
        <w:rPr>
          <w:rStyle w:val="Rubrik3Char"/>
        </w:rPr>
        <w:t>Sekventiell behandling</w:t>
      </w:r>
      <w:r w:rsidRPr="00E05713">
        <w:rPr>
          <w:rFonts w:eastAsia="Garamond" w:cs="Garamond"/>
          <w:b/>
          <w:bCs/>
        </w:rPr>
        <w:t xml:space="preserve"> </w:t>
      </w:r>
    </w:p>
    <w:p w14:paraId="0F868C60" w14:textId="77777777" w:rsidR="00702564" w:rsidRPr="00E05713" w:rsidRDefault="00702564" w:rsidP="00702564">
      <w:pPr>
        <w:rPr>
          <w:sz w:val="24"/>
          <w:szCs w:val="24"/>
        </w:rPr>
      </w:pPr>
      <w:r w:rsidRPr="00E05713">
        <w:rPr>
          <w:sz w:val="24"/>
          <w:szCs w:val="24"/>
        </w:rPr>
        <w:t>Innebär att en benuppbyggande behandling (teriparatid eller romosozumab) ges innan antiresorptiv behandling påbörjas. Behandling med dessa läkemedel bör skötas av specialister</w:t>
      </w:r>
      <w:r w:rsidRPr="00E05713">
        <w:rPr>
          <w:sz w:val="24"/>
          <w:szCs w:val="24"/>
        </w:rPr>
        <w:br/>
        <w:t xml:space="preserve"> väl förtrogna med handläggning av osteoporospatienter. Bör övervägas för patienter med hög frakturrisk och svår osteoporos. Hos patienter med låg bentäthet och kotkompression, ökar denna behandling bentätheten betydligt mer och ger betydande ytterligare frakturriskreduktion jämfört med p.o. bisfosfonat. </w:t>
      </w:r>
    </w:p>
    <w:p w14:paraId="37C3F2A7" w14:textId="77777777" w:rsidR="00702564" w:rsidRPr="00E05713" w:rsidRDefault="00702564" w:rsidP="00702564">
      <w:pPr>
        <w:pStyle w:val="Liststycke"/>
        <w:numPr>
          <w:ilvl w:val="0"/>
          <w:numId w:val="116"/>
        </w:numPr>
        <w:rPr>
          <w:sz w:val="24"/>
          <w:szCs w:val="24"/>
        </w:rPr>
      </w:pPr>
      <w:r w:rsidRPr="00E05713">
        <w:rPr>
          <w:sz w:val="24"/>
          <w:szCs w:val="24"/>
        </w:rPr>
        <w:t xml:space="preserve">Teriparatid (parathormonanalog – t.ex. Terrosa, Forsteo) ges under 18–24 månader och följs av antiresorptiv behandling. Indikation finns även för osteoporos vid kortisonbehandling och hög frakturrisk. </w:t>
      </w:r>
    </w:p>
    <w:p w14:paraId="7340B7D9" w14:textId="77777777" w:rsidR="00702564" w:rsidRPr="00E05713" w:rsidRDefault="00702564" w:rsidP="00702564">
      <w:pPr>
        <w:pStyle w:val="Liststycke"/>
        <w:numPr>
          <w:ilvl w:val="0"/>
          <w:numId w:val="116"/>
        </w:numPr>
        <w:rPr>
          <w:sz w:val="24"/>
          <w:szCs w:val="24"/>
        </w:rPr>
      </w:pPr>
      <w:r w:rsidRPr="00E05713">
        <w:rPr>
          <w:sz w:val="24"/>
          <w:szCs w:val="24"/>
        </w:rPr>
        <w:t xml:space="preserve">Romosozumab (Evenity) ges under 12 månader och följs av antiresorptiv behandling. Bentätheten ökar mer än med teriparatid. Indikation finns för svår osteoporos och hög frakturrisk. Är kontraindicerat hos patienter med tidigare hjärtinfarkt eller stroke. </w:t>
      </w:r>
    </w:p>
    <w:p w14:paraId="14D9EF1A" w14:textId="77777777" w:rsidR="00702564" w:rsidRDefault="00702564" w:rsidP="00702564">
      <w:pPr>
        <w:jc w:val="both"/>
        <w:rPr>
          <w:rFonts w:eastAsia="Garamond" w:cs="Garamond"/>
          <w:b/>
          <w:bCs/>
        </w:rPr>
      </w:pPr>
      <w:r w:rsidRPr="00E05713">
        <w:rPr>
          <w:rFonts w:eastAsia="Garamond" w:cs="Garamond"/>
          <w:b/>
          <w:bCs/>
        </w:rPr>
        <w:t xml:space="preserve"> </w:t>
      </w:r>
    </w:p>
    <w:p w14:paraId="07B6883F" w14:textId="77777777" w:rsidR="00702564" w:rsidRDefault="00702564" w:rsidP="00702564">
      <w:pPr>
        <w:tabs>
          <w:tab w:val="clear" w:pos="284"/>
        </w:tabs>
        <w:spacing w:after="120" w:line="260" w:lineRule="atLeast"/>
        <w:rPr>
          <w:rFonts w:eastAsia="Garamond" w:cs="Garamond"/>
          <w:b/>
          <w:bCs/>
        </w:rPr>
      </w:pPr>
      <w:r>
        <w:rPr>
          <w:rFonts w:eastAsia="Garamond" w:cs="Garamond"/>
          <w:b/>
          <w:bCs/>
        </w:rPr>
        <w:br w:type="page"/>
      </w:r>
    </w:p>
    <w:p w14:paraId="00959D86" w14:textId="77777777" w:rsidR="00702564" w:rsidRPr="00E05713" w:rsidRDefault="00702564" w:rsidP="00702564">
      <w:pPr>
        <w:jc w:val="both"/>
        <w:rPr>
          <w:rFonts w:eastAsia="Garamond" w:cs="Garamond"/>
          <w:b/>
          <w:bCs/>
        </w:rPr>
      </w:pPr>
      <w:r w:rsidRPr="00E05713">
        <w:rPr>
          <w:rStyle w:val="Rubrik3Char"/>
        </w:rPr>
        <w:lastRenderedPageBreak/>
        <w:t>Uppföljning</w:t>
      </w:r>
      <w:r w:rsidRPr="00E05713">
        <w:rPr>
          <w:rFonts w:eastAsia="Garamond" w:cs="Garamond"/>
          <w:b/>
          <w:bCs/>
        </w:rPr>
        <w:t xml:space="preserve"> </w:t>
      </w:r>
    </w:p>
    <w:p w14:paraId="06C8DFD8" w14:textId="77777777" w:rsidR="00702564" w:rsidRPr="00E05713" w:rsidRDefault="00702564" w:rsidP="00702564">
      <w:pPr>
        <w:rPr>
          <w:sz w:val="24"/>
          <w:szCs w:val="24"/>
        </w:rPr>
      </w:pPr>
      <w:r w:rsidRPr="00E05713">
        <w:rPr>
          <w:sz w:val="24"/>
          <w:szCs w:val="24"/>
        </w:rPr>
        <w:t>Kontroll av följsamhet vid peroral bisfosfonatbehandling bör utföras inom tre månader. Bentäthet bör följas 2 år efter insatt behandling och därefter vartannat år, om mätresultatet bedöms påverka fortsatt handläggning. Om patienten står på zoledronsyra eller denosumab kan detta uppföljningsintervall förlängas efter den första kontrollen.</w:t>
      </w:r>
    </w:p>
    <w:p w14:paraId="634023DB" w14:textId="77777777" w:rsidR="00702564" w:rsidRPr="009A13FF" w:rsidRDefault="00702564" w:rsidP="00702564">
      <w:pPr>
        <w:jc w:val="both"/>
        <w:rPr>
          <w:rFonts w:eastAsia="Garamond" w:cs="Garamond"/>
          <w:b/>
          <w:bCs/>
          <w:highlight w:val="yellow"/>
        </w:rPr>
      </w:pPr>
    </w:p>
    <w:p w14:paraId="2EAC6B5A" w14:textId="77777777" w:rsidR="00702564" w:rsidRPr="00E05713" w:rsidRDefault="00702564" w:rsidP="00702564">
      <w:pPr>
        <w:jc w:val="both"/>
        <w:rPr>
          <w:rFonts w:eastAsia="Garamond" w:cs="Garamond"/>
          <w:b/>
          <w:bCs/>
        </w:rPr>
      </w:pPr>
      <w:r w:rsidRPr="00E05713">
        <w:rPr>
          <w:rStyle w:val="Rubrik3Char"/>
        </w:rPr>
        <w:t>Kalcium och D-vitamin</w:t>
      </w:r>
      <w:r w:rsidRPr="00E05713">
        <w:rPr>
          <w:rFonts w:eastAsia="Garamond" w:cs="Garamond"/>
          <w:b/>
          <w:bCs/>
        </w:rPr>
        <w:t xml:space="preserve"> </w:t>
      </w:r>
    </w:p>
    <w:p w14:paraId="279F3550" w14:textId="77777777" w:rsidR="00702564" w:rsidRPr="00E05713" w:rsidRDefault="00702564" w:rsidP="00702564">
      <w:pPr>
        <w:rPr>
          <w:sz w:val="24"/>
          <w:szCs w:val="24"/>
        </w:rPr>
      </w:pPr>
      <w:r w:rsidRPr="00E05713">
        <w:rPr>
          <w:sz w:val="24"/>
          <w:szCs w:val="24"/>
        </w:rPr>
        <w:t xml:space="preserve">Kalcium och D-vitamin rekommenderas som dagligt tillägg till aktiv behandling med osteoporosläkemedel eller vid konstaterad brist. Vid normal kost ges 500 mg kalcium per dag, men 1g kan övervägas till patienter med lågt kalciumintag. Dagligt tillskott med 800 IE D-vitamin rekommenderas som tillägg till osteoporosbehandling. D-vitaminbrist bör korrigeras innan benaktiv behandling påbörjas. Enbart D-vitamin förebygger inte frakturer, medan D-vitamin och kalcium i kombination har en liten frakturreducerande effekt, framför allt hos institutionsboende och sköra äldre. Kalcium och D-vitamin är således en otillräcklig frakturförebyggande behandling mot osteoporos och rekommenderas därför ej som monoterapi. </w:t>
      </w:r>
    </w:p>
    <w:p w14:paraId="21CCFAD5" w14:textId="77777777" w:rsidR="00702564" w:rsidRPr="009A13FF" w:rsidRDefault="00702564" w:rsidP="00702564">
      <w:pPr>
        <w:jc w:val="both"/>
        <w:rPr>
          <w:rFonts w:eastAsia="Garamond" w:cs="Garamond"/>
          <w:b/>
          <w:bCs/>
          <w:highlight w:val="yellow"/>
        </w:rPr>
      </w:pPr>
    </w:p>
    <w:p w14:paraId="00225EAC" w14:textId="5D41CD5B" w:rsidR="00702564" w:rsidRPr="00E05713" w:rsidRDefault="00702564" w:rsidP="00702564">
      <w:pPr>
        <w:jc w:val="both"/>
        <w:rPr>
          <w:rFonts w:eastAsia="Garamond" w:cs="Garamond"/>
          <w:b/>
          <w:bCs/>
        </w:rPr>
      </w:pPr>
      <w:r w:rsidRPr="00E05713">
        <w:rPr>
          <w:rStyle w:val="Rubrik3Char"/>
        </w:rPr>
        <w:t>Specifika riskgrupper</w:t>
      </w:r>
      <w:r w:rsidRPr="00E05713">
        <w:rPr>
          <w:rFonts w:eastAsia="Garamond" w:cs="Garamond"/>
          <w:b/>
          <w:bCs/>
        </w:rPr>
        <w:t xml:space="preserve"> </w:t>
      </w:r>
    </w:p>
    <w:p w14:paraId="41969C70" w14:textId="77777777" w:rsidR="00702564" w:rsidRPr="00E05713" w:rsidRDefault="00702564" w:rsidP="00702564">
      <w:pPr>
        <w:jc w:val="both"/>
        <w:rPr>
          <w:rFonts w:eastAsia="Garamond" w:cs="Garamond"/>
          <w:b/>
          <w:bCs/>
        </w:rPr>
      </w:pPr>
      <w:r w:rsidRPr="00E05713">
        <w:rPr>
          <w:rFonts w:eastAsia="Garamond" w:cs="Garamond"/>
          <w:b/>
          <w:bCs/>
        </w:rPr>
        <w:t xml:space="preserve">Kortison </w:t>
      </w:r>
    </w:p>
    <w:p w14:paraId="49FC581E" w14:textId="77777777" w:rsidR="00702564" w:rsidRPr="00E05713" w:rsidRDefault="00702564" w:rsidP="00702564">
      <w:pPr>
        <w:rPr>
          <w:sz w:val="24"/>
          <w:szCs w:val="24"/>
        </w:rPr>
      </w:pPr>
      <w:r w:rsidRPr="00E05713">
        <w:rPr>
          <w:sz w:val="24"/>
          <w:szCs w:val="24"/>
        </w:rPr>
        <w:t xml:space="preserve">Peroral behandling med kortison ökar risken för fraktur hos både kvinnor och män. Vid planerad behandling med 5 mg prednisolonekvivalenter eller mer, ≥3 månader, måste aktiv osteoporosbehandling och kalcium och D-vitamin övervägas. Frakturrisken ökar omedelbart vid insättning. Vid förhöjd frakturrisk (FRAX&gt;10%) bör därför behandling inledas omgående, i väntan på bentäthetsmätning. </w:t>
      </w:r>
    </w:p>
    <w:p w14:paraId="70CD608B" w14:textId="77777777" w:rsidR="00702564" w:rsidRPr="00E05713" w:rsidRDefault="00702564" w:rsidP="00702564">
      <w:pPr>
        <w:jc w:val="both"/>
        <w:rPr>
          <w:rFonts w:eastAsia="Garamond" w:cs="Garamond"/>
          <w:b/>
          <w:bCs/>
        </w:rPr>
      </w:pPr>
    </w:p>
    <w:p w14:paraId="11FDB90C" w14:textId="77777777" w:rsidR="00702564" w:rsidRPr="00E05713" w:rsidRDefault="00702564" w:rsidP="00702564">
      <w:pPr>
        <w:jc w:val="both"/>
        <w:rPr>
          <w:rFonts w:eastAsia="Garamond" w:cs="Garamond"/>
          <w:b/>
          <w:bCs/>
        </w:rPr>
      </w:pPr>
      <w:r w:rsidRPr="00E05713">
        <w:rPr>
          <w:rFonts w:eastAsia="Garamond" w:cs="Garamond"/>
          <w:b/>
          <w:bCs/>
        </w:rPr>
        <w:t xml:space="preserve">Antihormonell behandling vid cancer </w:t>
      </w:r>
    </w:p>
    <w:p w14:paraId="10F371F3" w14:textId="23004D5B" w:rsidR="00702564" w:rsidRDefault="00702564" w:rsidP="00BB6263">
      <w:pPr>
        <w:rPr>
          <w:sz w:val="24"/>
          <w:szCs w:val="24"/>
        </w:rPr>
      </w:pPr>
      <w:r w:rsidRPr="00E05713">
        <w:rPr>
          <w:sz w:val="24"/>
          <w:szCs w:val="24"/>
        </w:rPr>
        <w:t xml:space="preserve">Antihormonell behandling vid prostatacancer och behandling med aromatashämmare vid bröstcancer accelererar benförlusten och ökar risken för fraktur. Dessa patienter bör utredas med bentäthetsmätning och vid behov ges aktiv osteoporosbehandling. </w:t>
      </w:r>
    </w:p>
    <w:p w14:paraId="06520C80" w14:textId="77777777" w:rsidR="00BB6263" w:rsidRPr="00BB6263" w:rsidRDefault="00BB6263" w:rsidP="00BB6263">
      <w:pPr>
        <w:rPr>
          <w:sz w:val="24"/>
          <w:szCs w:val="24"/>
        </w:rPr>
      </w:pPr>
    </w:p>
    <w:p w14:paraId="666730BF" w14:textId="77777777" w:rsidR="00702564" w:rsidRPr="00E05713" w:rsidRDefault="00702564" w:rsidP="00702564">
      <w:pPr>
        <w:jc w:val="both"/>
        <w:rPr>
          <w:rFonts w:eastAsia="Garamond" w:cs="Garamond"/>
          <w:b/>
          <w:bCs/>
        </w:rPr>
      </w:pPr>
      <w:r w:rsidRPr="00E05713">
        <w:rPr>
          <w:rFonts w:eastAsia="Garamond" w:cs="Garamond"/>
          <w:b/>
          <w:bCs/>
        </w:rPr>
        <w:t xml:space="preserve">Äldre </w:t>
      </w:r>
    </w:p>
    <w:p w14:paraId="1FC5F571" w14:textId="77777777" w:rsidR="00702564" w:rsidRPr="00E05713" w:rsidRDefault="00702564" w:rsidP="00702564">
      <w:pPr>
        <w:rPr>
          <w:sz w:val="24"/>
          <w:szCs w:val="24"/>
        </w:rPr>
      </w:pPr>
      <w:r w:rsidRPr="00E05713">
        <w:rPr>
          <w:sz w:val="24"/>
          <w:szCs w:val="24"/>
        </w:rPr>
        <w:t xml:space="preserve">Studier har visat att 75-åringar och äldre har lika stor skyddande effekt av läkemedelsbehandling som yngre. Däremot är absolutrisken för fraktur mycket högre hos äldre och läkemedelsbehandling förebygger därför fler frakturer. FRAX visar att patienter över 80 år med fraktur oftast har en 10-årsrisk för ny fraktur på över 40%. Behandling leder till minskad frakturrisk samt färre sjukhusdagar och den hälsoekonomiska vinsten är betydande. Behandling av äldre med höftfraktur med årlig infusion zoledronsyra förbättrar överlevnaden och minskar frakturrisken, oavsett bentäthet. </w:t>
      </w:r>
    </w:p>
    <w:p w14:paraId="0865B2AA" w14:textId="77777777" w:rsidR="00702564" w:rsidRPr="00E05713" w:rsidRDefault="00702564" w:rsidP="00702564">
      <w:pPr>
        <w:jc w:val="both"/>
        <w:rPr>
          <w:rFonts w:eastAsia="Garamond" w:cs="Garamond"/>
          <w:b/>
          <w:bCs/>
        </w:rPr>
      </w:pPr>
    </w:p>
    <w:p w14:paraId="4083E997" w14:textId="77777777" w:rsidR="00702564" w:rsidRPr="00E05713" w:rsidRDefault="00702564" w:rsidP="00702564">
      <w:pPr>
        <w:jc w:val="both"/>
        <w:rPr>
          <w:rFonts w:eastAsia="Garamond" w:cs="Garamond"/>
          <w:b/>
          <w:bCs/>
        </w:rPr>
      </w:pPr>
      <w:r w:rsidRPr="00E05713">
        <w:rPr>
          <w:rFonts w:eastAsia="Garamond" w:cs="Garamond"/>
          <w:b/>
          <w:bCs/>
        </w:rPr>
        <w:t xml:space="preserve">Män </w:t>
      </w:r>
    </w:p>
    <w:p w14:paraId="1FA52AC9" w14:textId="77777777" w:rsidR="00702564" w:rsidRPr="00E05713" w:rsidRDefault="00702564" w:rsidP="00702564">
      <w:pPr>
        <w:rPr>
          <w:sz w:val="24"/>
          <w:szCs w:val="24"/>
        </w:rPr>
      </w:pPr>
      <w:r w:rsidRPr="00E05713">
        <w:rPr>
          <w:sz w:val="24"/>
          <w:szCs w:val="24"/>
        </w:rPr>
        <w:t xml:space="preserve">Generellt sett är män äldre och skörare än kvinnor när de drabbas av osteoporos och frakturer. En majoritet av män med osteoporos har multipla riskfaktorer som inkluderar hypogonadism, medicinering (kortison, GnRh-analoger) och ofördelaktiga levnadsvanor såsom t.ex. rökning och hög alkoholkonsumtion. Bisfosfonater, denosumab och teriparatid är godkända för behandling av osteoporos hos män. </w:t>
      </w:r>
    </w:p>
    <w:p w14:paraId="1E672E33" w14:textId="77777777" w:rsidR="00702564" w:rsidRPr="009A13FF" w:rsidRDefault="00702564" w:rsidP="00702564">
      <w:pPr>
        <w:jc w:val="both"/>
        <w:rPr>
          <w:rFonts w:eastAsia="Garamond" w:cs="Garamond"/>
          <w:b/>
          <w:bCs/>
          <w:highlight w:val="yellow"/>
        </w:rPr>
      </w:pPr>
    </w:p>
    <w:p w14:paraId="77641172" w14:textId="77777777" w:rsidR="00702564" w:rsidRPr="00E05713" w:rsidRDefault="00702564" w:rsidP="00702564">
      <w:pPr>
        <w:jc w:val="both"/>
        <w:rPr>
          <w:rFonts w:eastAsia="Garamond" w:cs="Garamond"/>
          <w:b/>
          <w:bCs/>
        </w:rPr>
      </w:pPr>
      <w:r w:rsidRPr="00E05713">
        <w:rPr>
          <w:rFonts w:eastAsia="Garamond" w:cs="Garamond"/>
          <w:b/>
          <w:bCs/>
        </w:rPr>
        <w:lastRenderedPageBreak/>
        <w:t xml:space="preserve">Barn </w:t>
      </w:r>
    </w:p>
    <w:p w14:paraId="54FE4816" w14:textId="77777777" w:rsidR="00702564" w:rsidRPr="00E05713" w:rsidRDefault="00702564" w:rsidP="00702564">
      <w:pPr>
        <w:rPr>
          <w:sz w:val="24"/>
          <w:szCs w:val="24"/>
        </w:rPr>
      </w:pPr>
      <w:r w:rsidRPr="00E05713">
        <w:rPr>
          <w:sz w:val="24"/>
          <w:szCs w:val="24"/>
        </w:rPr>
        <w:t xml:space="preserve">Benskörhet förekommer hos barn och ungdomar, men är sällsynt såväl i primär som sekundär form. Utredning och behandling av dessa tillstånd bör ske av barnläkare vid barnklinik. </w:t>
      </w:r>
    </w:p>
    <w:p w14:paraId="3A204FA1" w14:textId="77777777" w:rsidR="00702564" w:rsidRPr="009A13FF" w:rsidRDefault="00702564" w:rsidP="00702564">
      <w:pPr>
        <w:jc w:val="both"/>
        <w:rPr>
          <w:rFonts w:eastAsia="Garamond" w:cs="Garamond"/>
          <w:highlight w:val="yellow"/>
        </w:rPr>
      </w:pPr>
      <w:r w:rsidRPr="009A13FF">
        <w:rPr>
          <w:rFonts w:eastAsia="Garamond" w:cs="Garamond"/>
          <w:highlight w:val="yellow"/>
        </w:rPr>
        <w:t xml:space="preserve"> </w:t>
      </w:r>
    </w:p>
    <w:p w14:paraId="049BB2F3" w14:textId="77777777" w:rsidR="00702564" w:rsidRPr="00E05713" w:rsidRDefault="00702564" w:rsidP="00702564">
      <w:pPr>
        <w:jc w:val="both"/>
        <w:rPr>
          <w:rFonts w:eastAsia="Garamond" w:cs="Garamond"/>
          <w:b/>
          <w:bCs/>
        </w:rPr>
      </w:pPr>
      <w:r w:rsidRPr="00E05713">
        <w:rPr>
          <w:rStyle w:val="Rubrik3Char"/>
        </w:rPr>
        <w:t>Osteoporos och fysisk aktivitet</w:t>
      </w:r>
      <w:r w:rsidRPr="00E05713">
        <w:rPr>
          <w:rFonts w:eastAsia="Garamond" w:cs="Garamond"/>
          <w:b/>
          <w:bCs/>
        </w:rPr>
        <w:t xml:space="preserve"> </w:t>
      </w:r>
    </w:p>
    <w:p w14:paraId="642CD77C" w14:textId="77777777" w:rsidR="00702564" w:rsidRPr="00E05713" w:rsidRDefault="00702564" w:rsidP="00702564">
      <w:pPr>
        <w:jc w:val="both"/>
        <w:rPr>
          <w:rFonts w:eastAsia="Garamond" w:cs="Garamond"/>
          <w:b/>
          <w:bCs/>
        </w:rPr>
      </w:pPr>
      <w:r w:rsidRPr="00E05713">
        <w:rPr>
          <w:rFonts w:eastAsia="Garamond" w:cs="Garamond"/>
          <w:b/>
          <w:bCs/>
        </w:rPr>
        <w:t xml:space="preserve"> </w:t>
      </w:r>
      <w:r w:rsidRPr="00E05713">
        <w:rPr>
          <w:sz w:val="24"/>
          <w:szCs w:val="24"/>
        </w:rPr>
        <w:t>Personer med osteoporos bör i första hand rekommenderas muskelstärkande fysisk aktivitet i kombination med annan fysisk aktivitet som belastar skelettet för att bromsa benförlust, öka bentäthet, minska fall och fallfrakturer samt förbättra livskvalitet. Vid fallbenägenhet rekommenderas även balansträning. Dessutom bör aerob fysisk aktivitet rekommenderas utifrån allmänna rekommendationer om fysisk aktivitet. Vid manifest osteoporos, framför allt hos äldre, rekommenderas anpassad muskelstärkande fysisk aktivitet i kombination med balansträning och promenad. Jogging bör undvikas pga. ökad risk för fall och frakturer. För mer information, se FYSS kapitel Osteoporos.</w:t>
      </w:r>
    </w:p>
    <w:p w14:paraId="2753ADA1" w14:textId="77777777" w:rsidR="00702564" w:rsidRPr="00E05713" w:rsidRDefault="00702564" w:rsidP="00702564">
      <w:pPr>
        <w:pStyle w:val="Rubrik3"/>
      </w:pPr>
      <w:r w:rsidRPr="00E05713">
        <w:t>Rekommenderad fallprevention</w:t>
      </w:r>
    </w:p>
    <w:p w14:paraId="5038BD73" w14:textId="77777777" w:rsidR="00702564" w:rsidRDefault="00702564" w:rsidP="00702564">
      <w:pPr>
        <w:rPr>
          <w:sz w:val="24"/>
          <w:szCs w:val="24"/>
        </w:rPr>
      </w:pPr>
      <w:r w:rsidRPr="00E05713">
        <w:rPr>
          <w:sz w:val="24"/>
          <w:szCs w:val="24"/>
        </w:rPr>
        <w:t>Fall utgör den vanligaste orsaken till att äldre skadas, ofta med allvarliga medicinska konsekvenser. Äldre på särskilda boenden eller sjukhus löper större risk att falla. Individanpassade fallpreventiva åtgärder bör därför utföras. Åtgärder som individuell riskbedömning, fysisk aktivitet, läkemedelsgenomgång med minskning/utsättning av olämpliga läkemedel, hjälpmedel (inklusive synhjälpmedel) och åtgärder i boendemiljön rekommenderas.</w:t>
      </w:r>
    </w:p>
    <w:p w14:paraId="2BC8B4F4" w14:textId="77777777" w:rsidR="00702564" w:rsidRDefault="00702564" w:rsidP="00702564">
      <w:pPr>
        <w:tabs>
          <w:tab w:val="clear" w:pos="284"/>
        </w:tabs>
        <w:spacing w:after="120" w:line="260" w:lineRule="atLeast"/>
        <w:rPr>
          <w:sz w:val="24"/>
          <w:szCs w:val="24"/>
        </w:rPr>
      </w:pPr>
      <w:r>
        <w:rPr>
          <w:sz w:val="24"/>
          <w:szCs w:val="24"/>
        </w:rPr>
        <w:br w:type="page"/>
      </w:r>
    </w:p>
    <w:p w14:paraId="4DD2B5C1" w14:textId="77777777" w:rsidR="00702564" w:rsidRDefault="00702564" w:rsidP="00702564">
      <w:pPr>
        <w:pStyle w:val="Rubrik1"/>
      </w:pPr>
      <w:r w:rsidRPr="00E05713">
        <w:lastRenderedPageBreak/>
        <w:t>Psykiatri</w:t>
      </w:r>
    </w:p>
    <w:p w14:paraId="27938109" w14:textId="77777777" w:rsidR="00702564" w:rsidRPr="00F60C06" w:rsidRDefault="00702564" w:rsidP="00702564">
      <w:pPr>
        <w:rPr>
          <w:b/>
          <w:bCs/>
          <w:sz w:val="24"/>
          <w:szCs w:val="24"/>
        </w:rPr>
      </w:pPr>
      <w:r>
        <w:rPr>
          <w:b/>
          <w:bCs/>
          <w:sz w:val="24"/>
          <w:szCs w:val="24"/>
        </w:rPr>
        <w:t>Uppdaterad: 2026-03-24</w:t>
      </w:r>
    </w:p>
    <w:p w14:paraId="60C9FA87" w14:textId="77777777" w:rsidR="00702564" w:rsidRPr="00785831" w:rsidRDefault="00702564" w:rsidP="00702564">
      <w:pPr>
        <w:pStyle w:val="Rubrik2"/>
      </w:pPr>
      <w:r w:rsidRPr="00785831">
        <w:t>Terapigruppsmedlemmar</w:t>
      </w:r>
    </w:p>
    <w:p w14:paraId="3F9CF917" w14:textId="77777777" w:rsidR="00702564" w:rsidRPr="00785831" w:rsidRDefault="00702564" w:rsidP="00702564">
      <w:pPr>
        <w:rPr>
          <w:sz w:val="24"/>
          <w:szCs w:val="24"/>
        </w:rPr>
      </w:pPr>
      <w:r w:rsidRPr="000D2FA6">
        <w:rPr>
          <w:sz w:val="24"/>
          <w:szCs w:val="24"/>
        </w:rPr>
        <w:t>Juraj Mikulas ordförande, specialistläkare, psykiatri</w:t>
      </w:r>
    </w:p>
    <w:p w14:paraId="040CBE5A" w14:textId="77777777" w:rsidR="00702564" w:rsidRPr="00785831" w:rsidRDefault="00702564" w:rsidP="00702564">
      <w:pPr>
        <w:rPr>
          <w:sz w:val="24"/>
          <w:szCs w:val="24"/>
        </w:rPr>
      </w:pPr>
      <w:r w:rsidRPr="00785831">
        <w:rPr>
          <w:sz w:val="24"/>
          <w:szCs w:val="24"/>
        </w:rPr>
        <w:t>Simona Petrovici, specialistläkare, psykiatri</w:t>
      </w:r>
    </w:p>
    <w:p w14:paraId="77EF31BF" w14:textId="77777777" w:rsidR="00702564" w:rsidRPr="00785831" w:rsidRDefault="00702564" w:rsidP="00702564">
      <w:pPr>
        <w:rPr>
          <w:sz w:val="24"/>
          <w:szCs w:val="24"/>
        </w:rPr>
      </w:pPr>
      <w:r>
        <w:rPr>
          <w:sz w:val="24"/>
          <w:szCs w:val="24"/>
        </w:rPr>
        <w:t>Zofia Rys</w:t>
      </w:r>
      <w:r w:rsidRPr="00785831">
        <w:rPr>
          <w:sz w:val="24"/>
          <w:szCs w:val="24"/>
        </w:rPr>
        <w:t xml:space="preserve">, </w:t>
      </w:r>
      <w:r>
        <w:rPr>
          <w:sz w:val="24"/>
          <w:szCs w:val="24"/>
        </w:rPr>
        <w:t>familjeläkare, Kallinge vårdcentral</w:t>
      </w:r>
      <w:r>
        <w:rPr>
          <w:sz w:val="24"/>
          <w:szCs w:val="24"/>
        </w:rPr>
        <w:br/>
      </w:r>
      <w:r w:rsidRPr="006964B4">
        <w:rPr>
          <w:sz w:val="24"/>
          <w:szCs w:val="24"/>
        </w:rPr>
        <w:t>Silke Meyer, specialistläkare, psykiatri</w:t>
      </w:r>
    </w:p>
    <w:p w14:paraId="2E546F4A" w14:textId="77777777" w:rsidR="00702564" w:rsidRPr="00785831" w:rsidRDefault="00702564" w:rsidP="00702564">
      <w:pPr>
        <w:rPr>
          <w:sz w:val="24"/>
          <w:szCs w:val="24"/>
        </w:rPr>
      </w:pPr>
      <w:r w:rsidRPr="00785831">
        <w:rPr>
          <w:sz w:val="24"/>
          <w:szCs w:val="24"/>
        </w:rPr>
        <w:t>Anna Lengstedt, klinisk farmaceut</w:t>
      </w:r>
      <w:r>
        <w:rPr>
          <w:sz w:val="24"/>
          <w:szCs w:val="24"/>
        </w:rPr>
        <w:t>, Läkemedelsenheten</w:t>
      </w:r>
    </w:p>
    <w:p w14:paraId="783E29F2" w14:textId="77777777" w:rsidR="00702564" w:rsidRPr="0071138D" w:rsidRDefault="00702564" w:rsidP="00702564">
      <w:pPr>
        <w:spacing w:line="240" w:lineRule="exact"/>
        <w:rPr>
          <w:sz w:val="24"/>
          <w:szCs w:val="24"/>
        </w:rPr>
      </w:pPr>
    </w:p>
    <w:p w14:paraId="03DC0E5F" w14:textId="77777777" w:rsidR="00702564" w:rsidRPr="00785831" w:rsidRDefault="00702564" w:rsidP="00702564">
      <w:pPr>
        <w:pStyle w:val="Rubrik2"/>
      </w:pPr>
      <w:r w:rsidRPr="00785831">
        <w:t>Alkoholbruks</w:t>
      </w:r>
      <w:r>
        <w:t>s</w:t>
      </w:r>
      <w:r w:rsidRPr="00785831">
        <w:t xml:space="preserve">yndrom                            </w:t>
      </w:r>
    </w:p>
    <w:p w14:paraId="2C2003E4" w14:textId="77777777" w:rsidR="00702564" w:rsidRDefault="00702564" w:rsidP="00702564">
      <w:pPr>
        <w:rPr>
          <w:b/>
          <w:bCs/>
          <w:i/>
          <w:iCs/>
          <w:sz w:val="28"/>
          <w:szCs w:val="28"/>
        </w:rPr>
      </w:pPr>
      <w:r w:rsidRPr="1C8584D4">
        <w:rPr>
          <w:rFonts w:asciiTheme="majorHAnsi" w:eastAsiaTheme="majorEastAsia" w:hAnsiTheme="majorHAnsi" w:cstheme="majorBidi"/>
          <w:b/>
          <w:bCs/>
        </w:rPr>
        <w:t xml:space="preserve">Senast uppdaterad </w:t>
      </w:r>
      <w:r>
        <w:rPr>
          <w:rFonts w:asciiTheme="majorHAnsi" w:eastAsiaTheme="majorEastAsia" w:hAnsiTheme="majorHAnsi" w:cstheme="majorBidi"/>
          <w:b/>
          <w:bCs/>
        </w:rPr>
        <w:t>20</w:t>
      </w:r>
      <w:r w:rsidRPr="1C8584D4">
        <w:rPr>
          <w:rFonts w:asciiTheme="majorHAnsi" w:eastAsiaTheme="majorEastAsia" w:hAnsiTheme="majorHAnsi" w:cstheme="majorBidi"/>
          <w:b/>
          <w:bCs/>
        </w:rPr>
        <w:t>2</w:t>
      </w:r>
      <w:r>
        <w:rPr>
          <w:rFonts w:asciiTheme="majorHAnsi" w:eastAsiaTheme="majorEastAsia" w:hAnsiTheme="majorHAnsi" w:cstheme="majorBidi"/>
          <w:b/>
          <w:bCs/>
        </w:rPr>
        <w:t>6-02-12</w:t>
      </w:r>
      <w:r w:rsidRPr="1C8584D4">
        <w:rPr>
          <w:b/>
          <w:bCs/>
          <w:i/>
          <w:iCs/>
          <w:sz w:val="28"/>
          <w:szCs w:val="28"/>
        </w:rPr>
        <w:t xml:space="preserve">   </w:t>
      </w:r>
    </w:p>
    <w:p w14:paraId="63421034" w14:textId="77777777" w:rsidR="00702564" w:rsidRDefault="00702564" w:rsidP="00702564">
      <w:pPr>
        <w:rPr>
          <w:b/>
          <w:bCs/>
          <w:i/>
          <w:iCs/>
          <w:sz w:val="28"/>
          <w:szCs w:val="28"/>
        </w:rPr>
      </w:pPr>
    </w:p>
    <w:p w14:paraId="78747494" w14:textId="77777777" w:rsidR="00702564" w:rsidRPr="00D31F94" w:rsidRDefault="00702564" w:rsidP="00702564">
      <w:pPr>
        <w:rPr>
          <w:sz w:val="24"/>
          <w:szCs w:val="24"/>
        </w:rPr>
      </w:pPr>
      <w:r w:rsidRPr="3A20558F">
        <w:rPr>
          <w:sz w:val="24"/>
          <w:szCs w:val="24"/>
        </w:rPr>
        <w:t>Fysisk aktivitet och icke-farmakologisk behandling är en betydelsefull del i terapin vid sömnbesvär, depression, ångest och andra psykiatriska tillstånd.</w:t>
      </w:r>
    </w:p>
    <w:p w14:paraId="26A93BDE" w14:textId="77777777" w:rsidR="00702564" w:rsidRPr="00D31F94" w:rsidRDefault="00702564" w:rsidP="00702564">
      <w:pPr>
        <w:rPr>
          <w:sz w:val="24"/>
          <w:szCs w:val="24"/>
        </w:rPr>
      </w:pPr>
      <w:r w:rsidRPr="00D31F94">
        <w:rPr>
          <w:sz w:val="24"/>
          <w:szCs w:val="24"/>
        </w:rPr>
        <w:t xml:space="preserve">                  </w:t>
      </w:r>
    </w:p>
    <w:tbl>
      <w:tblPr>
        <w:tblStyle w:val="RegionBlekinge-medlinjer"/>
        <w:tblW w:w="0" w:type="auto"/>
        <w:tblLook w:val="04A0" w:firstRow="1" w:lastRow="0" w:firstColumn="1" w:lastColumn="0" w:noHBand="0" w:noVBand="1"/>
      </w:tblPr>
      <w:tblGrid>
        <w:gridCol w:w="4596"/>
        <w:gridCol w:w="4596"/>
      </w:tblGrid>
      <w:tr w:rsidR="00702564" w:rsidRPr="008453A0" w14:paraId="41FD29A1" w14:textId="77777777" w:rsidTr="00632FCC">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596" w:type="dxa"/>
          </w:tcPr>
          <w:p w14:paraId="456A6EEB" w14:textId="77777777" w:rsidR="00702564" w:rsidRPr="008453A0" w:rsidRDefault="00702564" w:rsidP="00632FCC">
            <w:pPr>
              <w:rPr>
                <w:rFonts w:asciiTheme="minorHAnsi" w:hAnsiTheme="minorHAnsi"/>
                <w:b w:val="0"/>
                <w:sz w:val="24"/>
                <w:szCs w:val="24"/>
              </w:rPr>
            </w:pPr>
            <w:r w:rsidRPr="3A20558F">
              <w:rPr>
                <w:sz w:val="24"/>
                <w:szCs w:val="24"/>
              </w:rPr>
              <w:t>akamprosat</w:t>
            </w:r>
          </w:p>
        </w:tc>
        <w:tc>
          <w:tcPr>
            <w:tcW w:w="4596" w:type="dxa"/>
          </w:tcPr>
          <w:p w14:paraId="1F2DFAD9" w14:textId="77777777" w:rsidR="00702564" w:rsidRPr="008453A0" w:rsidRDefault="00702564" w:rsidP="00632FCC">
            <w:pP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4"/>
                <w:szCs w:val="24"/>
              </w:rPr>
            </w:pPr>
            <w:r w:rsidRPr="3A20558F">
              <w:rPr>
                <w:b w:val="0"/>
                <w:sz w:val="24"/>
                <w:szCs w:val="24"/>
              </w:rPr>
              <w:t>Campral</w:t>
            </w:r>
          </w:p>
        </w:tc>
      </w:tr>
      <w:tr w:rsidR="00702564" w:rsidRPr="008453A0" w14:paraId="65E41BE6" w14:textId="77777777" w:rsidTr="00632FCC">
        <w:trPr>
          <w:trHeight w:val="306"/>
        </w:trPr>
        <w:tc>
          <w:tcPr>
            <w:cnfStyle w:val="001000000000" w:firstRow="0" w:lastRow="0" w:firstColumn="1" w:lastColumn="0" w:oddVBand="0" w:evenVBand="0" w:oddHBand="0" w:evenHBand="0" w:firstRowFirstColumn="0" w:firstRowLastColumn="0" w:lastRowFirstColumn="0" w:lastRowLastColumn="0"/>
            <w:tcW w:w="4596" w:type="dxa"/>
          </w:tcPr>
          <w:p w14:paraId="2832D451" w14:textId="77777777" w:rsidR="00702564" w:rsidRPr="008453A0" w:rsidRDefault="00702564" w:rsidP="00632FCC">
            <w:pPr>
              <w:rPr>
                <w:rFonts w:asciiTheme="minorHAnsi" w:hAnsiTheme="minorHAnsi"/>
                <w:b w:val="0"/>
                <w:sz w:val="24"/>
                <w:szCs w:val="24"/>
              </w:rPr>
            </w:pPr>
            <w:r w:rsidRPr="3A20558F">
              <w:rPr>
                <w:sz w:val="24"/>
                <w:szCs w:val="24"/>
              </w:rPr>
              <w:t>naltrexon</w:t>
            </w:r>
          </w:p>
        </w:tc>
        <w:tc>
          <w:tcPr>
            <w:tcW w:w="4596" w:type="dxa"/>
          </w:tcPr>
          <w:p w14:paraId="4107DE33"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3A20558F">
              <w:rPr>
                <w:sz w:val="24"/>
                <w:szCs w:val="24"/>
              </w:rPr>
              <w:t>Naltrexon</w:t>
            </w:r>
          </w:p>
        </w:tc>
      </w:tr>
      <w:tr w:rsidR="00702564" w:rsidRPr="008453A0" w14:paraId="7CD5FA85" w14:textId="77777777" w:rsidTr="00632FCC">
        <w:trPr>
          <w:trHeight w:val="294"/>
        </w:trPr>
        <w:tc>
          <w:tcPr>
            <w:cnfStyle w:val="001000000000" w:firstRow="0" w:lastRow="0" w:firstColumn="1" w:lastColumn="0" w:oddVBand="0" w:evenVBand="0" w:oddHBand="0" w:evenHBand="0" w:firstRowFirstColumn="0" w:firstRowLastColumn="0" w:lastRowFirstColumn="0" w:lastRowLastColumn="0"/>
            <w:tcW w:w="4596" w:type="dxa"/>
          </w:tcPr>
          <w:p w14:paraId="7B0F2A6E" w14:textId="77777777" w:rsidR="00702564" w:rsidRPr="008453A0" w:rsidRDefault="00702564" w:rsidP="00632FCC">
            <w:pPr>
              <w:rPr>
                <w:rFonts w:asciiTheme="minorHAnsi" w:hAnsiTheme="minorHAnsi"/>
                <w:b w:val="0"/>
                <w:sz w:val="24"/>
                <w:szCs w:val="24"/>
              </w:rPr>
            </w:pPr>
            <w:r w:rsidRPr="3A20558F">
              <w:rPr>
                <w:sz w:val="24"/>
                <w:szCs w:val="24"/>
              </w:rPr>
              <w:t>disulfiram</w:t>
            </w:r>
          </w:p>
        </w:tc>
        <w:tc>
          <w:tcPr>
            <w:tcW w:w="4596" w:type="dxa"/>
          </w:tcPr>
          <w:p w14:paraId="0FDBC309"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3A20558F">
              <w:rPr>
                <w:sz w:val="24"/>
                <w:szCs w:val="24"/>
              </w:rPr>
              <w:t>Antabus</w:t>
            </w:r>
          </w:p>
        </w:tc>
      </w:tr>
      <w:tr w:rsidR="00702564" w:rsidRPr="008453A0" w14:paraId="7559E3B6" w14:textId="77777777" w:rsidTr="00632FCC">
        <w:trPr>
          <w:trHeight w:val="306"/>
        </w:trPr>
        <w:tc>
          <w:tcPr>
            <w:cnfStyle w:val="001000000000" w:firstRow="0" w:lastRow="0" w:firstColumn="1" w:lastColumn="0" w:oddVBand="0" w:evenVBand="0" w:oddHBand="0" w:evenHBand="0" w:firstRowFirstColumn="0" w:firstRowLastColumn="0" w:lastRowFirstColumn="0" w:lastRowLastColumn="0"/>
            <w:tcW w:w="4596" w:type="dxa"/>
          </w:tcPr>
          <w:p w14:paraId="37F8C0BF" w14:textId="77777777" w:rsidR="00702564" w:rsidRPr="008453A0" w:rsidRDefault="00702564" w:rsidP="00632FCC">
            <w:pPr>
              <w:rPr>
                <w:rFonts w:asciiTheme="minorHAnsi" w:hAnsiTheme="minorHAnsi"/>
                <w:b w:val="0"/>
                <w:sz w:val="24"/>
                <w:szCs w:val="24"/>
              </w:rPr>
            </w:pPr>
            <w:r w:rsidRPr="3A20558F">
              <w:rPr>
                <w:sz w:val="24"/>
                <w:szCs w:val="24"/>
              </w:rPr>
              <w:t>tiamin</w:t>
            </w:r>
          </w:p>
        </w:tc>
        <w:tc>
          <w:tcPr>
            <w:tcW w:w="4596" w:type="dxa"/>
          </w:tcPr>
          <w:p w14:paraId="5D071FC0"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8453A0">
              <w:rPr>
                <w:sz w:val="24"/>
                <w:szCs w:val="24"/>
              </w:rPr>
              <w:t>Beviplex forte</w:t>
            </w:r>
            <w:r w:rsidRPr="008453A0">
              <w:rPr>
                <w:sz w:val="24"/>
                <w:szCs w:val="24"/>
              </w:rPr>
              <w:tab/>
            </w:r>
          </w:p>
        </w:tc>
      </w:tr>
      <w:tr w:rsidR="00702564" w:rsidRPr="008453A0" w14:paraId="61E53376" w14:textId="77777777" w:rsidTr="00632FCC">
        <w:trPr>
          <w:trHeight w:val="306"/>
        </w:trPr>
        <w:tc>
          <w:tcPr>
            <w:cnfStyle w:val="001000000000" w:firstRow="0" w:lastRow="0" w:firstColumn="1" w:lastColumn="0" w:oddVBand="0" w:evenVBand="0" w:oddHBand="0" w:evenHBand="0" w:firstRowFirstColumn="0" w:firstRowLastColumn="0" w:lastRowFirstColumn="0" w:lastRowLastColumn="0"/>
            <w:tcW w:w="4596" w:type="dxa"/>
          </w:tcPr>
          <w:p w14:paraId="1481AA97" w14:textId="77777777" w:rsidR="00702564" w:rsidRPr="008453A0" w:rsidRDefault="00702564" w:rsidP="00632FCC">
            <w:pPr>
              <w:rPr>
                <w:rFonts w:asciiTheme="minorHAnsi" w:hAnsiTheme="minorHAnsi"/>
                <w:b w:val="0"/>
                <w:sz w:val="24"/>
                <w:szCs w:val="24"/>
              </w:rPr>
            </w:pPr>
            <w:r w:rsidRPr="3A20558F">
              <w:rPr>
                <w:sz w:val="24"/>
                <w:szCs w:val="24"/>
              </w:rPr>
              <w:t>folsyra</w:t>
            </w:r>
          </w:p>
        </w:tc>
        <w:tc>
          <w:tcPr>
            <w:tcW w:w="4596" w:type="dxa"/>
          </w:tcPr>
          <w:p w14:paraId="4D7A24DE"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sz w:val="24"/>
                <w:szCs w:val="24"/>
              </w:rPr>
              <w:t>Folsyra</w:t>
            </w:r>
          </w:p>
        </w:tc>
      </w:tr>
    </w:tbl>
    <w:p w14:paraId="30F41567" w14:textId="77777777" w:rsidR="00702564" w:rsidRPr="001F129C" w:rsidRDefault="00702564" w:rsidP="00702564">
      <w:pPr>
        <w:pStyle w:val="Rubrik3"/>
      </w:pPr>
      <w:r>
        <w:t>Inledning</w:t>
      </w:r>
    </w:p>
    <w:p w14:paraId="1EE5DA99" w14:textId="77777777" w:rsidR="00702564" w:rsidRPr="00785831" w:rsidRDefault="00702564" w:rsidP="00702564">
      <w:pPr>
        <w:spacing w:before="120"/>
        <w:rPr>
          <w:color w:val="211F1A"/>
          <w:sz w:val="24"/>
          <w:szCs w:val="24"/>
        </w:rPr>
      </w:pPr>
      <w:r w:rsidRPr="00785831">
        <w:rPr>
          <w:color w:val="211F1A"/>
          <w:spacing w:val="2"/>
          <w:sz w:val="24"/>
          <w:szCs w:val="24"/>
        </w:rPr>
        <w:t>F</w:t>
      </w:r>
      <w:r w:rsidRPr="00785831">
        <w:rPr>
          <w:color w:val="211F1A"/>
          <w:spacing w:val="-1"/>
          <w:sz w:val="24"/>
          <w:szCs w:val="24"/>
        </w:rPr>
        <w:t>ö</w:t>
      </w:r>
      <w:r w:rsidRPr="00785831">
        <w:rPr>
          <w:color w:val="211F1A"/>
          <w:spacing w:val="-6"/>
          <w:sz w:val="24"/>
          <w:szCs w:val="24"/>
        </w:rPr>
        <w:t>r</w:t>
      </w:r>
      <w:r w:rsidRPr="00785831">
        <w:rPr>
          <w:color w:val="211F1A"/>
          <w:sz w:val="24"/>
          <w:szCs w:val="24"/>
        </w:rPr>
        <w:t>eko</w:t>
      </w:r>
      <w:r w:rsidRPr="00785831">
        <w:rPr>
          <w:color w:val="211F1A"/>
          <w:spacing w:val="-1"/>
          <w:sz w:val="24"/>
          <w:szCs w:val="24"/>
        </w:rPr>
        <w:t>m</w:t>
      </w:r>
      <w:r w:rsidRPr="00785831">
        <w:rPr>
          <w:color w:val="211F1A"/>
          <w:spacing w:val="-5"/>
          <w:sz w:val="24"/>
          <w:szCs w:val="24"/>
        </w:rPr>
        <w:t>s</w:t>
      </w:r>
      <w:r w:rsidRPr="00785831">
        <w:rPr>
          <w:color w:val="211F1A"/>
          <w:sz w:val="24"/>
          <w:szCs w:val="24"/>
        </w:rPr>
        <w:t>t</w:t>
      </w:r>
      <w:r w:rsidRPr="00785831">
        <w:rPr>
          <w:color w:val="211F1A"/>
          <w:spacing w:val="-6"/>
          <w:sz w:val="24"/>
          <w:szCs w:val="24"/>
        </w:rPr>
        <w:t xml:space="preserve"> </w:t>
      </w:r>
      <w:r w:rsidRPr="00785831">
        <w:rPr>
          <w:color w:val="211F1A"/>
          <w:sz w:val="24"/>
          <w:szCs w:val="24"/>
        </w:rPr>
        <w:t>av</w:t>
      </w:r>
      <w:r w:rsidRPr="00785831">
        <w:rPr>
          <w:color w:val="211F1A"/>
          <w:spacing w:val="-8"/>
          <w:sz w:val="24"/>
          <w:szCs w:val="24"/>
        </w:rPr>
        <w:t xml:space="preserve"> </w:t>
      </w:r>
      <w:r w:rsidRPr="00785831">
        <w:rPr>
          <w:color w:val="211F1A"/>
          <w:spacing w:val="-2"/>
          <w:sz w:val="24"/>
          <w:szCs w:val="24"/>
        </w:rPr>
        <w:t>a</w:t>
      </w:r>
      <w:r w:rsidRPr="00785831">
        <w:rPr>
          <w:color w:val="211F1A"/>
          <w:sz w:val="24"/>
          <w:szCs w:val="24"/>
        </w:rPr>
        <w:t>lko</w:t>
      </w:r>
      <w:r w:rsidRPr="00785831">
        <w:rPr>
          <w:color w:val="211F1A"/>
          <w:spacing w:val="-3"/>
          <w:sz w:val="24"/>
          <w:szCs w:val="24"/>
        </w:rPr>
        <w:t>h</w:t>
      </w:r>
      <w:r w:rsidRPr="00785831">
        <w:rPr>
          <w:color w:val="211F1A"/>
          <w:spacing w:val="-1"/>
          <w:sz w:val="24"/>
          <w:szCs w:val="24"/>
        </w:rPr>
        <w:t>o</w:t>
      </w:r>
      <w:r w:rsidRPr="00785831">
        <w:rPr>
          <w:color w:val="211F1A"/>
          <w:spacing w:val="-3"/>
          <w:sz w:val="24"/>
          <w:szCs w:val="24"/>
        </w:rPr>
        <w:t>lb</w:t>
      </w:r>
      <w:r w:rsidRPr="00785831">
        <w:rPr>
          <w:color w:val="211F1A"/>
          <w:spacing w:val="-2"/>
          <w:sz w:val="24"/>
          <w:szCs w:val="24"/>
        </w:rPr>
        <w:t>e</w:t>
      </w:r>
      <w:r w:rsidRPr="00785831">
        <w:rPr>
          <w:color w:val="211F1A"/>
          <w:spacing w:val="-1"/>
          <w:sz w:val="24"/>
          <w:szCs w:val="24"/>
        </w:rPr>
        <w:t>r</w:t>
      </w:r>
      <w:r w:rsidRPr="00785831">
        <w:rPr>
          <w:color w:val="211F1A"/>
          <w:spacing w:val="-5"/>
          <w:sz w:val="24"/>
          <w:szCs w:val="24"/>
        </w:rPr>
        <w:t>o</w:t>
      </w:r>
      <w:r w:rsidRPr="00785831">
        <w:rPr>
          <w:color w:val="211F1A"/>
          <w:sz w:val="24"/>
          <w:szCs w:val="24"/>
        </w:rPr>
        <w:t>e</w:t>
      </w:r>
      <w:r w:rsidRPr="00785831">
        <w:rPr>
          <w:color w:val="211F1A"/>
          <w:spacing w:val="-3"/>
          <w:sz w:val="24"/>
          <w:szCs w:val="24"/>
        </w:rPr>
        <w:t>n</w:t>
      </w:r>
      <w:r w:rsidRPr="00785831">
        <w:rPr>
          <w:color w:val="211F1A"/>
          <w:sz w:val="24"/>
          <w:szCs w:val="24"/>
        </w:rPr>
        <w:t>de</w:t>
      </w:r>
      <w:r w:rsidRPr="00785831">
        <w:rPr>
          <w:color w:val="211F1A"/>
          <w:spacing w:val="-4"/>
          <w:sz w:val="24"/>
          <w:szCs w:val="24"/>
        </w:rPr>
        <w:t xml:space="preserve"> </w:t>
      </w:r>
      <w:r w:rsidRPr="00785831">
        <w:rPr>
          <w:color w:val="211F1A"/>
          <w:sz w:val="24"/>
          <w:szCs w:val="24"/>
        </w:rPr>
        <w:t>i</w:t>
      </w:r>
      <w:r w:rsidRPr="00785831">
        <w:rPr>
          <w:color w:val="211F1A"/>
          <w:spacing w:val="-6"/>
          <w:sz w:val="24"/>
          <w:szCs w:val="24"/>
        </w:rPr>
        <w:t xml:space="preserve"> </w:t>
      </w:r>
      <w:r w:rsidRPr="00785831">
        <w:rPr>
          <w:color w:val="211F1A"/>
          <w:spacing w:val="-3"/>
          <w:sz w:val="24"/>
          <w:szCs w:val="24"/>
        </w:rPr>
        <w:t>vux</w:t>
      </w:r>
      <w:r w:rsidRPr="00785831">
        <w:rPr>
          <w:color w:val="211F1A"/>
          <w:sz w:val="24"/>
          <w:szCs w:val="24"/>
        </w:rPr>
        <w:t>en</w:t>
      </w:r>
      <w:r w:rsidRPr="00785831">
        <w:rPr>
          <w:color w:val="211F1A"/>
          <w:spacing w:val="-8"/>
          <w:sz w:val="24"/>
          <w:szCs w:val="24"/>
        </w:rPr>
        <w:t xml:space="preserve"> </w:t>
      </w:r>
      <w:r w:rsidRPr="00785831">
        <w:rPr>
          <w:color w:val="211F1A"/>
          <w:spacing w:val="-1"/>
          <w:sz w:val="24"/>
          <w:szCs w:val="24"/>
        </w:rPr>
        <w:t>b</w:t>
      </w:r>
      <w:r w:rsidRPr="00785831">
        <w:rPr>
          <w:color w:val="211F1A"/>
          <w:spacing w:val="-2"/>
          <w:sz w:val="24"/>
          <w:szCs w:val="24"/>
        </w:rPr>
        <w:t>e</w:t>
      </w:r>
      <w:r w:rsidRPr="00785831">
        <w:rPr>
          <w:color w:val="211F1A"/>
          <w:spacing w:val="-1"/>
          <w:sz w:val="24"/>
          <w:szCs w:val="24"/>
        </w:rPr>
        <w:t>fo</w:t>
      </w:r>
      <w:r w:rsidRPr="00785831">
        <w:rPr>
          <w:color w:val="211F1A"/>
          <w:spacing w:val="-6"/>
          <w:sz w:val="24"/>
          <w:szCs w:val="24"/>
        </w:rPr>
        <w:t>l</w:t>
      </w:r>
      <w:r w:rsidRPr="00785831">
        <w:rPr>
          <w:color w:val="211F1A"/>
          <w:spacing w:val="-3"/>
          <w:sz w:val="24"/>
          <w:szCs w:val="24"/>
        </w:rPr>
        <w:t>k</w:t>
      </w:r>
      <w:r w:rsidRPr="00785831">
        <w:rPr>
          <w:color w:val="211F1A"/>
          <w:spacing w:val="-1"/>
          <w:sz w:val="24"/>
          <w:szCs w:val="24"/>
        </w:rPr>
        <w:t>n</w:t>
      </w:r>
      <w:r w:rsidRPr="00785831">
        <w:rPr>
          <w:color w:val="211F1A"/>
          <w:sz w:val="24"/>
          <w:szCs w:val="24"/>
        </w:rPr>
        <w:t>i</w:t>
      </w:r>
      <w:r w:rsidRPr="00785831">
        <w:rPr>
          <w:color w:val="211F1A"/>
          <w:spacing w:val="-3"/>
          <w:sz w:val="24"/>
          <w:szCs w:val="24"/>
        </w:rPr>
        <w:t>n</w:t>
      </w:r>
      <w:r w:rsidRPr="00785831">
        <w:rPr>
          <w:color w:val="211F1A"/>
          <w:sz w:val="24"/>
          <w:szCs w:val="24"/>
        </w:rPr>
        <w:t>g</w:t>
      </w:r>
      <w:r w:rsidRPr="00785831">
        <w:rPr>
          <w:color w:val="211F1A"/>
          <w:spacing w:val="-8"/>
          <w:sz w:val="24"/>
          <w:szCs w:val="24"/>
        </w:rPr>
        <w:t xml:space="preserve"> </w:t>
      </w:r>
      <w:r w:rsidRPr="00785831">
        <w:rPr>
          <w:color w:val="211F1A"/>
          <w:spacing w:val="-2"/>
          <w:sz w:val="24"/>
          <w:szCs w:val="24"/>
        </w:rPr>
        <w:t>ä</w:t>
      </w:r>
      <w:r w:rsidRPr="00785831">
        <w:rPr>
          <w:color w:val="211F1A"/>
          <w:sz w:val="24"/>
          <w:szCs w:val="24"/>
        </w:rPr>
        <w:t>r</w:t>
      </w:r>
      <w:r w:rsidRPr="00785831">
        <w:rPr>
          <w:color w:val="211F1A"/>
          <w:spacing w:val="-9"/>
          <w:sz w:val="24"/>
          <w:szCs w:val="24"/>
        </w:rPr>
        <w:t xml:space="preserve"> </w:t>
      </w:r>
      <w:r w:rsidRPr="00785831">
        <w:rPr>
          <w:color w:val="211F1A"/>
          <w:sz w:val="24"/>
          <w:szCs w:val="24"/>
        </w:rPr>
        <w:t>ca</w:t>
      </w:r>
      <w:r w:rsidRPr="00785831">
        <w:rPr>
          <w:color w:val="211F1A"/>
          <w:spacing w:val="-5"/>
          <w:sz w:val="24"/>
          <w:szCs w:val="24"/>
        </w:rPr>
        <w:t xml:space="preserve"> </w:t>
      </w:r>
      <w:r w:rsidRPr="00785831">
        <w:rPr>
          <w:color w:val="211F1A"/>
          <w:sz w:val="24"/>
          <w:szCs w:val="24"/>
        </w:rPr>
        <w:t>5–7</w:t>
      </w:r>
      <w:r w:rsidRPr="00785831">
        <w:rPr>
          <w:color w:val="211F1A"/>
          <w:spacing w:val="-5"/>
          <w:sz w:val="24"/>
          <w:szCs w:val="24"/>
        </w:rPr>
        <w:t> </w:t>
      </w:r>
      <w:r w:rsidRPr="00785831">
        <w:rPr>
          <w:color w:val="211F1A"/>
          <w:spacing w:val="-1"/>
          <w:sz w:val="24"/>
          <w:szCs w:val="24"/>
        </w:rPr>
        <w:t>%</w:t>
      </w:r>
      <w:r w:rsidRPr="00785831">
        <w:rPr>
          <w:color w:val="211F1A"/>
          <w:sz w:val="24"/>
          <w:szCs w:val="24"/>
        </w:rPr>
        <w:t>.</w:t>
      </w:r>
      <w:r w:rsidRPr="00785831">
        <w:rPr>
          <w:color w:val="211F1A"/>
          <w:spacing w:val="-8"/>
          <w:sz w:val="24"/>
          <w:szCs w:val="24"/>
        </w:rPr>
        <w:t xml:space="preserve"> </w:t>
      </w:r>
      <w:r w:rsidRPr="00785831">
        <w:rPr>
          <w:color w:val="211F1A"/>
          <w:spacing w:val="-1"/>
          <w:sz w:val="24"/>
          <w:szCs w:val="24"/>
        </w:rPr>
        <w:t>I</w:t>
      </w:r>
      <w:r w:rsidRPr="00785831">
        <w:rPr>
          <w:color w:val="211F1A"/>
          <w:spacing w:val="-6"/>
          <w:sz w:val="24"/>
          <w:szCs w:val="24"/>
        </w:rPr>
        <w:t xml:space="preserve"> </w:t>
      </w:r>
      <w:r w:rsidRPr="00785831">
        <w:rPr>
          <w:color w:val="211F1A"/>
          <w:spacing w:val="-2"/>
          <w:sz w:val="24"/>
          <w:szCs w:val="24"/>
        </w:rPr>
        <w:t>e</w:t>
      </w:r>
      <w:r w:rsidRPr="00785831">
        <w:rPr>
          <w:color w:val="211F1A"/>
          <w:spacing w:val="-1"/>
          <w:sz w:val="24"/>
          <w:szCs w:val="24"/>
        </w:rPr>
        <w:t>t</w:t>
      </w:r>
      <w:r w:rsidRPr="00785831">
        <w:rPr>
          <w:color w:val="211F1A"/>
          <w:sz w:val="24"/>
          <w:szCs w:val="24"/>
        </w:rPr>
        <w:t>t</w:t>
      </w:r>
      <w:r w:rsidRPr="00785831">
        <w:rPr>
          <w:color w:val="211F1A"/>
          <w:spacing w:val="-9"/>
          <w:sz w:val="24"/>
          <w:szCs w:val="24"/>
        </w:rPr>
        <w:t xml:space="preserve"> </w:t>
      </w:r>
      <w:r w:rsidRPr="00785831">
        <w:rPr>
          <w:color w:val="211F1A"/>
          <w:spacing w:val="-1"/>
          <w:sz w:val="24"/>
          <w:szCs w:val="24"/>
        </w:rPr>
        <w:t>p</w:t>
      </w:r>
      <w:r w:rsidRPr="00785831">
        <w:rPr>
          <w:color w:val="211F1A"/>
          <w:spacing w:val="-2"/>
          <w:sz w:val="24"/>
          <w:szCs w:val="24"/>
        </w:rPr>
        <w:t>a</w:t>
      </w:r>
      <w:r w:rsidRPr="00785831">
        <w:rPr>
          <w:color w:val="211F1A"/>
          <w:spacing w:val="-1"/>
          <w:sz w:val="24"/>
          <w:szCs w:val="24"/>
        </w:rPr>
        <w:t>t</w:t>
      </w:r>
      <w:r w:rsidRPr="00785831">
        <w:rPr>
          <w:color w:val="211F1A"/>
          <w:spacing w:val="-3"/>
          <w:sz w:val="24"/>
          <w:szCs w:val="24"/>
        </w:rPr>
        <w:t>i</w:t>
      </w:r>
      <w:r w:rsidRPr="00785831">
        <w:rPr>
          <w:color w:val="211F1A"/>
          <w:sz w:val="24"/>
          <w:szCs w:val="24"/>
        </w:rPr>
        <w:t>entk</w:t>
      </w:r>
      <w:r w:rsidRPr="00785831">
        <w:rPr>
          <w:color w:val="211F1A"/>
          <w:spacing w:val="-2"/>
          <w:sz w:val="24"/>
          <w:szCs w:val="24"/>
        </w:rPr>
        <w:t>l</w:t>
      </w:r>
      <w:r w:rsidRPr="00785831">
        <w:rPr>
          <w:color w:val="211F1A"/>
          <w:sz w:val="24"/>
          <w:szCs w:val="24"/>
        </w:rPr>
        <w:t>i</w:t>
      </w:r>
      <w:r w:rsidRPr="00785831">
        <w:rPr>
          <w:color w:val="211F1A"/>
          <w:spacing w:val="-2"/>
          <w:sz w:val="24"/>
          <w:szCs w:val="24"/>
        </w:rPr>
        <w:t>e</w:t>
      </w:r>
      <w:r w:rsidRPr="00785831">
        <w:rPr>
          <w:color w:val="211F1A"/>
          <w:sz w:val="24"/>
          <w:szCs w:val="24"/>
        </w:rPr>
        <w:t>n</w:t>
      </w:r>
      <w:r w:rsidRPr="00785831">
        <w:rPr>
          <w:color w:val="211F1A"/>
          <w:spacing w:val="-1"/>
          <w:sz w:val="24"/>
          <w:szCs w:val="24"/>
        </w:rPr>
        <w:t>t</w:t>
      </w:r>
      <w:r w:rsidRPr="00785831">
        <w:rPr>
          <w:color w:val="211F1A"/>
          <w:spacing w:val="-2"/>
          <w:sz w:val="24"/>
          <w:szCs w:val="24"/>
        </w:rPr>
        <w:t>e</w:t>
      </w:r>
      <w:r w:rsidRPr="00785831">
        <w:rPr>
          <w:color w:val="211F1A"/>
          <w:sz w:val="24"/>
          <w:szCs w:val="24"/>
        </w:rPr>
        <w:t>l</w:t>
      </w:r>
      <w:r w:rsidRPr="00785831">
        <w:rPr>
          <w:color w:val="211F1A"/>
          <w:spacing w:val="-6"/>
          <w:sz w:val="24"/>
          <w:szCs w:val="24"/>
        </w:rPr>
        <w:t xml:space="preserve"> </w:t>
      </w:r>
      <w:r w:rsidRPr="00785831">
        <w:rPr>
          <w:color w:val="211F1A"/>
          <w:spacing w:val="-3"/>
          <w:sz w:val="24"/>
          <w:szCs w:val="24"/>
        </w:rPr>
        <w:t>l</w:t>
      </w:r>
      <w:r w:rsidRPr="00785831">
        <w:rPr>
          <w:color w:val="211F1A"/>
          <w:sz w:val="24"/>
          <w:szCs w:val="24"/>
        </w:rPr>
        <w:t>ig</w:t>
      </w:r>
      <w:r w:rsidRPr="00785831">
        <w:rPr>
          <w:color w:val="211F1A"/>
          <w:spacing w:val="-2"/>
          <w:sz w:val="24"/>
          <w:szCs w:val="24"/>
        </w:rPr>
        <w:t>g</w:t>
      </w:r>
      <w:r w:rsidRPr="00785831">
        <w:rPr>
          <w:color w:val="211F1A"/>
          <w:sz w:val="24"/>
          <w:szCs w:val="24"/>
        </w:rPr>
        <w:t>er</w:t>
      </w:r>
      <w:r w:rsidRPr="00785831">
        <w:rPr>
          <w:color w:val="211F1A"/>
          <w:spacing w:val="-10"/>
          <w:sz w:val="24"/>
          <w:szCs w:val="24"/>
        </w:rPr>
        <w:t xml:space="preserve"> </w:t>
      </w:r>
      <w:r w:rsidRPr="00785831">
        <w:rPr>
          <w:color w:val="211F1A"/>
          <w:spacing w:val="-2"/>
          <w:sz w:val="24"/>
          <w:szCs w:val="24"/>
        </w:rPr>
        <w:t>s</w:t>
      </w:r>
      <w:r w:rsidRPr="00785831">
        <w:rPr>
          <w:color w:val="211F1A"/>
          <w:sz w:val="24"/>
          <w:szCs w:val="24"/>
        </w:rPr>
        <w:t>i</w:t>
      </w:r>
      <w:r w:rsidRPr="00785831">
        <w:rPr>
          <w:color w:val="211F1A"/>
          <w:spacing w:val="-1"/>
          <w:sz w:val="24"/>
          <w:szCs w:val="24"/>
        </w:rPr>
        <w:t>ffr</w:t>
      </w:r>
      <w:r w:rsidRPr="00785831">
        <w:rPr>
          <w:color w:val="211F1A"/>
          <w:sz w:val="24"/>
          <w:szCs w:val="24"/>
        </w:rPr>
        <w:t>an hö</w:t>
      </w:r>
      <w:r w:rsidRPr="00785831">
        <w:rPr>
          <w:color w:val="211F1A"/>
          <w:spacing w:val="-2"/>
          <w:sz w:val="24"/>
          <w:szCs w:val="24"/>
        </w:rPr>
        <w:t>g</w:t>
      </w:r>
      <w:r w:rsidRPr="00785831">
        <w:rPr>
          <w:color w:val="211F1A"/>
          <w:spacing w:val="-1"/>
          <w:sz w:val="24"/>
          <w:szCs w:val="24"/>
        </w:rPr>
        <w:t>r</w:t>
      </w:r>
      <w:r w:rsidRPr="00785831">
        <w:rPr>
          <w:color w:val="211F1A"/>
          <w:sz w:val="24"/>
          <w:szCs w:val="24"/>
        </w:rPr>
        <w:t>e: ca 17 % av patienterna i väntrummet på en vårdcentral anser själva, att deras alkoholkonsumtion skadar hälsan. S</w:t>
      </w:r>
      <w:r w:rsidRPr="00785831">
        <w:rPr>
          <w:color w:val="211F1A"/>
          <w:spacing w:val="-2"/>
          <w:sz w:val="24"/>
          <w:szCs w:val="24"/>
        </w:rPr>
        <w:t>e</w:t>
      </w:r>
      <w:r w:rsidRPr="00785831">
        <w:rPr>
          <w:color w:val="211F1A"/>
          <w:sz w:val="24"/>
          <w:szCs w:val="24"/>
        </w:rPr>
        <w:t>kun</w:t>
      </w:r>
      <w:r w:rsidRPr="00785831">
        <w:rPr>
          <w:color w:val="211F1A"/>
          <w:spacing w:val="-3"/>
          <w:sz w:val="24"/>
          <w:szCs w:val="24"/>
        </w:rPr>
        <w:t>d</w:t>
      </w:r>
      <w:r w:rsidRPr="00785831">
        <w:rPr>
          <w:color w:val="211F1A"/>
          <w:sz w:val="24"/>
          <w:szCs w:val="24"/>
        </w:rPr>
        <w:t>är</w:t>
      </w:r>
      <w:r w:rsidRPr="00785831">
        <w:rPr>
          <w:color w:val="211F1A"/>
          <w:spacing w:val="-4"/>
          <w:sz w:val="24"/>
          <w:szCs w:val="24"/>
        </w:rPr>
        <w:t>p</w:t>
      </w:r>
      <w:r w:rsidRPr="00785831">
        <w:rPr>
          <w:color w:val="211F1A"/>
          <w:spacing w:val="-1"/>
          <w:sz w:val="24"/>
          <w:szCs w:val="24"/>
        </w:rPr>
        <w:t>r</w:t>
      </w:r>
      <w:r w:rsidRPr="00785831">
        <w:rPr>
          <w:color w:val="211F1A"/>
          <w:spacing w:val="-2"/>
          <w:sz w:val="24"/>
          <w:szCs w:val="24"/>
        </w:rPr>
        <w:t>e</w:t>
      </w:r>
      <w:r w:rsidRPr="00785831">
        <w:rPr>
          <w:color w:val="211F1A"/>
          <w:spacing w:val="-3"/>
          <w:sz w:val="24"/>
          <w:szCs w:val="24"/>
        </w:rPr>
        <w:t>v</w:t>
      </w:r>
      <w:r w:rsidRPr="00785831">
        <w:rPr>
          <w:color w:val="211F1A"/>
          <w:sz w:val="24"/>
          <w:szCs w:val="24"/>
        </w:rPr>
        <w:t>ent</w:t>
      </w:r>
      <w:r w:rsidRPr="00785831">
        <w:rPr>
          <w:color w:val="211F1A"/>
          <w:spacing w:val="-2"/>
          <w:sz w:val="24"/>
          <w:szCs w:val="24"/>
        </w:rPr>
        <w:t>i</w:t>
      </w:r>
      <w:r w:rsidRPr="00785831">
        <w:rPr>
          <w:color w:val="211F1A"/>
          <w:spacing w:val="-5"/>
          <w:sz w:val="24"/>
          <w:szCs w:val="24"/>
        </w:rPr>
        <w:t>o</w:t>
      </w:r>
      <w:r w:rsidRPr="00785831">
        <w:rPr>
          <w:color w:val="211F1A"/>
          <w:sz w:val="24"/>
          <w:szCs w:val="24"/>
        </w:rPr>
        <w:t>n</w:t>
      </w:r>
      <w:r w:rsidRPr="00785831">
        <w:rPr>
          <w:color w:val="211F1A"/>
          <w:spacing w:val="-8"/>
          <w:sz w:val="24"/>
          <w:szCs w:val="24"/>
        </w:rPr>
        <w:t xml:space="preserve"> </w:t>
      </w:r>
      <w:r w:rsidRPr="00785831">
        <w:rPr>
          <w:color w:val="211F1A"/>
          <w:sz w:val="24"/>
          <w:szCs w:val="24"/>
        </w:rPr>
        <w:t>är</w:t>
      </w:r>
      <w:r w:rsidRPr="00785831">
        <w:rPr>
          <w:color w:val="211F1A"/>
          <w:spacing w:val="-9"/>
          <w:sz w:val="24"/>
          <w:szCs w:val="24"/>
        </w:rPr>
        <w:t xml:space="preserve"> </w:t>
      </w:r>
      <w:r w:rsidRPr="00785831">
        <w:rPr>
          <w:color w:val="211F1A"/>
          <w:spacing w:val="-2"/>
          <w:sz w:val="24"/>
          <w:szCs w:val="24"/>
        </w:rPr>
        <w:t>e</w:t>
      </w:r>
      <w:r w:rsidRPr="00785831">
        <w:rPr>
          <w:color w:val="211F1A"/>
          <w:sz w:val="24"/>
          <w:szCs w:val="24"/>
        </w:rPr>
        <w:t>n</w:t>
      </w:r>
      <w:r w:rsidRPr="00785831">
        <w:rPr>
          <w:color w:val="211F1A"/>
          <w:spacing w:val="-9"/>
          <w:sz w:val="24"/>
          <w:szCs w:val="24"/>
        </w:rPr>
        <w:t xml:space="preserve"> </w:t>
      </w:r>
      <w:r w:rsidRPr="00785831">
        <w:rPr>
          <w:color w:val="211F1A"/>
          <w:spacing w:val="-3"/>
          <w:sz w:val="24"/>
          <w:szCs w:val="24"/>
        </w:rPr>
        <w:t>vi</w:t>
      </w:r>
      <w:r w:rsidRPr="00785831">
        <w:rPr>
          <w:color w:val="211F1A"/>
          <w:sz w:val="24"/>
          <w:szCs w:val="24"/>
        </w:rPr>
        <w:t>k</w:t>
      </w:r>
      <w:r w:rsidRPr="00785831">
        <w:rPr>
          <w:color w:val="211F1A"/>
          <w:spacing w:val="-1"/>
          <w:sz w:val="24"/>
          <w:szCs w:val="24"/>
        </w:rPr>
        <w:t>t</w:t>
      </w:r>
      <w:r w:rsidRPr="00785831">
        <w:rPr>
          <w:color w:val="211F1A"/>
          <w:sz w:val="24"/>
          <w:szCs w:val="24"/>
        </w:rPr>
        <w:t>ig</w:t>
      </w:r>
      <w:r w:rsidRPr="00785831">
        <w:rPr>
          <w:color w:val="211F1A"/>
          <w:spacing w:val="-8"/>
          <w:sz w:val="24"/>
          <w:szCs w:val="24"/>
        </w:rPr>
        <w:t xml:space="preserve"> </w:t>
      </w:r>
      <w:r w:rsidRPr="00785831">
        <w:rPr>
          <w:color w:val="211F1A"/>
          <w:sz w:val="24"/>
          <w:szCs w:val="24"/>
        </w:rPr>
        <w:t>up</w:t>
      </w:r>
      <w:r w:rsidRPr="00785831">
        <w:rPr>
          <w:color w:val="211F1A"/>
          <w:spacing w:val="-1"/>
          <w:sz w:val="24"/>
          <w:szCs w:val="24"/>
        </w:rPr>
        <w:t>p</w:t>
      </w:r>
      <w:r w:rsidRPr="00785831">
        <w:rPr>
          <w:color w:val="211F1A"/>
          <w:spacing w:val="-2"/>
          <w:sz w:val="24"/>
          <w:szCs w:val="24"/>
        </w:rPr>
        <w:t>g</w:t>
      </w:r>
      <w:r w:rsidRPr="00785831">
        <w:rPr>
          <w:color w:val="211F1A"/>
          <w:sz w:val="24"/>
          <w:szCs w:val="24"/>
        </w:rPr>
        <w:t>i</w:t>
      </w:r>
      <w:r w:rsidRPr="00785831">
        <w:rPr>
          <w:color w:val="211F1A"/>
          <w:spacing w:val="-1"/>
          <w:sz w:val="24"/>
          <w:szCs w:val="24"/>
        </w:rPr>
        <w:t>f</w:t>
      </w:r>
      <w:r w:rsidRPr="00785831">
        <w:rPr>
          <w:color w:val="211F1A"/>
          <w:sz w:val="24"/>
          <w:szCs w:val="24"/>
        </w:rPr>
        <w:t>t</w:t>
      </w:r>
      <w:r w:rsidRPr="00785831">
        <w:rPr>
          <w:color w:val="211F1A"/>
          <w:spacing w:val="-11"/>
          <w:sz w:val="24"/>
          <w:szCs w:val="24"/>
        </w:rPr>
        <w:t xml:space="preserve"> </w:t>
      </w:r>
      <w:r w:rsidRPr="00785831">
        <w:rPr>
          <w:color w:val="211F1A"/>
          <w:spacing w:val="-1"/>
          <w:sz w:val="24"/>
          <w:szCs w:val="24"/>
        </w:rPr>
        <w:t>f</w:t>
      </w:r>
      <w:r w:rsidRPr="00785831">
        <w:rPr>
          <w:color w:val="211F1A"/>
          <w:sz w:val="24"/>
          <w:szCs w:val="24"/>
        </w:rPr>
        <w:t>ör</w:t>
      </w:r>
      <w:r w:rsidRPr="00785831">
        <w:rPr>
          <w:color w:val="211F1A"/>
          <w:spacing w:val="-9"/>
          <w:sz w:val="24"/>
          <w:szCs w:val="24"/>
        </w:rPr>
        <w:t xml:space="preserve"> </w:t>
      </w:r>
      <w:r w:rsidRPr="00785831">
        <w:rPr>
          <w:color w:val="211F1A"/>
          <w:spacing w:val="-5"/>
          <w:sz w:val="24"/>
          <w:szCs w:val="24"/>
        </w:rPr>
        <w:t>s</w:t>
      </w:r>
      <w:r w:rsidRPr="00785831">
        <w:rPr>
          <w:color w:val="211F1A"/>
          <w:spacing w:val="2"/>
          <w:sz w:val="24"/>
          <w:szCs w:val="24"/>
        </w:rPr>
        <w:t>j</w:t>
      </w:r>
      <w:r w:rsidRPr="00785831">
        <w:rPr>
          <w:color w:val="211F1A"/>
          <w:sz w:val="24"/>
          <w:szCs w:val="24"/>
        </w:rPr>
        <w:t>u</w:t>
      </w:r>
      <w:r w:rsidRPr="00785831">
        <w:rPr>
          <w:color w:val="211F1A"/>
          <w:spacing w:val="-3"/>
          <w:sz w:val="24"/>
          <w:szCs w:val="24"/>
        </w:rPr>
        <w:t>k</w:t>
      </w:r>
      <w:r w:rsidRPr="00785831">
        <w:rPr>
          <w:color w:val="211F1A"/>
          <w:spacing w:val="-8"/>
          <w:sz w:val="24"/>
          <w:szCs w:val="24"/>
        </w:rPr>
        <w:t>v</w:t>
      </w:r>
      <w:r w:rsidRPr="00785831">
        <w:rPr>
          <w:color w:val="211F1A"/>
          <w:sz w:val="24"/>
          <w:szCs w:val="24"/>
        </w:rPr>
        <w:t>å</w:t>
      </w:r>
      <w:r w:rsidRPr="00785831">
        <w:rPr>
          <w:color w:val="211F1A"/>
          <w:spacing w:val="-1"/>
          <w:sz w:val="24"/>
          <w:szCs w:val="24"/>
        </w:rPr>
        <w:t>r</w:t>
      </w:r>
      <w:r w:rsidRPr="00785831">
        <w:rPr>
          <w:color w:val="211F1A"/>
          <w:sz w:val="24"/>
          <w:szCs w:val="24"/>
        </w:rPr>
        <w:t>den</w:t>
      </w:r>
      <w:r w:rsidRPr="00785831">
        <w:rPr>
          <w:color w:val="211F1A"/>
          <w:spacing w:val="-6"/>
          <w:sz w:val="24"/>
          <w:szCs w:val="24"/>
        </w:rPr>
        <w:t xml:space="preserve"> </w:t>
      </w:r>
      <w:r w:rsidRPr="00785831">
        <w:rPr>
          <w:color w:val="211F1A"/>
          <w:spacing w:val="-2"/>
          <w:sz w:val="24"/>
          <w:szCs w:val="24"/>
        </w:rPr>
        <w:t>s</w:t>
      </w:r>
      <w:r w:rsidRPr="00785831">
        <w:rPr>
          <w:color w:val="211F1A"/>
          <w:spacing w:val="-3"/>
          <w:sz w:val="24"/>
          <w:szCs w:val="24"/>
        </w:rPr>
        <w:t>o</w:t>
      </w:r>
      <w:r w:rsidRPr="00785831">
        <w:rPr>
          <w:color w:val="211F1A"/>
          <w:sz w:val="24"/>
          <w:szCs w:val="24"/>
        </w:rPr>
        <w:t>m</w:t>
      </w:r>
      <w:r w:rsidRPr="00785831">
        <w:rPr>
          <w:color w:val="211F1A"/>
          <w:spacing w:val="-5"/>
          <w:sz w:val="24"/>
          <w:szCs w:val="24"/>
        </w:rPr>
        <w:t xml:space="preserve"> </w:t>
      </w:r>
      <w:r w:rsidRPr="00785831">
        <w:rPr>
          <w:color w:val="211F1A"/>
          <w:spacing w:val="-3"/>
          <w:sz w:val="24"/>
          <w:szCs w:val="24"/>
        </w:rPr>
        <w:t>h</w:t>
      </w:r>
      <w:r w:rsidRPr="00785831">
        <w:rPr>
          <w:color w:val="211F1A"/>
          <w:spacing w:val="-2"/>
          <w:sz w:val="24"/>
          <w:szCs w:val="24"/>
        </w:rPr>
        <w:t>e</w:t>
      </w:r>
      <w:r w:rsidRPr="00785831">
        <w:rPr>
          <w:color w:val="211F1A"/>
          <w:sz w:val="24"/>
          <w:szCs w:val="24"/>
        </w:rPr>
        <w:t>lh</w:t>
      </w:r>
      <w:r w:rsidRPr="00785831">
        <w:rPr>
          <w:color w:val="211F1A"/>
          <w:spacing w:val="-2"/>
          <w:sz w:val="24"/>
          <w:szCs w:val="24"/>
        </w:rPr>
        <w:t>e</w:t>
      </w:r>
      <w:r w:rsidRPr="00785831">
        <w:rPr>
          <w:color w:val="211F1A"/>
          <w:spacing w:val="-3"/>
          <w:sz w:val="24"/>
          <w:szCs w:val="24"/>
        </w:rPr>
        <w:t>t</w:t>
      </w:r>
      <w:r w:rsidRPr="00785831">
        <w:rPr>
          <w:color w:val="211F1A"/>
          <w:sz w:val="24"/>
          <w:szCs w:val="24"/>
        </w:rPr>
        <w:t>,</w:t>
      </w:r>
      <w:r w:rsidRPr="00785831">
        <w:rPr>
          <w:color w:val="211F1A"/>
          <w:spacing w:val="-8"/>
          <w:sz w:val="24"/>
          <w:szCs w:val="24"/>
        </w:rPr>
        <w:t xml:space="preserve"> </w:t>
      </w:r>
      <w:r w:rsidRPr="00785831">
        <w:rPr>
          <w:color w:val="211F1A"/>
          <w:spacing w:val="-1"/>
          <w:sz w:val="24"/>
          <w:szCs w:val="24"/>
        </w:rPr>
        <w:t>m</w:t>
      </w:r>
      <w:r w:rsidRPr="00785831">
        <w:rPr>
          <w:color w:val="211F1A"/>
          <w:spacing w:val="-2"/>
          <w:sz w:val="24"/>
          <w:szCs w:val="24"/>
        </w:rPr>
        <w:t>e</w:t>
      </w:r>
      <w:r w:rsidRPr="00785831">
        <w:rPr>
          <w:color w:val="211F1A"/>
          <w:sz w:val="24"/>
          <w:szCs w:val="24"/>
        </w:rPr>
        <w:t>n</w:t>
      </w:r>
      <w:r w:rsidRPr="00785831">
        <w:rPr>
          <w:color w:val="211F1A"/>
          <w:spacing w:val="-13"/>
          <w:sz w:val="24"/>
          <w:szCs w:val="24"/>
        </w:rPr>
        <w:t xml:space="preserve"> </w:t>
      </w:r>
      <w:r w:rsidRPr="00785831">
        <w:rPr>
          <w:color w:val="211F1A"/>
          <w:spacing w:val="-1"/>
          <w:sz w:val="24"/>
          <w:szCs w:val="24"/>
        </w:rPr>
        <w:t>fr</w:t>
      </w:r>
      <w:r w:rsidRPr="00785831">
        <w:rPr>
          <w:color w:val="211F1A"/>
          <w:spacing w:val="-2"/>
          <w:sz w:val="24"/>
          <w:szCs w:val="24"/>
        </w:rPr>
        <w:t>a</w:t>
      </w:r>
      <w:r w:rsidRPr="00785831">
        <w:rPr>
          <w:color w:val="211F1A"/>
          <w:spacing w:val="-1"/>
          <w:sz w:val="24"/>
          <w:szCs w:val="24"/>
        </w:rPr>
        <w:t>mf</w:t>
      </w:r>
      <w:r w:rsidRPr="00785831">
        <w:rPr>
          <w:color w:val="211F1A"/>
          <w:sz w:val="24"/>
          <w:szCs w:val="24"/>
        </w:rPr>
        <w:t>ör</w:t>
      </w:r>
      <w:r w:rsidRPr="00785831">
        <w:rPr>
          <w:color w:val="211F1A"/>
          <w:spacing w:val="-12"/>
          <w:sz w:val="24"/>
          <w:szCs w:val="24"/>
        </w:rPr>
        <w:t xml:space="preserve"> </w:t>
      </w:r>
      <w:r w:rsidRPr="00785831">
        <w:rPr>
          <w:color w:val="211F1A"/>
          <w:sz w:val="24"/>
          <w:szCs w:val="24"/>
        </w:rPr>
        <w:t>allt</w:t>
      </w:r>
      <w:r w:rsidRPr="00785831">
        <w:rPr>
          <w:color w:val="211F1A"/>
          <w:spacing w:val="-5"/>
          <w:sz w:val="24"/>
          <w:szCs w:val="24"/>
        </w:rPr>
        <w:t xml:space="preserve"> </w:t>
      </w:r>
      <w:r w:rsidRPr="00785831">
        <w:rPr>
          <w:color w:val="211F1A"/>
          <w:sz w:val="24"/>
          <w:szCs w:val="24"/>
        </w:rPr>
        <w:t>i p</w:t>
      </w:r>
      <w:r w:rsidRPr="00785831">
        <w:rPr>
          <w:color w:val="211F1A"/>
          <w:spacing w:val="-1"/>
          <w:sz w:val="24"/>
          <w:szCs w:val="24"/>
        </w:rPr>
        <w:t>r</w:t>
      </w:r>
      <w:r w:rsidRPr="00785831">
        <w:rPr>
          <w:color w:val="211F1A"/>
          <w:sz w:val="24"/>
          <w:szCs w:val="24"/>
        </w:rPr>
        <w:t>i</w:t>
      </w:r>
      <w:r w:rsidRPr="00785831">
        <w:rPr>
          <w:color w:val="211F1A"/>
          <w:spacing w:val="-1"/>
          <w:sz w:val="24"/>
          <w:szCs w:val="24"/>
        </w:rPr>
        <w:t>m</w:t>
      </w:r>
      <w:r w:rsidRPr="00785831">
        <w:rPr>
          <w:color w:val="211F1A"/>
          <w:spacing w:val="-2"/>
          <w:sz w:val="24"/>
          <w:szCs w:val="24"/>
        </w:rPr>
        <w:t>ä</w:t>
      </w:r>
      <w:r w:rsidRPr="00785831">
        <w:rPr>
          <w:color w:val="211F1A"/>
          <w:spacing w:val="-6"/>
          <w:sz w:val="24"/>
          <w:szCs w:val="24"/>
        </w:rPr>
        <w:t>r</w:t>
      </w:r>
      <w:r w:rsidRPr="00785831">
        <w:rPr>
          <w:color w:val="211F1A"/>
          <w:spacing w:val="-3"/>
          <w:sz w:val="24"/>
          <w:szCs w:val="24"/>
        </w:rPr>
        <w:t>v</w:t>
      </w:r>
      <w:r w:rsidRPr="00785831">
        <w:rPr>
          <w:color w:val="211F1A"/>
          <w:sz w:val="24"/>
          <w:szCs w:val="24"/>
        </w:rPr>
        <w:t>å</w:t>
      </w:r>
      <w:r w:rsidRPr="00785831">
        <w:rPr>
          <w:color w:val="211F1A"/>
          <w:spacing w:val="-1"/>
          <w:sz w:val="24"/>
          <w:szCs w:val="24"/>
        </w:rPr>
        <w:t>r</w:t>
      </w:r>
      <w:r w:rsidRPr="00785831">
        <w:rPr>
          <w:color w:val="211F1A"/>
          <w:sz w:val="24"/>
          <w:szCs w:val="24"/>
        </w:rPr>
        <w:t>den</w:t>
      </w:r>
      <w:r w:rsidRPr="00785831">
        <w:rPr>
          <w:color w:val="211F1A"/>
          <w:spacing w:val="-9"/>
          <w:sz w:val="24"/>
          <w:szCs w:val="24"/>
        </w:rPr>
        <w:t xml:space="preserve"> </w:t>
      </w:r>
      <w:r w:rsidRPr="00785831">
        <w:rPr>
          <w:color w:val="211F1A"/>
          <w:spacing w:val="-1"/>
          <w:sz w:val="24"/>
          <w:szCs w:val="24"/>
        </w:rPr>
        <w:t>f</w:t>
      </w:r>
      <w:r w:rsidRPr="00785831">
        <w:rPr>
          <w:color w:val="211F1A"/>
          <w:spacing w:val="-3"/>
          <w:sz w:val="24"/>
          <w:szCs w:val="24"/>
        </w:rPr>
        <w:t>i</w:t>
      </w:r>
      <w:r w:rsidRPr="00785831">
        <w:rPr>
          <w:color w:val="211F1A"/>
          <w:spacing w:val="-1"/>
          <w:sz w:val="24"/>
          <w:szCs w:val="24"/>
        </w:rPr>
        <w:t>n</w:t>
      </w:r>
      <w:r w:rsidRPr="00785831">
        <w:rPr>
          <w:color w:val="211F1A"/>
          <w:spacing w:val="-3"/>
          <w:sz w:val="24"/>
          <w:szCs w:val="24"/>
        </w:rPr>
        <w:t>n</w:t>
      </w:r>
      <w:r w:rsidRPr="00785831">
        <w:rPr>
          <w:color w:val="211F1A"/>
          <w:sz w:val="24"/>
          <w:szCs w:val="24"/>
        </w:rPr>
        <w:t>s</w:t>
      </w:r>
      <w:r w:rsidRPr="00785831">
        <w:rPr>
          <w:color w:val="211F1A"/>
          <w:spacing w:val="-7"/>
          <w:sz w:val="24"/>
          <w:szCs w:val="24"/>
        </w:rPr>
        <w:t xml:space="preserve"> </w:t>
      </w:r>
      <w:r w:rsidRPr="00785831">
        <w:rPr>
          <w:color w:val="211F1A"/>
          <w:spacing w:val="-2"/>
          <w:sz w:val="24"/>
          <w:szCs w:val="24"/>
        </w:rPr>
        <w:t>g</w:t>
      </w:r>
      <w:r w:rsidRPr="00785831">
        <w:rPr>
          <w:color w:val="211F1A"/>
          <w:spacing w:val="-1"/>
          <w:sz w:val="24"/>
          <w:szCs w:val="24"/>
        </w:rPr>
        <w:t>o</w:t>
      </w:r>
      <w:r w:rsidRPr="00785831">
        <w:rPr>
          <w:color w:val="211F1A"/>
          <w:spacing w:val="-3"/>
          <w:sz w:val="24"/>
          <w:szCs w:val="24"/>
        </w:rPr>
        <w:t>d</w:t>
      </w:r>
      <w:r w:rsidRPr="00785831">
        <w:rPr>
          <w:color w:val="211F1A"/>
          <w:sz w:val="24"/>
          <w:szCs w:val="24"/>
        </w:rPr>
        <w:t>a</w:t>
      </w:r>
      <w:r w:rsidRPr="00785831">
        <w:rPr>
          <w:color w:val="211F1A"/>
          <w:spacing w:val="-10"/>
          <w:sz w:val="24"/>
          <w:szCs w:val="24"/>
        </w:rPr>
        <w:t xml:space="preserve"> </w:t>
      </w:r>
      <w:r w:rsidRPr="00785831">
        <w:rPr>
          <w:color w:val="211F1A"/>
          <w:spacing w:val="-1"/>
          <w:sz w:val="24"/>
          <w:szCs w:val="24"/>
        </w:rPr>
        <w:t>mö</w:t>
      </w:r>
      <w:r w:rsidRPr="00785831">
        <w:rPr>
          <w:color w:val="211F1A"/>
          <w:spacing w:val="-3"/>
          <w:sz w:val="24"/>
          <w:szCs w:val="24"/>
        </w:rPr>
        <w:t>j</w:t>
      </w:r>
      <w:r w:rsidRPr="00785831">
        <w:rPr>
          <w:color w:val="211F1A"/>
          <w:sz w:val="24"/>
          <w:szCs w:val="24"/>
        </w:rPr>
        <w:t>li</w:t>
      </w:r>
      <w:r w:rsidRPr="00785831">
        <w:rPr>
          <w:color w:val="211F1A"/>
          <w:spacing w:val="-2"/>
          <w:sz w:val="24"/>
          <w:szCs w:val="24"/>
        </w:rPr>
        <w:t>g</w:t>
      </w:r>
      <w:r w:rsidRPr="00785831">
        <w:rPr>
          <w:color w:val="211F1A"/>
          <w:spacing w:val="-3"/>
          <w:sz w:val="24"/>
          <w:szCs w:val="24"/>
        </w:rPr>
        <w:t>h</w:t>
      </w:r>
      <w:r w:rsidRPr="00785831">
        <w:rPr>
          <w:color w:val="211F1A"/>
          <w:sz w:val="24"/>
          <w:szCs w:val="24"/>
        </w:rPr>
        <w:t>et</w:t>
      </w:r>
      <w:r w:rsidRPr="00785831">
        <w:rPr>
          <w:color w:val="211F1A"/>
          <w:spacing w:val="1"/>
          <w:sz w:val="24"/>
          <w:szCs w:val="24"/>
        </w:rPr>
        <w:t>e</w:t>
      </w:r>
      <w:r w:rsidRPr="00785831">
        <w:rPr>
          <w:color w:val="211F1A"/>
          <w:sz w:val="24"/>
          <w:szCs w:val="24"/>
        </w:rPr>
        <w:t>r</w:t>
      </w:r>
      <w:r w:rsidRPr="00785831">
        <w:rPr>
          <w:color w:val="211F1A"/>
          <w:spacing w:val="-12"/>
          <w:sz w:val="24"/>
          <w:szCs w:val="24"/>
        </w:rPr>
        <w:t xml:space="preserve"> </w:t>
      </w:r>
      <w:r w:rsidRPr="00785831">
        <w:rPr>
          <w:color w:val="211F1A"/>
          <w:sz w:val="24"/>
          <w:szCs w:val="24"/>
        </w:rPr>
        <w:t>att</w:t>
      </w:r>
      <w:r w:rsidRPr="00785831">
        <w:rPr>
          <w:color w:val="211F1A"/>
          <w:spacing w:val="-9"/>
          <w:sz w:val="24"/>
          <w:szCs w:val="24"/>
        </w:rPr>
        <w:t xml:space="preserve"> </w:t>
      </w:r>
      <w:r w:rsidRPr="00785831">
        <w:rPr>
          <w:color w:val="211F1A"/>
          <w:spacing w:val="-1"/>
          <w:sz w:val="24"/>
          <w:szCs w:val="24"/>
        </w:rPr>
        <w:t>t</w:t>
      </w:r>
      <w:r w:rsidRPr="00785831">
        <w:rPr>
          <w:color w:val="211F1A"/>
          <w:spacing w:val="-3"/>
          <w:sz w:val="24"/>
          <w:szCs w:val="24"/>
        </w:rPr>
        <w:t>i</w:t>
      </w:r>
      <w:r w:rsidRPr="00785831">
        <w:rPr>
          <w:color w:val="211F1A"/>
          <w:sz w:val="24"/>
          <w:szCs w:val="24"/>
        </w:rPr>
        <w:t>di</w:t>
      </w:r>
      <w:r w:rsidRPr="00785831">
        <w:rPr>
          <w:color w:val="211F1A"/>
          <w:spacing w:val="-2"/>
          <w:sz w:val="24"/>
          <w:szCs w:val="24"/>
        </w:rPr>
        <w:t>g</w:t>
      </w:r>
      <w:r w:rsidRPr="00785831">
        <w:rPr>
          <w:color w:val="211F1A"/>
          <w:sz w:val="24"/>
          <w:szCs w:val="24"/>
        </w:rPr>
        <w:t>t</w:t>
      </w:r>
      <w:r w:rsidRPr="00785831">
        <w:rPr>
          <w:color w:val="211F1A"/>
          <w:spacing w:val="-9"/>
          <w:sz w:val="24"/>
          <w:szCs w:val="24"/>
        </w:rPr>
        <w:t xml:space="preserve"> </w:t>
      </w:r>
      <w:r w:rsidRPr="00785831">
        <w:rPr>
          <w:color w:val="211F1A"/>
          <w:sz w:val="24"/>
          <w:szCs w:val="24"/>
        </w:rPr>
        <w:t>u</w:t>
      </w:r>
      <w:r w:rsidRPr="00785831">
        <w:rPr>
          <w:color w:val="211F1A"/>
          <w:spacing w:val="-1"/>
          <w:sz w:val="24"/>
          <w:szCs w:val="24"/>
        </w:rPr>
        <w:t>p</w:t>
      </w:r>
      <w:r w:rsidRPr="00785831">
        <w:rPr>
          <w:color w:val="211F1A"/>
          <w:spacing w:val="-3"/>
          <w:sz w:val="24"/>
          <w:szCs w:val="24"/>
        </w:rPr>
        <w:t>pt</w:t>
      </w:r>
      <w:r w:rsidRPr="00785831">
        <w:rPr>
          <w:color w:val="211F1A"/>
          <w:spacing w:val="-4"/>
          <w:sz w:val="24"/>
          <w:szCs w:val="24"/>
        </w:rPr>
        <w:t>ä</w:t>
      </w:r>
      <w:r w:rsidRPr="00785831">
        <w:rPr>
          <w:color w:val="211F1A"/>
          <w:sz w:val="24"/>
          <w:szCs w:val="24"/>
        </w:rPr>
        <w:t>cka</w:t>
      </w:r>
      <w:r w:rsidRPr="00785831">
        <w:rPr>
          <w:color w:val="211F1A"/>
          <w:spacing w:val="-6"/>
          <w:sz w:val="24"/>
          <w:szCs w:val="24"/>
        </w:rPr>
        <w:t xml:space="preserve"> </w:t>
      </w:r>
      <w:r w:rsidRPr="00785831">
        <w:rPr>
          <w:color w:val="211F1A"/>
          <w:sz w:val="24"/>
          <w:szCs w:val="24"/>
        </w:rPr>
        <w:t>och</w:t>
      </w:r>
      <w:r w:rsidRPr="00785831">
        <w:rPr>
          <w:color w:val="211F1A"/>
          <w:spacing w:val="-8"/>
          <w:sz w:val="24"/>
          <w:szCs w:val="24"/>
        </w:rPr>
        <w:t xml:space="preserve"> </w:t>
      </w:r>
      <w:r w:rsidRPr="00785831">
        <w:rPr>
          <w:color w:val="211F1A"/>
          <w:spacing w:val="-1"/>
          <w:sz w:val="24"/>
          <w:szCs w:val="24"/>
        </w:rPr>
        <w:t>b</w:t>
      </w:r>
      <w:r w:rsidRPr="00785831">
        <w:rPr>
          <w:color w:val="211F1A"/>
          <w:spacing w:val="-2"/>
          <w:sz w:val="24"/>
          <w:szCs w:val="24"/>
        </w:rPr>
        <w:t>e</w:t>
      </w:r>
      <w:r w:rsidRPr="00785831">
        <w:rPr>
          <w:color w:val="211F1A"/>
          <w:spacing w:val="-5"/>
          <w:sz w:val="24"/>
          <w:szCs w:val="24"/>
        </w:rPr>
        <w:t>h</w:t>
      </w:r>
      <w:r w:rsidRPr="00785831">
        <w:rPr>
          <w:color w:val="211F1A"/>
          <w:spacing w:val="-2"/>
          <w:sz w:val="24"/>
          <w:szCs w:val="24"/>
        </w:rPr>
        <w:t>a</w:t>
      </w:r>
      <w:r w:rsidRPr="00785831">
        <w:rPr>
          <w:color w:val="211F1A"/>
          <w:spacing w:val="-1"/>
          <w:sz w:val="24"/>
          <w:szCs w:val="24"/>
        </w:rPr>
        <w:t>n</w:t>
      </w:r>
      <w:r w:rsidRPr="00785831">
        <w:rPr>
          <w:color w:val="211F1A"/>
          <w:sz w:val="24"/>
          <w:szCs w:val="24"/>
        </w:rPr>
        <w:t>d</w:t>
      </w:r>
      <w:r w:rsidRPr="00785831">
        <w:rPr>
          <w:color w:val="211F1A"/>
          <w:spacing w:val="-5"/>
          <w:sz w:val="24"/>
          <w:szCs w:val="24"/>
        </w:rPr>
        <w:t>l</w:t>
      </w:r>
      <w:r w:rsidRPr="00785831">
        <w:rPr>
          <w:color w:val="211F1A"/>
          <w:sz w:val="24"/>
          <w:szCs w:val="24"/>
        </w:rPr>
        <w:t>a</w:t>
      </w:r>
      <w:r w:rsidRPr="00785831">
        <w:rPr>
          <w:color w:val="211F1A"/>
          <w:spacing w:val="-5"/>
          <w:sz w:val="24"/>
          <w:szCs w:val="24"/>
        </w:rPr>
        <w:t xml:space="preserve"> </w:t>
      </w:r>
      <w:r w:rsidRPr="00785831">
        <w:rPr>
          <w:color w:val="211F1A"/>
          <w:spacing w:val="-1"/>
          <w:sz w:val="24"/>
          <w:szCs w:val="24"/>
        </w:rPr>
        <w:t>p</w:t>
      </w:r>
      <w:r w:rsidRPr="00785831">
        <w:rPr>
          <w:color w:val="211F1A"/>
          <w:sz w:val="24"/>
          <w:szCs w:val="24"/>
        </w:rPr>
        <w:t>e</w:t>
      </w:r>
      <w:r w:rsidRPr="00785831">
        <w:rPr>
          <w:color w:val="211F1A"/>
          <w:spacing w:val="-1"/>
          <w:sz w:val="24"/>
          <w:szCs w:val="24"/>
        </w:rPr>
        <w:t>r</w:t>
      </w:r>
      <w:r w:rsidRPr="00785831">
        <w:rPr>
          <w:color w:val="211F1A"/>
          <w:spacing w:val="-2"/>
          <w:sz w:val="24"/>
          <w:szCs w:val="24"/>
        </w:rPr>
        <w:t>s</w:t>
      </w:r>
      <w:r w:rsidRPr="00785831">
        <w:rPr>
          <w:color w:val="211F1A"/>
          <w:spacing w:val="-1"/>
          <w:sz w:val="24"/>
          <w:szCs w:val="24"/>
        </w:rPr>
        <w:t>o</w:t>
      </w:r>
      <w:r w:rsidRPr="00785831">
        <w:rPr>
          <w:color w:val="211F1A"/>
          <w:spacing w:val="-5"/>
          <w:sz w:val="24"/>
          <w:szCs w:val="24"/>
        </w:rPr>
        <w:t>n</w:t>
      </w:r>
      <w:r w:rsidRPr="00785831">
        <w:rPr>
          <w:color w:val="211F1A"/>
          <w:sz w:val="24"/>
          <w:szCs w:val="24"/>
        </w:rPr>
        <w:t>er</w:t>
      </w:r>
      <w:r w:rsidRPr="00785831">
        <w:rPr>
          <w:color w:val="211F1A"/>
          <w:spacing w:val="-10"/>
          <w:sz w:val="24"/>
          <w:szCs w:val="24"/>
        </w:rPr>
        <w:t xml:space="preserve"> </w:t>
      </w:r>
      <w:r w:rsidRPr="00785831">
        <w:rPr>
          <w:color w:val="211F1A"/>
          <w:spacing w:val="-1"/>
          <w:sz w:val="24"/>
          <w:szCs w:val="24"/>
        </w:rPr>
        <w:t>m</w:t>
      </w:r>
      <w:r w:rsidRPr="00785831">
        <w:rPr>
          <w:color w:val="211F1A"/>
          <w:sz w:val="24"/>
          <w:szCs w:val="24"/>
        </w:rPr>
        <w:t>ed</w:t>
      </w:r>
      <w:r w:rsidRPr="00785831">
        <w:rPr>
          <w:color w:val="211F1A"/>
          <w:spacing w:val="-6"/>
          <w:sz w:val="24"/>
          <w:szCs w:val="24"/>
        </w:rPr>
        <w:t xml:space="preserve"> </w:t>
      </w:r>
      <w:r w:rsidRPr="00785831">
        <w:rPr>
          <w:color w:val="211F1A"/>
          <w:spacing w:val="-1"/>
          <w:sz w:val="24"/>
          <w:szCs w:val="24"/>
        </w:rPr>
        <w:t>r</w:t>
      </w:r>
      <w:r w:rsidRPr="00785831">
        <w:rPr>
          <w:color w:val="211F1A"/>
          <w:spacing w:val="-3"/>
          <w:sz w:val="24"/>
          <w:szCs w:val="24"/>
        </w:rPr>
        <w:t>i</w:t>
      </w:r>
      <w:r w:rsidRPr="00785831">
        <w:rPr>
          <w:color w:val="211F1A"/>
          <w:spacing w:val="-2"/>
          <w:sz w:val="24"/>
          <w:szCs w:val="24"/>
        </w:rPr>
        <w:t>s</w:t>
      </w:r>
      <w:r w:rsidRPr="00785831">
        <w:rPr>
          <w:color w:val="211F1A"/>
          <w:sz w:val="24"/>
          <w:szCs w:val="24"/>
        </w:rPr>
        <w:t>kk</w:t>
      </w:r>
      <w:r w:rsidRPr="00785831">
        <w:rPr>
          <w:color w:val="211F1A"/>
          <w:spacing w:val="-3"/>
          <w:sz w:val="24"/>
          <w:szCs w:val="24"/>
        </w:rPr>
        <w:t>on</w:t>
      </w:r>
      <w:r w:rsidRPr="00785831">
        <w:rPr>
          <w:color w:val="211F1A"/>
          <w:spacing w:val="-5"/>
          <w:sz w:val="24"/>
          <w:szCs w:val="24"/>
        </w:rPr>
        <w:t>s</w:t>
      </w:r>
      <w:r w:rsidRPr="00785831">
        <w:rPr>
          <w:color w:val="211F1A"/>
          <w:sz w:val="24"/>
          <w:szCs w:val="24"/>
        </w:rPr>
        <w:t>u</w:t>
      </w:r>
      <w:r w:rsidRPr="00785831">
        <w:rPr>
          <w:color w:val="211F1A"/>
          <w:spacing w:val="-1"/>
          <w:sz w:val="24"/>
          <w:szCs w:val="24"/>
        </w:rPr>
        <w:t>mt</w:t>
      </w:r>
      <w:r w:rsidRPr="00785831">
        <w:rPr>
          <w:color w:val="211F1A"/>
          <w:sz w:val="24"/>
          <w:szCs w:val="24"/>
        </w:rPr>
        <w:t>i</w:t>
      </w:r>
      <w:r w:rsidRPr="00785831">
        <w:rPr>
          <w:color w:val="211F1A"/>
          <w:spacing w:val="-3"/>
          <w:sz w:val="24"/>
          <w:szCs w:val="24"/>
        </w:rPr>
        <w:t>o</w:t>
      </w:r>
      <w:r w:rsidRPr="00785831">
        <w:rPr>
          <w:color w:val="211F1A"/>
          <w:sz w:val="24"/>
          <w:szCs w:val="24"/>
        </w:rPr>
        <w:t xml:space="preserve">n </w:t>
      </w:r>
      <w:r w:rsidRPr="00785831">
        <w:rPr>
          <w:color w:val="211F1A"/>
          <w:spacing w:val="1"/>
          <w:sz w:val="24"/>
          <w:szCs w:val="24"/>
        </w:rPr>
        <w:t>e</w:t>
      </w:r>
      <w:r w:rsidRPr="00785831">
        <w:rPr>
          <w:color w:val="211F1A"/>
          <w:sz w:val="24"/>
          <w:szCs w:val="24"/>
        </w:rPr>
        <w:t>l</w:t>
      </w:r>
      <w:r w:rsidRPr="00785831">
        <w:rPr>
          <w:color w:val="211F1A"/>
          <w:spacing w:val="-3"/>
          <w:sz w:val="24"/>
          <w:szCs w:val="24"/>
        </w:rPr>
        <w:t>l</w:t>
      </w:r>
      <w:r w:rsidRPr="00785831">
        <w:rPr>
          <w:color w:val="211F1A"/>
          <w:sz w:val="24"/>
          <w:szCs w:val="24"/>
        </w:rPr>
        <w:t>er</w:t>
      </w:r>
      <w:r w:rsidRPr="00785831">
        <w:rPr>
          <w:color w:val="211F1A"/>
          <w:spacing w:val="-12"/>
          <w:sz w:val="24"/>
          <w:szCs w:val="24"/>
        </w:rPr>
        <w:t xml:space="preserve"> </w:t>
      </w:r>
      <w:r w:rsidRPr="00785831">
        <w:rPr>
          <w:color w:val="211F1A"/>
          <w:sz w:val="24"/>
          <w:szCs w:val="24"/>
        </w:rPr>
        <w:t>e</w:t>
      </w:r>
      <w:r w:rsidRPr="00785831">
        <w:rPr>
          <w:color w:val="211F1A"/>
          <w:spacing w:val="-3"/>
          <w:sz w:val="24"/>
          <w:szCs w:val="24"/>
        </w:rPr>
        <w:t>t</w:t>
      </w:r>
      <w:r w:rsidRPr="00785831">
        <w:rPr>
          <w:color w:val="211F1A"/>
          <w:spacing w:val="-2"/>
          <w:sz w:val="24"/>
          <w:szCs w:val="24"/>
        </w:rPr>
        <w:t>a</w:t>
      </w:r>
      <w:r w:rsidRPr="00785831">
        <w:rPr>
          <w:color w:val="211F1A"/>
          <w:spacing w:val="-3"/>
          <w:sz w:val="24"/>
          <w:szCs w:val="24"/>
        </w:rPr>
        <w:t>b</w:t>
      </w:r>
      <w:r w:rsidRPr="00785831">
        <w:rPr>
          <w:color w:val="211F1A"/>
          <w:sz w:val="24"/>
          <w:szCs w:val="24"/>
        </w:rPr>
        <w:t>le</w:t>
      </w:r>
      <w:r w:rsidRPr="00785831">
        <w:rPr>
          <w:color w:val="211F1A"/>
          <w:spacing w:val="-4"/>
          <w:sz w:val="24"/>
          <w:szCs w:val="24"/>
        </w:rPr>
        <w:t>r</w:t>
      </w:r>
      <w:r w:rsidRPr="00785831">
        <w:rPr>
          <w:color w:val="211F1A"/>
          <w:sz w:val="24"/>
          <w:szCs w:val="24"/>
        </w:rPr>
        <w:t>at</w:t>
      </w:r>
      <w:r w:rsidRPr="00785831">
        <w:rPr>
          <w:color w:val="211F1A"/>
          <w:spacing w:val="-11"/>
          <w:sz w:val="24"/>
          <w:szCs w:val="24"/>
        </w:rPr>
        <w:t xml:space="preserve"> </w:t>
      </w:r>
      <w:r w:rsidRPr="00785831">
        <w:rPr>
          <w:color w:val="211F1A"/>
          <w:spacing w:val="-1"/>
          <w:sz w:val="24"/>
          <w:szCs w:val="24"/>
        </w:rPr>
        <w:t>m</w:t>
      </w:r>
      <w:r w:rsidRPr="00785831">
        <w:rPr>
          <w:color w:val="211F1A"/>
          <w:sz w:val="24"/>
          <w:szCs w:val="24"/>
        </w:rPr>
        <w:t>i</w:t>
      </w:r>
      <w:r w:rsidRPr="00785831">
        <w:rPr>
          <w:color w:val="211F1A"/>
          <w:spacing w:val="-5"/>
          <w:sz w:val="24"/>
          <w:szCs w:val="24"/>
        </w:rPr>
        <w:t>s</w:t>
      </w:r>
      <w:r w:rsidRPr="00785831">
        <w:rPr>
          <w:color w:val="211F1A"/>
          <w:spacing w:val="-2"/>
          <w:sz w:val="24"/>
          <w:szCs w:val="24"/>
        </w:rPr>
        <w:t>s</w:t>
      </w:r>
      <w:r w:rsidRPr="00785831">
        <w:rPr>
          <w:color w:val="211F1A"/>
          <w:spacing w:val="-1"/>
          <w:sz w:val="24"/>
          <w:szCs w:val="24"/>
        </w:rPr>
        <w:t>br</w:t>
      </w:r>
      <w:r w:rsidRPr="00785831">
        <w:rPr>
          <w:color w:val="211F1A"/>
          <w:sz w:val="24"/>
          <w:szCs w:val="24"/>
        </w:rPr>
        <w:t>uk</w:t>
      </w:r>
      <w:r w:rsidRPr="00785831">
        <w:rPr>
          <w:color w:val="211F1A"/>
          <w:spacing w:val="-3"/>
          <w:sz w:val="24"/>
          <w:szCs w:val="24"/>
        </w:rPr>
        <w:t>/</w:t>
      </w:r>
      <w:r w:rsidRPr="00785831">
        <w:rPr>
          <w:color w:val="211F1A"/>
          <w:spacing w:val="-1"/>
          <w:sz w:val="24"/>
          <w:szCs w:val="24"/>
        </w:rPr>
        <w:t>b</w:t>
      </w:r>
      <w:r w:rsidRPr="00785831">
        <w:rPr>
          <w:color w:val="211F1A"/>
          <w:sz w:val="24"/>
          <w:szCs w:val="24"/>
        </w:rPr>
        <w:t>er</w:t>
      </w:r>
      <w:r w:rsidRPr="00785831">
        <w:rPr>
          <w:color w:val="211F1A"/>
          <w:spacing w:val="-4"/>
          <w:sz w:val="24"/>
          <w:szCs w:val="24"/>
        </w:rPr>
        <w:t>o</w:t>
      </w:r>
      <w:r w:rsidRPr="00785831">
        <w:rPr>
          <w:color w:val="211F1A"/>
          <w:sz w:val="24"/>
          <w:szCs w:val="24"/>
        </w:rPr>
        <w:t>e</w:t>
      </w:r>
      <w:r w:rsidRPr="00785831">
        <w:rPr>
          <w:color w:val="211F1A"/>
          <w:spacing w:val="1"/>
          <w:sz w:val="24"/>
          <w:szCs w:val="24"/>
        </w:rPr>
        <w:t>n</w:t>
      </w:r>
      <w:r w:rsidRPr="00785831">
        <w:rPr>
          <w:color w:val="211F1A"/>
          <w:spacing w:val="-5"/>
          <w:sz w:val="24"/>
          <w:szCs w:val="24"/>
        </w:rPr>
        <w:t>d</w:t>
      </w:r>
      <w:r w:rsidRPr="00785831">
        <w:rPr>
          <w:color w:val="211F1A"/>
          <w:sz w:val="24"/>
          <w:szCs w:val="24"/>
        </w:rPr>
        <w:t>e.</w:t>
      </w:r>
      <w:r w:rsidRPr="00785831">
        <w:rPr>
          <w:color w:val="211F1A"/>
          <w:spacing w:val="-10"/>
          <w:sz w:val="24"/>
          <w:szCs w:val="24"/>
        </w:rPr>
        <w:t xml:space="preserve"> </w:t>
      </w:r>
      <w:hyperlink r:id="rId136" w:history="1">
        <w:r w:rsidRPr="00785831">
          <w:rPr>
            <w:rStyle w:val="Hyperlnk"/>
            <w:spacing w:val="-2"/>
            <w:sz w:val="24"/>
            <w:szCs w:val="24"/>
          </w:rPr>
          <w:t>C</w:t>
        </w:r>
        <w:r w:rsidRPr="00785831">
          <w:rPr>
            <w:rStyle w:val="Hyperlnk"/>
            <w:sz w:val="24"/>
            <w:szCs w:val="24"/>
          </w:rPr>
          <w:t>AGE</w:t>
        </w:r>
      </w:hyperlink>
      <w:r w:rsidRPr="00785831">
        <w:rPr>
          <w:color w:val="211F1A"/>
          <w:spacing w:val="-8"/>
          <w:sz w:val="24"/>
          <w:szCs w:val="24"/>
        </w:rPr>
        <w:t xml:space="preserve"> </w:t>
      </w:r>
      <w:r w:rsidRPr="00785831">
        <w:rPr>
          <w:color w:val="211F1A"/>
          <w:spacing w:val="-1"/>
          <w:sz w:val="24"/>
          <w:szCs w:val="24"/>
        </w:rPr>
        <w:t>o</w:t>
      </w:r>
      <w:r w:rsidRPr="00785831">
        <w:rPr>
          <w:color w:val="211F1A"/>
          <w:spacing w:val="-2"/>
          <w:sz w:val="24"/>
          <w:szCs w:val="24"/>
        </w:rPr>
        <w:t>c</w:t>
      </w:r>
      <w:r w:rsidRPr="00785831">
        <w:rPr>
          <w:color w:val="211F1A"/>
          <w:sz w:val="24"/>
          <w:szCs w:val="24"/>
        </w:rPr>
        <w:t>h</w:t>
      </w:r>
      <w:r w:rsidRPr="00785831">
        <w:rPr>
          <w:color w:val="211F1A"/>
          <w:spacing w:val="-8"/>
          <w:sz w:val="24"/>
          <w:szCs w:val="24"/>
        </w:rPr>
        <w:t xml:space="preserve"> </w:t>
      </w:r>
      <w:hyperlink r:id="rId137" w:history="1">
        <w:r w:rsidRPr="00785831">
          <w:rPr>
            <w:rStyle w:val="Hyperlnk"/>
            <w:spacing w:val="-2"/>
            <w:sz w:val="24"/>
            <w:szCs w:val="24"/>
          </w:rPr>
          <w:t>A</w:t>
        </w:r>
        <w:r w:rsidRPr="00785831">
          <w:rPr>
            <w:rStyle w:val="Hyperlnk"/>
            <w:spacing w:val="-5"/>
            <w:sz w:val="24"/>
            <w:szCs w:val="24"/>
          </w:rPr>
          <w:t>U</w:t>
        </w:r>
        <w:r w:rsidRPr="00785831">
          <w:rPr>
            <w:rStyle w:val="Hyperlnk"/>
            <w:spacing w:val="-1"/>
            <w:sz w:val="24"/>
            <w:szCs w:val="24"/>
          </w:rPr>
          <w:t>D</w:t>
        </w:r>
        <w:r w:rsidRPr="00785831">
          <w:rPr>
            <w:rStyle w:val="Hyperlnk"/>
            <w:spacing w:val="-6"/>
            <w:sz w:val="24"/>
            <w:szCs w:val="24"/>
          </w:rPr>
          <w:t>I</w:t>
        </w:r>
        <w:r w:rsidRPr="00785831">
          <w:rPr>
            <w:rStyle w:val="Hyperlnk"/>
            <w:sz w:val="24"/>
            <w:szCs w:val="24"/>
          </w:rPr>
          <w:t>T</w:t>
        </w:r>
      </w:hyperlink>
      <w:r w:rsidRPr="00785831">
        <w:rPr>
          <w:color w:val="211F1A"/>
          <w:spacing w:val="-8"/>
          <w:sz w:val="24"/>
          <w:szCs w:val="24"/>
        </w:rPr>
        <w:t xml:space="preserve"> </w:t>
      </w:r>
      <w:r w:rsidRPr="00785831">
        <w:rPr>
          <w:color w:val="211F1A"/>
          <w:sz w:val="24"/>
          <w:szCs w:val="24"/>
        </w:rPr>
        <w:t>är</w:t>
      </w:r>
      <w:r w:rsidRPr="00785831">
        <w:rPr>
          <w:color w:val="211F1A"/>
          <w:spacing w:val="-9"/>
          <w:sz w:val="24"/>
          <w:szCs w:val="24"/>
        </w:rPr>
        <w:t xml:space="preserve"> </w:t>
      </w:r>
      <w:r w:rsidRPr="00785831">
        <w:rPr>
          <w:color w:val="211F1A"/>
          <w:sz w:val="24"/>
          <w:szCs w:val="24"/>
        </w:rPr>
        <w:t>enk</w:t>
      </w:r>
      <w:r w:rsidRPr="00785831">
        <w:rPr>
          <w:color w:val="211F1A"/>
          <w:spacing w:val="-3"/>
          <w:sz w:val="24"/>
          <w:szCs w:val="24"/>
        </w:rPr>
        <w:t>l</w:t>
      </w:r>
      <w:r w:rsidRPr="00785831">
        <w:rPr>
          <w:color w:val="211F1A"/>
          <w:sz w:val="24"/>
          <w:szCs w:val="24"/>
        </w:rPr>
        <w:t>a</w:t>
      </w:r>
      <w:r w:rsidRPr="00785831">
        <w:rPr>
          <w:color w:val="211F1A"/>
          <w:spacing w:val="-6"/>
          <w:sz w:val="24"/>
          <w:szCs w:val="24"/>
        </w:rPr>
        <w:t xml:space="preserve"> </w:t>
      </w:r>
      <w:r w:rsidRPr="00785831">
        <w:rPr>
          <w:color w:val="211F1A"/>
          <w:spacing w:val="-2"/>
          <w:sz w:val="24"/>
          <w:szCs w:val="24"/>
        </w:rPr>
        <w:t>s</w:t>
      </w:r>
      <w:r w:rsidRPr="00785831">
        <w:rPr>
          <w:color w:val="211F1A"/>
          <w:sz w:val="24"/>
          <w:szCs w:val="24"/>
        </w:rPr>
        <w:t>c</w:t>
      </w:r>
      <w:r w:rsidRPr="00785831">
        <w:rPr>
          <w:color w:val="211F1A"/>
          <w:spacing w:val="-1"/>
          <w:sz w:val="24"/>
          <w:szCs w:val="24"/>
        </w:rPr>
        <w:t>r</w:t>
      </w:r>
      <w:r w:rsidRPr="00785831">
        <w:rPr>
          <w:color w:val="211F1A"/>
          <w:spacing w:val="-5"/>
          <w:sz w:val="24"/>
          <w:szCs w:val="24"/>
        </w:rPr>
        <w:t>e</w:t>
      </w:r>
      <w:r w:rsidRPr="00785831">
        <w:rPr>
          <w:color w:val="211F1A"/>
          <w:sz w:val="24"/>
          <w:szCs w:val="24"/>
        </w:rPr>
        <w:t>en</w:t>
      </w:r>
      <w:r w:rsidRPr="00785831">
        <w:rPr>
          <w:color w:val="211F1A"/>
          <w:spacing w:val="1"/>
          <w:sz w:val="24"/>
          <w:szCs w:val="24"/>
        </w:rPr>
        <w:t>i</w:t>
      </w:r>
      <w:r w:rsidRPr="00785831">
        <w:rPr>
          <w:color w:val="211F1A"/>
          <w:spacing w:val="-1"/>
          <w:sz w:val="24"/>
          <w:szCs w:val="24"/>
        </w:rPr>
        <w:t>n</w:t>
      </w:r>
      <w:r w:rsidRPr="00785831">
        <w:rPr>
          <w:color w:val="211F1A"/>
          <w:spacing w:val="-2"/>
          <w:sz w:val="24"/>
          <w:szCs w:val="24"/>
        </w:rPr>
        <w:t>g</w:t>
      </w:r>
      <w:r w:rsidRPr="00785831">
        <w:rPr>
          <w:color w:val="211F1A"/>
          <w:spacing w:val="-7"/>
          <w:sz w:val="24"/>
          <w:szCs w:val="24"/>
        </w:rPr>
        <w:t>m</w:t>
      </w:r>
      <w:r w:rsidRPr="00785831">
        <w:rPr>
          <w:color w:val="211F1A"/>
          <w:spacing w:val="-5"/>
          <w:sz w:val="24"/>
          <w:szCs w:val="24"/>
        </w:rPr>
        <w:t>e</w:t>
      </w:r>
      <w:r w:rsidRPr="00785831">
        <w:rPr>
          <w:color w:val="211F1A"/>
          <w:spacing w:val="-1"/>
          <w:sz w:val="24"/>
          <w:szCs w:val="24"/>
        </w:rPr>
        <w:t>t</w:t>
      </w:r>
      <w:r w:rsidRPr="00785831">
        <w:rPr>
          <w:color w:val="211F1A"/>
          <w:spacing w:val="-3"/>
          <w:sz w:val="24"/>
          <w:szCs w:val="24"/>
        </w:rPr>
        <w:t>od</w:t>
      </w:r>
      <w:r w:rsidRPr="00785831">
        <w:rPr>
          <w:color w:val="211F1A"/>
          <w:sz w:val="24"/>
          <w:szCs w:val="24"/>
        </w:rPr>
        <w:t>er</w:t>
      </w:r>
      <w:r w:rsidRPr="00785831">
        <w:rPr>
          <w:color w:val="211F1A"/>
          <w:spacing w:val="-9"/>
          <w:sz w:val="24"/>
          <w:szCs w:val="24"/>
        </w:rPr>
        <w:t xml:space="preserve"> </w:t>
      </w:r>
      <w:r w:rsidRPr="00785831">
        <w:rPr>
          <w:color w:val="211F1A"/>
          <w:spacing w:val="-1"/>
          <w:sz w:val="24"/>
          <w:szCs w:val="24"/>
        </w:rPr>
        <w:t>m</w:t>
      </w:r>
      <w:r w:rsidRPr="00785831">
        <w:rPr>
          <w:color w:val="211F1A"/>
          <w:spacing w:val="-2"/>
          <w:sz w:val="24"/>
          <w:szCs w:val="24"/>
        </w:rPr>
        <w:t>e</w:t>
      </w:r>
      <w:r w:rsidRPr="00785831">
        <w:rPr>
          <w:color w:val="211F1A"/>
          <w:sz w:val="24"/>
          <w:szCs w:val="24"/>
        </w:rPr>
        <w:t>d</w:t>
      </w:r>
      <w:r w:rsidRPr="00785831">
        <w:rPr>
          <w:color w:val="211F1A"/>
          <w:spacing w:val="-9"/>
          <w:sz w:val="24"/>
          <w:szCs w:val="24"/>
        </w:rPr>
        <w:t xml:space="preserve"> </w:t>
      </w:r>
      <w:r w:rsidRPr="00785831">
        <w:rPr>
          <w:color w:val="211F1A"/>
          <w:spacing w:val="-2"/>
          <w:sz w:val="24"/>
          <w:szCs w:val="24"/>
        </w:rPr>
        <w:t>g</w:t>
      </w:r>
      <w:r w:rsidRPr="00785831">
        <w:rPr>
          <w:color w:val="211F1A"/>
          <w:sz w:val="24"/>
          <w:szCs w:val="24"/>
        </w:rPr>
        <w:t xml:space="preserve">od </w:t>
      </w:r>
      <w:r w:rsidRPr="00785831">
        <w:rPr>
          <w:color w:val="211F1A"/>
          <w:spacing w:val="-1"/>
          <w:sz w:val="24"/>
          <w:szCs w:val="24"/>
        </w:rPr>
        <w:t>s</w:t>
      </w:r>
      <w:r w:rsidRPr="00785831">
        <w:rPr>
          <w:color w:val="211F1A"/>
          <w:sz w:val="24"/>
          <w:szCs w:val="24"/>
        </w:rPr>
        <w:t>e</w:t>
      </w:r>
      <w:r w:rsidRPr="00785831">
        <w:rPr>
          <w:color w:val="211F1A"/>
          <w:spacing w:val="-3"/>
          <w:sz w:val="24"/>
          <w:szCs w:val="24"/>
        </w:rPr>
        <w:t>n</w:t>
      </w:r>
      <w:r w:rsidRPr="00785831">
        <w:rPr>
          <w:color w:val="211F1A"/>
          <w:spacing w:val="-2"/>
          <w:sz w:val="24"/>
          <w:szCs w:val="24"/>
        </w:rPr>
        <w:t>s</w:t>
      </w:r>
      <w:r w:rsidRPr="00785831">
        <w:rPr>
          <w:color w:val="211F1A"/>
          <w:sz w:val="24"/>
          <w:szCs w:val="24"/>
        </w:rPr>
        <w:t>i</w:t>
      </w:r>
      <w:r w:rsidRPr="00785831">
        <w:rPr>
          <w:color w:val="211F1A"/>
          <w:spacing w:val="-1"/>
          <w:sz w:val="24"/>
          <w:szCs w:val="24"/>
        </w:rPr>
        <w:t>t</w:t>
      </w:r>
      <w:r w:rsidRPr="00785831">
        <w:rPr>
          <w:color w:val="211F1A"/>
          <w:spacing w:val="-3"/>
          <w:sz w:val="24"/>
          <w:szCs w:val="24"/>
        </w:rPr>
        <w:t>iv</w:t>
      </w:r>
      <w:r w:rsidRPr="00785831">
        <w:rPr>
          <w:color w:val="211F1A"/>
          <w:sz w:val="24"/>
          <w:szCs w:val="24"/>
        </w:rPr>
        <w:t>i</w:t>
      </w:r>
      <w:r w:rsidRPr="00785831">
        <w:rPr>
          <w:color w:val="211F1A"/>
          <w:spacing w:val="-3"/>
          <w:sz w:val="24"/>
          <w:szCs w:val="24"/>
        </w:rPr>
        <w:t>t</w:t>
      </w:r>
      <w:r w:rsidRPr="00785831">
        <w:rPr>
          <w:color w:val="211F1A"/>
          <w:sz w:val="24"/>
          <w:szCs w:val="24"/>
        </w:rPr>
        <w:t>e</w:t>
      </w:r>
      <w:r w:rsidRPr="00785831">
        <w:rPr>
          <w:color w:val="211F1A"/>
          <w:spacing w:val="-3"/>
          <w:sz w:val="24"/>
          <w:szCs w:val="24"/>
        </w:rPr>
        <w:t>t</w:t>
      </w:r>
      <w:r w:rsidRPr="00785831">
        <w:rPr>
          <w:color w:val="211F1A"/>
          <w:sz w:val="24"/>
          <w:szCs w:val="24"/>
        </w:rPr>
        <w:t xml:space="preserve"> och hög specificitet.</w:t>
      </w:r>
      <w:r w:rsidRPr="00785831">
        <w:rPr>
          <w:color w:val="211F1A"/>
          <w:spacing w:val="-9"/>
          <w:sz w:val="24"/>
          <w:szCs w:val="24"/>
        </w:rPr>
        <w:t xml:space="preserve"> </w:t>
      </w:r>
      <w:r w:rsidRPr="00785831">
        <w:rPr>
          <w:color w:val="211F1A"/>
          <w:sz w:val="24"/>
          <w:szCs w:val="24"/>
        </w:rPr>
        <w:t>Ve</w:t>
      </w:r>
      <w:r w:rsidRPr="00785831">
        <w:rPr>
          <w:color w:val="211F1A"/>
          <w:spacing w:val="-3"/>
          <w:sz w:val="24"/>
          <w:szCs w:val="24"/>
        </w:rPr>
        <w:t>t</w:t>
      </w:r>
      <w:r w:rsidRPr="00785831">
        <w:rPr>
          <w:color w:val="211F1A"/>
          <w:sz w:val="24"/>
          <w:szCs w:val="24"/>
        </w:rPr>
        <w:t>e</w:t>
      </w:r>
      <w:r w:rsidRPr="00785831">
        <w:rPr>
          <w:color w:val="211F1A"/>
          <w:spacing w:val="-3"/>
          <w:sz w:val="24"/>
          <w:szCs w:val="24"/>
        </w:rPr>
        <w:t>n</w:t>
      </w:r>
      <w:r w:rsidRPr="00785831">
        <w:rPr>
          <w:color w:val="211F1A"/>
          <w:spacing w:val="-2"/>
          <w:sz w:val="24"/>
          <w:szCs w:val="24"/>
        </w:rPr>
        <w:t>s</w:t>
      </w:r>
      <w:r w:rsidRPr="00785831">
        <w:rPr>
          <w:color w:val="211F1A"/>
          <w:sz w:val="24"/>
          <w:szCs w:val="24"/>
        </w:rPr>
        <w:t>k</w:t>
      </w:r>
      <w:r w:rsidRPr="00785831">
        <w:rPr>
          <w:color w:val="211F1A"/>
          <w:spacing w:val="-2"/>
          <w:sz w:val="24"/>
          <w:szCs w:val="24"/>
        </w:rPr>
        <w:t>a</w:t>
      </w:r>
      <w:r w:rsidRPr="00785831">
        <w:rPr>
          <w:color w:val="211F1A"/>
          <w:spacing w:val="-1"/>
          <w:sz w:val="24"/>
          <w:szCs w:val="24"/>
        </w:rPr>
        <w:t>p</w:t>
      </w:r>
      <w:r w:rsidRPr="00785831">
        <w:rPr>
          <w:color w:val="211F1A"/>
          <w:spacing w:val="-3"/>
          <w:sz w:val="24"/>
          <w:szCs w:val="24"/>
        </w:rPr>
        <w:t>l</w:t>
      </w:r>
      <w:r w:rsidRPr="00785831">
        <w:rPr>
          <w:color w:val="211F1A"/>
          <w:sz w:val="24"/>
          <w:szCs w:val="24"/>
        </w:rPr>
        <w:t>i</w:t>
      </w:r>
      <w:r w:rsidRPr="00785831">
        <w:rPr>
          <w:color w:val="211F1A"/>
          <w:spacing w:val="-2"/>
          <w:sz w:val="24"/>
          <w:szCs w:val="24"/>
        </w:rPr>
        <w:t>g</w:t>
      </w:r>
      <w:r w:rsidRPr="00785831">
        <w:rPr>
          <w:color w:val="211F1A"/>
          <w:sz w:val="24"/>
          <w:szCs w:val="24"/>
        </w:rPr>
        <w:t>t</w:t>
      </w:r>
      <w:r w:rsidRPr="00785831">
        <w:rPr>
          <w:color w:val="211F1A"/>
          <w:spacing w:val="-13"/>
          <w:sz w:val="24"/>
          <w:szCs w:val="24"/>
        </w:rPr>
        <w:t xml:space="preserve"> </w:t>
      </w:r>
      <w:r w:rsidRPr="00785831">
        <w:rPr>
          <w:color w:val="211F1A"/>
          <w:spacing w:val="-2"/>
          <w:sz w:val="24"/>
          <w:szCs w:val="24"/>
        </w:rPr>
        <w:t>s</w:t>
      </w:r>
      <w:r w:rsidRPr="00785831">
        <w:rPr>
          <w:color w:val="211F1A"/>
          <w:sz w:val="24"/>
          <w:szCs w:val="24"/>
        </w:rPr>
        <w:t>töd</w:t>
      </w:r>
      <w:r w:rsidRPr="00785831">
        <w:rPr>
          <w:color w:val="211F1A"/>
          <w:spacing w:val="-7"/>
          <w:sz w:val="24"/>
          <w:szCs w:val="24"/>
        </w:rPr>
        <w:t xml:space="preserve"> </w:t>
      </w:r>
      <w:r w:rsidRPr="00785831">
        <w:rPr>
          <w:color w:val="211F1A"/>
          <w:spacing w:val="-1"/>
          <w:sz w:val="24"/>
          <w:szCs w:val="24"/>
        </w:rPr>
        <w:t>f</w:t>
      </w:r>
      <w:r w:rsidRPr="00785831">
        <w:rPr>
          <w:color w:val="211F1A"/>
          <w:spacing w:val="-3"/>
          <w:sz w:val="24"/>
          <w:szCs w:val="24"/>
        </w:rPr>
        <w:t>in</w:t>
      </w:r>
      <w:r w:rsidRPr="00785831">
        <w:rPr>
          <w:color w:val="211F1A"/>
          <w:sz w:val="24"/>
          <w:szCs w:val="24"/>
        </w:rPr>
        <w:t>ns</w:t>
      </w:r>
      <w:r w:rsidRPr="00785831">
        <w:rPr>
          <w:color w:val="211F1A"/>
          <w:spacing w:val="-10"/>
          <w:sz w:val="24"/>
          <w:szCs w:val="24"/>
        </w:rPr>
        <w:t xml:space="preserve"> </w:t>
      </w:r>
      <w:r w:rsidRPr="00785831">
        <w:rPr>
          <w:color w:val="211F1A"/>
          <w:spacing w:val="-1"/>
          <w:sz w:val="24"/>
          <w:szCs w:val="24"/>
        </w:rPr>
        <w:t>f</w:t>
      </w:r>
      <w:r w:rsidRPr="00785831">
        <w:rPr>
          <w:color w:val="211F1A"/>
          <w:spacing w:val="2"/>
          <w:sz w:val="24"/>
          <w:szCs w:val="24"/>
        </w:rPr>
        <w:t>ö</w:t>
      </w:r>
      <w:r w:rsidRPr="00785831">
        <w:rPr>
          <w:color w:val="211F1A"/>
          <w:sz w:val="24"/>
          <w:szCs w:val="24"/>
        </w:rPr>
        <w:t>r</w:t>
      </w:r>
      <w:r w:rsidRPr="00785831">
        <w:rPr>
          <w:color w:val="211F1A"/>
          <w:spacing w:val="-9"/>
          <w:sz w:val="24"/>
          <w:szCs w:val="24"/>
        </w:rPr>
        <w:t xml:space="preserve"> </w:t>
      </w:r>
      <w:r w:rsidRPr="00785831">
        <w:rPr>
          <w:color w:val="211F1A"/>
          <w:spacing w:val="-2"/>
          <w:sz w:val="24"/>
          <w:szCs w:val="24"/>
        </w:rPr>
        <w:t>e</w:t>
      </w:r>
      <w:r w:rsidRPr="00785831">
        <w:rPr>
          <w:color w:val="211F1A"/>
          <w:spacing w:val="-1"/>
          <w:sz w:val="24"/>
          <w:szCs w:val="24"/>
        </w:rPr>
        <w:t>ff</w:t>
      </w:r>
      <w:r w:rsidRPr="00785831">
        <w:rPr>
          <w:color w:val="211F1A"/>
          <w:sz w:val="24"/>
          <w:szCs w:val="24"/>
        </w:rPr>
        <w:t>ekt</w:t>
      </w:r>
      <w:r w:rsidRPr="00785831">
        <w:rPr>
          <w:color w:val="211F1A"/>
          <w:spacing w:val="-12"/>
          <w:sz w:val="24"/>
          <w:szCs w:val="24"/>
        </w:rPr>
        <w:t xml:space="preserve"> </w:t>
      </w:r>
      <w:r w:rsidRPr="00785831">
        <w:rPr>
          <w:color w:val="211F1A"/>
          <w:sz w:val="24"/>
          <w:szCs w:val="24"/>
        </w:rPr>
        <w:t>av</w:t>
      </w:r>
      <w:r w:rsidRPr="00785831">
        <w:rPr>
          <w:color w:val="211F1A"/>
          <w:spacing w:val="-10"/>
          <w:sz w:val="24"/>
          <w:szCs w:val="24"/>
        </w:rPr>
        <w:t xml:space="preserve"> </w:t>
      </w:r>
      <w:r w:rsidRPr="00785831">
        <w:rPr>
          <w:color w:val="211F1A"/>
          <w:spacing w:val="-2"/>
          <w:sz w:val="24"/>
          <w:szCs w:val="24"/>
        </w:rPr>
        <w:t>så</w:t>
      </w:r>
      <w:r w:rsidRPr="00785831">
        <w:rPr>
          <w:color w:val="211F1A"/>
          <w:spacing w:val="-6"/>
          <w:sz w:val="24"/>
          <w:szCs w:val="24"/>
        </w:rPr>
        <w:t>v</w:t>
      </w:r>
      <w:r w:rsidRPr="00785831">
        <w:rPr>
          <w:color w:val="211F1A"/>
          <w:sz w:val="24"/>
          <w:szCs w:val="24"/>
        </w:rPr>
        <w:t>äl</w:t>
      </w:r>
      <w:r w:rsidRPr="00785831">
        <w:rPr>
          <w:color w:val="211F1A"/>
          <w:spacing w:val="-9"/>
          <w:sz w:val="24"/>
          <w:szCs w:val="24"/>
        </w:rPr>
        <w:t xml:space="preserve"> </w:t>
      </w:r>
      <w:r w:rsidRPr="00785831">
        <w:rPr>
          <w:color w:val="211F1A"/>
          <w:sz w:val="24"/>
          <w:szCs w:val="24"/>
        </w:rPr>
        <w:t>en</w:t>
      </w:r>
      <w:r w:rsidRPr="00785831">
        <w:rPr>
          <w:color w:val="211F1A"/>
          <w:spacing w:val="-3"/>
          <w:sz w:val="24"/>
          <w:szCs w:val="24"/>
        </w:rPr>
        <w:t>k</w:t>
      </w:r>
      <w:r w:rsidRPr="00785831">
        <w:rPr>
          <w:color w:val="211F1A"/>
          <w:sz w:val="24"/>
          <w:szCs w:val="24"/>
        </w:rPr>
        <w:t>la</w:t>
      </w:r>
      <w:r w:rsidRPr="00785831">
        <w:rPr>
          <w:color w:val="211F1A"/>
          <w:spacing w:val="-8"/>
          <w:sz w:val="24"/>
          <w:szCs w:val="24"/>
        </w:rPr>
        <w:t xml:space="preserve"> </w:t>
      </w:r>
      <w:r w:rsidRPr="00785831">
        <w:rPr>
          <w:color w:val="211F1A"/>
          <w:sz w:val="24"/>
          <w:szCs w:val="24"/>
        </w:rPr>
        <w:t>i</w:t>
      </w:r>
      <w:r w:rsidRPr="00785831">
        <w:rPr>
          <w:color w:val="211F1A"/>
          <w:spacing w:val="-3"/>
          <w:sz w:val="24"/>
          <w:szCs w:val="24"/>
        </w:rPr>
        <w:t>n</w:t>
      </w:r>
      <w:r w:rsidRPr="00785831">
        <w:rPr>
          <w:color w:val="211F1A"/>
          <w:spacing w:val="-1"/>
          <w:sz w:val="24"/>
          <w:szCs w:val="24"/>
        </w:rPr>
        <w:t>t</w:t>
      </w:r>
      <w:r w:rsidRPr="00785831">
        <w:rPr>
          <w:color w:val="211F1A"/>
          <w:sz w:val="24"/>
          <w:szCs w:val="24"/>
        </w:rPr>
        <w:t>e</w:t>
      </w:r>
      <w:r w:rsidRPr="00785831">
        <w:rPr>
          <w:color w:val="211F1A"/>
          <w:spacing w:val="-6"/>
          <w:sz w:val="24"/>
          <w:szCs w:val="24"/>
        </w:rPr>
        <w:t>rv</w:t>
      </w:r>
      <w:r w:rsidRPr="00785831">
        <w:rPr>
          <w:color w:val="211F1A"/>
          <w:sz w:val="24"/>
          <w:szCs w:val="24"/>
        </w:rPr>
        <w:t>ene</w:t>
      </w:r>
      <w:r w:rsidRPr="00785831">
        <w:rPr>
          <w:color w:val="211F1A"/>
          <w:spacing w:val="-6"/>
          <w:sz w:val="24"/>
          <w:szCs w:val="24"/>
        </w:rPr>
        <w:t>r</w:t>
      </w:r>
      <w:r w:rsidRPr="00785831">
        <w:rPr>
          <w:color w:val="211F1A"/>
          <w:sz w:val="24"/>
          <w:szCs w:val="24"/>
        </w:rPr>
        <w:t>a</w:t>
      </w:r>
      <w:r w:rsidRPr="00785831">
        <w:rPr>
          <w:color w:val="211F1A"/>
          <w:spacing w:val="-3"/>
          <w:sz w:val="24"/>
          <w:szCs w:val="24"/>
        </w:rPr>
        <w:t>n</w:t>
      </w:r>
      <w:r w:rsidRPr="00785831">
        <w:rPr>
          <w:color w:val="211F1A"/>
          <w:sz w:val="24"/>
          <w:szCs w:val="24"/>
        </w:rPr>
        <w:t>de</w:t>
      </w:r>
      <w:r w:rsidRPr="00785831">
        <w:rPr>
          <w:color w:val="211F1A"/>
          <w:spacing w:val="-10"/>
          <w:sz w:val="24"/>
          <w:szCs w:val="24"/>
        </w:rPr>
        <w:t xml:space="preserve"> </w:t>
      </w:r>
      <w:r w:rsidRPr="00785831">
        <w:rPr>
          <w:color w:val="211F1A"/>
          <w:spacing w:val="-4"/>
          <w:sz w:val="24"/>
          <w:szCs w:val="24"/>
        </w:rPr>
        <w:t>å</w:t>
      </w:r>
      <w:r w:rsidRPr="00785831">
        <w:rPr>
          <w:color w:val="211F1A"/>
          <w:spacing w:val="-1"/>
          <w:sz w:val="24"/>
          <w:szCs w:val="24"/>
        </w:rPr>
        <w:t>t</w:t>
      </w:r>
      <w:r w:rsidRPr="00785831">
        <w:rPr>
          <w:color w:val="211F1A"/>
          <w:spacing w:val="-6"/>
          <w:sz w:val="24"/>
          <w:szCs w:val="24"/>
        </w:rPr>
        <w:t>g</w:t>
      </w:r>
      <w:r w:rsidRPr="00785831">
        <w:rPr>
          <w:color w:val="211F1A"/>
          <w:sz w:val="24"/>
          <w:szCs w:val="24"/>
        </w:rPr>
        <w:t>ä</w:t>
      </w:r>
      <w:r w:rsidRPr="00785831">
        <w:rPr>
          <w:color w:val="211F1A"/>
          <w:spacing w:val="-1"/>
          <w:sz w:val="24"/>
          <w:szCs w:val="24"/>
        </w:rPr>
        <w:t>r</w:t>
      </w:r>
      <w:r w:rsidRPr="00785831">
        <w:rPr>
          <w:color w:val="211F1A"/>
          <w:sz w:val="24"/>
          <w:szCs w:val="24"/>
        </w:rPr>
        <w:t>der</w:t>
      </w:r>
      <w:r w:rsidRPr="00785831">
        <w:rPr>
          <w:color w:val="211F1A"/>
          <w:spacing w:val="-10"/>
          <w:sz w:val="24"/>
          <w:szCs w:val="24"/>
        </w:rPr>
        <w:t xml:space="preserve"> </w:t>
      </w:r>
      <w:r w:rsidRPr="00785831">
        <w:rPr>
          <w:color w:val="211F1A"/>
          <w:sz w:val="24"/>
          <w:szCs w:val="24"/>
        </w:rPr>
        <w:t>i</w:t>
      </w:r>
      <w:r w:rsidRPr="00785831">
        <w:rPr>
          <w:color w:val="211F1A"/>
          <w:spacing w:val="-8"/>
          <w:sz w:val="24"/>
          <w:szCs w:val="24"/>
        </w:rPr>
        <w:t xml:space="preserve"> </w:t>
      </w:r>
      <w:r w:rsidRPr="00785831">
        <w:rPr>
          <w:color w:val="211F1A"/>
          <w:spacing w:val="-1"/>
          <w:sz w:val="24"/>
          <w:szCs w:val="24"/>
        </w:rPr>
        <w:t>t</w:t>
      </w:r>
      <w:r w:rsidRPr="00785831">
        <w:rPr>
          <w:color w:val="211F1A"/>
          <w:sz w:val="24"/>
          <w:szCs w:val="24"/>
        </w:rPr>
        <w:t>i</w:t>
      </w:r>
      <w:r w:rsidRPr="00785831">
        <w:rPr>
          <w:color w:val="211F1A"/>
          <w:spacing w:val="-2"/>
          <w:sz w:val="24"/>
          <w:szCs w:val="24"/>
        </w:rPr>
        <w:t>d</w:t>
      </w:r>
      <w:r w:rsidRPr="00785831">
        <w:rPr>
          <w:color w:val="211F1A"/>
          <w:sz w:val="24"/>
          <w:szCs w:val="24"/>
        </w:rPr>
        <w:t>i</w:t>
      </w:r>
      <w:r w:rsidRPr="00785831">
        <w:rPr>
          <w:color w:val="211F1A"/>
          <w:spacing w:val="-2"/>
          <w:sz w:val="24"/>
          <w:szCs w:val="24"/>
        </w:rPr>
        <w:t>g</w:t>
      </w:r>
      <w:r w:rsidRPr="00785831">
        <w:rPr>
          <w:color w:val="211F1A"/>
          <w:sz w:val="24"/>
          <w:szCs w:val="24"/>
        </w:rPr>
        <w:t>t</w:t>
      </w:r>
      <w:r w:rsidRPr="00785831">
        <w:rPr>
          <w:color w:val="211F1A"/>
          <w:spacing w:val="-10"/>
          <w:sz w:val="24"/>
          <w:szCs w:val="24"/>
        </w:rPr>
        <w:t xml:space="preserve"> </w:t>
      </w:r>
      <w:r w:rsidRPr="00785831">
        <w:rPr>
          <w:color w:val="211F1A"/>
          <w:spacing w:val="-2"/>
          <w:sz w:val="24"/>
          <w:szCs w:val="24"/>
        </w:rPr>
        <w:t>s</w:t>
      </w:r>
      <w:r w:rsidRPr="00785831">
        <w:rPr>
          <w:color w:val="211F1A"/>
          <w:spacing w:val="-3"/>
          <w:sz w:val="24"/>
          <w:szCs w:val="24"/>
        </w:rPr>
        <w:t>k</w:t>
      </w:r>
      <w:r w:rsidRPr="00785831">
        <w:rPr>
          <w:color w:val="211F1A"/>
          <w:sz w:val="24"/>
          <w:szCs w:val="24"/>
        </w:rPr>
        <w:t>e</w:t>
      </w:r>
      <w:r w:rsidRPr="00785831">
        <w:rPr>
          <w:color w:val="211F1A"/>
          <w:spacing w:val="-3"/>
          <w:sz w:val="24"/>
          <w:szCs w:val="24"/>
        </w:rPr>
        <w:t>d</w:t>
      </w:r>
      <w:r w:rsidRPr="00785831">
        <w:rPr>
          <w:color w:val="211F1A"/>
          <w:sz w:val="24"/>
          <w:szCs w:val="24"/>
        </w:rPr>
        <w:t>e</w:t>
      </w:r>
      <w:r w:rsidRPr="00785831">
        <w:rPr>
          <w:color w:val="211F1A"/>
          <w:w w:val="99"/>
          <w:sz w:val="24"/>
          <w:szCs w:val="24"/>
        </w:rPr>
        <w:t xml:space="preserve"> </w:t>
      </w:r>
      <w:r w:rsidRPr="00785831">
        <w:rPr>
          <w:color w:val="211F1A"/>
          <w:spacing w:val="-1"/>
          <w:sz w:val="24"/>
          <w:szCs w:val="24"/>
        </w:rPr>
        <w:t>s</w:t>
      </w:r>
      <w:r w:rsidRPr="00785831">
        <w:rPr>
          <w:color w:val="211F1A"/>
          <w:sz w:val="24"/>
          <w:szCs w:val="24"/>
        </w:rPr>
        <w:t>om</w:t>
      </w:r>
      <w:r w:rsidRPr="00785831">
        <w:rPr>
          <w:color w:val="211F1A"/>
          <w:spacing w:val="-15"/>
          <w:sz w:val="24"/>
          <w:szCs w:val="24"/>
        </w:rPr>
        <w:t xml:space="preserve"> </w:t>
      </w:r>
      <w:r w:rsidRPr="00785831">
        <w:rPr>
          <w:color w:val="211F1A"/>
          <w:spacing w:val="-3"/>
          <w:sz w:val="24"/>
          <w:szCs w:val="24"/>
        </w:rPr>
        <w:t>l</w:t>
      </w:r>
      <w:r w:rsidRPr="00785831">
        <w:rPr>
          <w:color w:val="211F1A"/>
          <w:sz w:val="24"/>
          <w:szCs w:val="24"/>
        </w:rPr>
        <w:t>ä</w:t>
      </w:r>
      <w:r w:rsidRPr="00785831">
        <w:rPr>
          <w:color w:val="211F1A"/>
          <w:spacing w:val="-3"/>
          <w:sz w:val="24"/>
          <w:szCs w:val="24"/>
        </w:rPr>
        <w:t>k</w:t>
      </w:r>
      <w:r w:rsidRPr="00785831">
        <w:rPr>
          <w:color w:val="211F1A"/>
          <w:spacing w:val="-5"/>
          <w:sz w:val="24"/>
          <w:szCs w:val="24"/>
        </w:rPr>
        <w:t>e</w:t>
      </w:r>
      <w:r w:rsidRPr="00785831">
        <w:rPr>
          <w:color w:val="211F1A"/>
          <w:spacing w:val="-1"/>
          <w:sz w:val="24"/>
          <w:szCs w:val="24"/>
        </w:rPr>
        <w:t>m</w:t>
      </w:r>
      <w:r w:rsidRPr="00785831">
        <w:rPr>
          <w:color w:val="211F1A"/>
          <w:sz w:val="24"/>
          <w:szCs w:val="24"/>
        </w:rPr>
        <w:t>e</w:t>
      </w:r>
      <w:r w:rsidRPr="00785831">
        <w:rPr>
          <w:color w:val="211F1A"/>
          <w:spacing w:val="-3"/>
          <w:sz w:val="24"/>
          <w:szCs w:val="24"/>
        </w:rPr>
        <w:t>d</w:t>
      </w:r>
      <w:r w:rsidRPr="00785831">
        <w:rPr>
          <w:color w:val="211F1A"/>
          <w:spacing w:val="-5"/>
          <w:sz w:val="24"/>
          <w:szCs w:val="24"/>
        </w:rPr>
        <w:t>e</w:t>
      </w:r>
      <w:r w:rsidRPr="00785831">
        <w:rPr>
          <w:color w:val="211F1A"/>
          <w:sz w:val="24"/>
          <w:szCs w:val="24"/>
        </w:rPr>
        <w:t>l</w:t>
      </w:r>
      <w:r w:rsidRPr="00785831">
        <w:rPr>
          <w:color w:val="211F1A"/>
          <w:spacing w:val="-2"/>
          <w:sz w:val="24"/>
          <w:szCs w:val="24"/>
        </w:rPr>
        <w:t>s</w:t>
      </w:r>
      <w:r w:rsidRPr="00785831">
        <w:rPr>
          <w:color w:val="211F1A"/>
          <w:spacing w:val="-1"/>
          <w:sz w:val="24"/>
          <w:szCs w:val="24"/>
        </w:rPr>
        <w:t>b</w:t>
      </w:r>
      <w:r w:rsidRPr="00785831">
        <w:rPr>
          <w:color w:val="211F1A"/>
          <w:spacing w:val="-2"/>
          <w:sz w:val="24"/>
          <w:szCs w:val="24"/>
        </w:rPr>
        <w:t>e</w:t>
      </w:r>
      <w:r w:rsidRPr="00785831">
        <w:rPr>
          <w:color w:val="211F1A"/>
          <w:spacing w:val="-3"/>
          <w:sz w:val="24"/>
          <w:szCs w:val="24"/>
        </w:rPr>
        <w:t>h</w:t>
      </w:r>
      <w:r w:rsidRPr="00785831">
        <w:rPr>
          <w:color w:val="211F1A"/>
          <w:spacing w:val="-2"/>
          <w:sz w:val="24"/>
          <w:szCs w:val="24"/>
        </w:rPr>
        <w:t>a</w:t>
      </w:r>
      <w:r w:rsidRPr="00785831">
        <w:rPr>
          <w:color w:val="211F1A"/>
          <w:spacing w:val="-1"/>
          <w:sz w:val="24"/>
          <w:szCs w:val="24"/>
        </w:rPr>
        <w:t>n</w:t>
      </w:r>
      <w:r w:rsidRPr="00785831">
        <w:rPr>
          <w:color w:val="211F1A"/>
          <w:spacing w:val="-3"/>
          <w:sz w:val="24"/>
          <w:szCs w:val="24"/>
        </w:rPr>
        <w:t>d</w:t>
      </w:r>
      <w:r w:rsidRPr="00785831">
        <w:rPr>
          <w:color w:val="211F1A"/>
          <w:sz w:val="24"/>
          <w:szCs w:val="24"/>
        </w:rPr>
        <w:t>li</w:t>
      </w:r>
      <w:r w:rsidRPr="00785831">
        <w:rPr>
          <w:color w:val="211F1A"/>
          <w:spacing w:val="-3"/>
          <w:sz w:val="24"/>
          <w:szCs w:val="24"/>
        </w:rPr>
        <w:t>n</w:t>
      </w:r>
      <w:r w:rsidRPr="00785831">
        <w:rPr>
          <w:color w:val="211F1A"/>
          <w:spacing w:val="-6"/>
          <w:sz w:val="24"/>
          <w:szCs w:val="24"/>
        </w:rPr>
        <w:t>g.</w:t>
      </w:r>
    </w:p>
    <w:p w14:paraId="72FFF2AD" w14:textId="77777777" w:rsidR="00702564" w:rsidRPr="0071138D" w:rsidRDefault="00702564" w:rsidP="00702564">
      <w:pPr>
        <w:pStyle w:val="Rubrik3"/>
      </w:pPr>
      <w:r>
        <w:t>Behandlingsmål</w:t>
      </w:r>
    </w:p>
    <w:p w14:paraId="600DC18B" w14:textId="77777777" w:rsidR="00702564" w:rsidRDefault="00702564" w:rsidP="00702564">
      <w:pPr>
        <w:spacing w:before="120"/>
        <w:rPr>
          <w:sz w:val="24"/>
          <w:szCs w:val="24"/>
        </w:rPr>
      </w:pPr>
      <w:r w:rsidRPr="3A20558F">
        <w:rPr>
          <w:sz w:val="24"/>
          <w:szCs w:val="24"/>
        </w:rPr>
        <w:t>Att minska patientens alkoholkonsumtion i första hand eller i andra hand, att hjälpa patienten att avstå helt från alkohol.</w:t>
      </w:r>
    </w:p>
    <w:p w14:paraId="0AC6E484" w14:textId="77777777" w:rsidR="00702564" w:rsidRDefault="00702564" w:rsidP="00702564">
      <w:pPr>
        <w:tabs>
          <w:tab w:val="clear" w:pos="284"/>
        </w:tabs>
        <w:spacing w:after="120" w:line="260" w:lineRule="atLeast"/>
        <w:rPr>
          <w:sz w:val="24"/>
          <w:szCs w:val="24"/>
        </w:rPr>
      </w:pPr>
      <w:r>
        <w:rPr>
          <w:sz w:val="24"/>
          <w:szCs w:val="24"/>
        </w:rPr>
        <w:br w:type="page"/>
      </w:r>
    </w:p>
    <w:p w14:paraId="0B394877" w14:textId="77777777" w:rsidR="00702564" w:rsidRPr="008A7075" w:rsidRDefault="00702564" w:rsidP="00702564">
      <w:pPr>
        <w:pStyle w:val="Rubrik3"/>
      </w:pPr>
      <w:r>
        <w:lastRenderedPageBreak/>
        <w:t>Utredning</w:t>
      </w:r>
    </w:p>
    <w:p w14:paraId="2F9DACA9" w14:textId="77777777" w:rsidR="00702564" w:rsidRPr="00785831" w:rsidRDefault="00702564" w:rsidP="00702564">
      <w:pPr>
        <w:spacing w:before="120"/>
        <w:rPr>
          <w:sz w:val="24"/>
          <w:szCs w:val="24"/>
        </w:rPr>
      </w:pPr>
      <w:r w:rsidRPr="3A20558F">
        <w:rPr>
          <w:sz w:val="24"/>
          <w:szCs w:val="24"/>
        </w:rPr>
        <w:t xml:space="preserve">Utredning av alkoholproblem grundas på en noggrann anamnes med frågor om alkoholkonsumtion över tid och alkoholkonsumtionens konsekvenser. Om utredningen visar att alkoholberoendet är mer komplext bör samverkan med socialtjänsten i patientens kommun initieras. För att kunna utvärdera behandlingseffekt bör alkoholkonsumtionsparametrar (CDT och/eller PEth) mätas regelbundet. Vid behandling med disulfiram eller naltrexon </w:t>
      </w:r>
      <w:r w:rsidRPr="3A20558F">
        <w:rPr>
          <w:sz w:val="24"/>
          <w:szCs w:val="24"/>
          <w:u w:val="single"/>
        </w:rPr>
        <w:t>ska</w:t>
      </w:r>
      <w:r w:rsidRPr="3A20558F">
        <w:rPr>
          <w:sz w:val="24"/>
          <w:szCs w:val="24"/>
        </w:rPr>
        <w:t xml:space="preserve"> leverfunktionstest göras. </w:t>
      </w:r>
    </w:p>
    <w:p w14:paraId="4EF5A869" w14:textId="77777777" w:rsidR="00702564" w:rsidRPr="008D4F3B" w:rsidRDefault="00702564" w:rsidP="00702564">
      <w:pPr>
        <w:pStyle w:val="Rubrik3"/>
      </w:pPr>
      <w:r w:rsidRPr="008A7075">
        <w:rPr>
          <w:spacing w:val="-12"/>
        </w:rPr>
        <w:t>B</w:t>
      </w:r>
      <w:r w:rsidRPr="008A7075">
        <w:rPr>
          <w:spacing w:val="1"/>
        </w:rPr>
        <w:t>e</w:t>
      </w:r>
      <w:r w:rsidRPr="008A7075">
        <w:t>han</w:t>
      </w:r>
      <w:r w:rsidRPr="008A7075">
        <w:rPr>
          <w:spacing w:val="-1"/>
        </w:rPr>
        <w:t>d</w:t>
      </w:r>
      <w:r w:rsidRPr="008A7075">
        <w:rPr>
          <w:spacing w:val="-2"/>
        </w:rPr>
        <w:t>l</w:t>
      </w:r>
      <w:r w:rsidRPr="008A7075">
        <w:t>ing</w:t>
      </w:r>
      <w:r>
        <w:br/>
      </w:r>
      <w:r w:rsidRPr="3A20558F">
        <w:t>Icke-farmakologisk behandling</w:t>
      </w:r>
    </w:p>
    <w:p w14:paraId="414A95E4" w14:textId="77777777" w:rsidR="00702564" w:rsidRPr="00785831" w:rsidRDefault="00702564" w:rsidP="00702564">
      <w:pPr>
        <w:spacing w:before="120"/>
        <w:rPr>
          <w:sz w:val="24"/>
          <w:szCs w:val="24"/>
        </w:rPr>
      </w:pPr>
      <w:r w:rsidRPr="00785831">
        <w:rPr>
          <w:color w:val="211F1A"/>
          <w:spacing w:val="-1"/>
          <w:sz w:val="24"/>
          <w:szCs w:val="24"/>
        </w:rPr>
        <w:t>Icke-farmakologisk behandling mot alkoholberoende består i flera evidensbaserade psykosociala interventioner</w:t>
      </w:r>
      <w:r w:rsidRPr="00785831">
        <w:rPr>
          <w:sz w:val="24"/>
          <w:szCs w:val="24"/>
        </w:rPr>
        <w:t>: t.ex. KBT (</w:t>
      </w:r>
      <w:hyperlink r:id="rId138" w:history="1">
        <w:r w:rsidRPr="0086709B">
          <w:rPr>
            <w:rStyle w:val="Hyperlnk"/>
            <w:color w:val="0070C0"/>
            <w:sz w:val="24"/>
            <w:szCs w:val="24"/>
          </w:rPr>
          <w:t>Kognitiv beteendeterapi</w:t>
        </w:r>
      </w:hyperlink>
      <w:r w:rsidRPr="00785831">
        <w:rPr>
          <w:sz w:val="24"/>
          <w:szCs w:val="24"/>
        </w:rPr>
        <w:t xml:space="preserve">), </w:t>
      </w:r>
      <w:hyperlink r:id="rId139" w:history="1">
        <w:r w:rsidRPr="0086709B">
          <w:rPr>
            <w:rStyle w:val="Hyperlnk"/>
            <w:color w:val="0070C0"/>
            <w:sz w:val="24"/>
            <w:szCs w:val="24"/>
          </w:rPr>
          <w:t>återfalls</w:t>
        </w:r>
        <w:r w:rsidRPr="0086709B">
          <w:rPr>
            <w:rStyle w:val="Hyperlnk"/>
            <w:color w:val="0070C0"/>
            <w:sz w:val="24"/>
            <w:szCs w:val="24"/>
          </w:rPr>
          <w:softHyphen/>
          <w:t>prevention</w:t>
        </w:r>
      </w:hyperlink>
      <w:r w:rsidRPr="00785831">
        <w:rPr>
          <w:sz w:val="24"/>
          <w:szCs w:val="24"/>
        </w:rPr>
        <w:t xml:space="preserve">, </w:t>
      </w:r>
      <w:hyperlink r:id="rId140" w:history="1">
        <w:r w:rsidRPr="0086709B">
          <w:rPr>
            <w:rStyle w:val="Hyperlnk"/>
            <w:color w:val="0070C0"/>
            <w:sz w:val="24"/>
            <w:szCs w:val="24"/>
          </w:rPr>
          <w:t>tolvstegsprogram</w:t>
        </w:r>
      </w:hyperlink>
      <w:r w:rsidRPr="00785831">
        <w:rPr>
          <w:sz w:val="24"/>
          <w:szCs w:val="24"/>
        </w:rPr>
        <w:t xml:space="preserve">, </w:t>
      </w:r>
      <w:r>
        <w:rPr>
          <w:sz w:val="24"/>
          <w:szCs w:val="24"/>
        </w:rPr>
        <w:br/>
      </w:r>
      <w:r w:rsidRPr="00785831">
        <w:rPr>
          <w:sz w:val="24"/>
          <w:szCs w:val="24"/>
        </w:rPr>
        <w:t>CRA (</w:t>
      </w:r>
      <w:hyperlink r:id="rId141" w:history="1">
        <w:r w:rsidRPr="0086709B">
          <w:rPr>
            <w:rStyle w:val="Hyperlnk"/>
            <w:color w:val="0070C0"/>
            <w:sz w:val="24"/>
            <w:szCs w:val="24"/>
          </w:rPr>
          <w:t>Community Reinforcement Approach</w:t>
        </w:r>
      </w:hyperlink>
      <w:r w:rsidRPr="00785831">
        <w:rPr>
          <w:sz w:val="24"/>
          <w:szCs w:val="24"/>
        </w:rPr>
        <w:t xml:space="preserve">) eller </w:t>
      </w:r>
      <w:hyperlink r:id="rId142" w:history="1">
        <w:r w:rsidRPr="0086709B">
          <w:rPr>
            <w:rStyle w:val="Hyperlnk"/>
            <w:color w:val="0070C0"/>
            <w:sz w:val="24"/>
            <w:szCs w:val="24"/>
          </w:rPr>
          <w:t>motiverande samtal</w:t>
        </w:r>
      </w:hyperlink>
      <w:r w:rsidRPr="00785831">
        <w:rPr>
          <w:sz w:val="24"/>
          <w:szCs w:val="24"/>
        </w:rPr>
        <w:t xml:space="preserve">. </w:t>
      </w:r>
      <w:r>
        <w:rPr>
          <w:sz w:val="24"/>
          <w:szCs w:val="24"/>
        </w:rPr>
        <w:br/>
      </w:r>
      <w:r w:rsidRPr="00785831">
        <w:rPr>
          <w:sz w:val="24"/>
          <w:szCs w:val="24"/>
        </w:rPr>
        <w:t>Dessa finns tillgängliga inom socialtjänsten.</w:t>
      </w:r>
    </w:p>
    <w:p w14:paraId="65652C2F" w14:textId="77777777" w:rsidR="00702564" w:rsidRPr="00785831" w:rsidRDefault="00702564" w:rsidP="00702564">
      <w:pPr>
        <w:pStyle w:val="Rubrik4"/>
        <w:rPr>
          <w:color w:val="211F1A"/>
          <w:sz w:val="24"/>
          <w:szCs w:val="24"/>
        </w:rPr>
      </w:pPr>
      <w:r w:rsidRPr="00785831">
        <w:rPr>
          <w:sz w:val="24"/>
          <w:szCs w:val="24"/>
        </w:rPr>
        <w:t>Farmakologisk behandling</w:t>
      </w:r>
      <w:r w:rsidRPr="00785831">
        <w:rPr>
          <w:color w:val="211F1A"/>
          <w:spacing w:val="-1"/>
          <w:sz w:val="24"/>
          <w:szCs w:val="24"/>
        </w:rPr>
        <w:t xml:space="preserve"> </w:t>
      </w:r>
    </w:p>
    <w:p w14:paraId="0A915BA0" w14:textId="14B64F70" w:rsidR="00702564" w:rsidRPr="00785831" w:rsidRDefault="00702564" w:rsidP="00BB6263">
      <w:pPr>
        <w:spacing w:before="120"/>
        <w:rPr>
          <w:sz w:val="24"/>
          <w:szCs w:val="24"/>
        </w:rPr>
      </w:pPr>
      <w:r w:rsidRPr="00785831">
        <w:rPr>
          <w:color w:val="211F1A"/>
          <w:spacing w:val="-1"/>
          <w:sz w:val="24"/>
          <w:szCs w:val="24"/>
        </w:rPr>
        <w:t>Återfallsförebyggande l</w:t>
      </w:r>
      <w:r w:rsidRPr="00785831">
        <w:rPr>
          <w:color w:val="211F1A"/>
          <w:sz w:val="24"/>
          <w:szCs w:val="24"/>
        </w:rPr>
        <w:t>äk</w:t>
      </w:r>
      <w:r w:rsidRPr="00785831">
        <w:rPr>
          <w:color w:val="211F1A"/>
          <w:spacing w:val="-2"/>
          <w:sz w:val="24"/>
          <w:szCs w:val="24"/>
        </w:rPr>
        <w:t>e</w:t>
      </w:r>
      <w:r w:rsidRPr="00785831">
        <w:rPr>
          <w:color w:val="211F1A"/>
          <w:spacing w:val="-1"/>
          <w:sz w:val="24"/>
          <w:szCs w:val="24"/>
        </w:rPr>
        <w:t>m</w:t>
      </w:r>
      <w:r w:rsidRPr="00785831">
        <w:rPr>
          <w:color w:val="211F1A"/>
          <w:spacing w:val="-2"/>
          <w:sz w:val="24"/>
          <w:szCs w:val="24"/>
        </w:rPr>
        <w:t>e</w:t>
      </w:r>
      <w:r w:rsidRPr="00785831">
        <w:rPr>
          <w:color w:val="211F1A"/>
          <w:sz w:val="24"/>
          <w:szCs w:val="24"/>
        </w:rPr>
        <w:t>d</w:t>
      </w:r>
      <w:r w:rsidRPr="00785831">
        <w:rPr>
          <w:color w:val="211F1A"/>
          <w:spacing w:val="-2"/>
          <w:sz w:val="24"/>
          <w:szCs w:val="24"/>
        </w:rPr>
        <w:t>e</w:t>
      </w:r>
      <w:r w:rsidRPr="00785831">
        <w:rPr>
          <w:color w:val="211F1A"/>
          <w:sz w:val="24"/>
          <w:szCs w:val="24"/>
        </w:rPr>
        <w:t>l</w:t>
      </w:r>
      <w:r w:rsidRPr="00785831">
        <w:rPr>
          <w:color w:val="211F1A"/>
          <w:spacing w:val="-2"/>
          <w:sz w:val="24"/>
          <w:szCs w:val="24"/>
        </w:rPr>
        <w:t>s</w:t>
      </w:r>
      <w:r w:rsidRPr="00785831">
        <w:rPr>
          <w:color w:val="211F1A"/>
          <w:spacing w:val="-5"/>
          <w:sz w:val="24"/>
          <w:szCs w:val="24"/>
        </w:rPr>
        <w:t>b</w:t>
      </w:r>
      <w:r w:rsidRPr="00785831">
        <w:rPr>
          <w:color w:val="211F1A"/>
          <w:sz w:val="24"/>
          <w:szCs w:val="24"/>
        </w:rPr>
        <w:t>eh</w:t>
      </w:r>
      <w:r w:rsidRPr="00785831">
        <w:rPr>
          <w:color w:val="211F1A"/>
          <w:spacing w:val="-2"/>
          <w:sz w:val="24"/>
          <w:szCs w:val="24"/>
        </w:rPr>
        <w:t>a</w:t>
      </w:r>
      <w:r w:rsidRPr="00785831">
        <w:rPr>
          <w:color w:val="211F1A"/>
          <w:spacing w:val="-1"/>
          <w:sz w:val="24"/>
          <w:szCs w:val="24"/>
        </w:rPr>
        <w:t>n</w:t>
      </w:r>
      <w:r w:rsidRPr="00785831">
        <w:rPr>
          <w:color w:val="211F1A"/>
          <w:sz w:val="24"/>
          <w:szCs w:val="24"/>
        </w:rPr>
        <w:t>d</w:t>
      </w:r>
      <w:r w:rsidRPr="00785831">
        <w:rPr>
          <w:color w:val="211F1A"/>
          <w:spacing w:val="-3"/>
          <w:sz w:val="24"/>
          <w:szCs w:val="24"/>
        </w:rPr>
        <w:t>l</w:t>
      </w:r>
      <w:r w:rsidRPr="00785831">
        <w:rPr>
          <w:color w:val="211F1A"/>
          <w:sz w:val="24"/>
          <w:szCs w:val="24"/>
        </w:rPr>
        <w:t>i</w:t>
      </w:r>
      <w:r w:rsidRPr="00785831">
        <w:rPr>
          <w:color w:val="211F1A"/>
          <w:spacing w:val="-3"/>
          <w:sz w:val="24"/>
          <w:szCs w:val="24"/>
        </w:rPr>
        <w:t>n</w:t>
      </w:r>
      <w:r w:rsidRPr="00785831">
        <w:rPr>
          <w:color w:val="211F1A"/>
          <w:sz w:val="24"/>
          <w:szCs w:val="24"/>
        </w:rPr>
        <w:t>g</w:t>
      </w:r>
      <w:r w:rsidRPr="00785831">
        <w:rPr>
          <w:color w:val="211F1A"/>
          <w:spacing w:val="-9"/>
          <w:sz w:val="24"/>
          <w:szCs w:val="24"/>
        </w:rPr>
        <w:t xml:space="preserve"> </w:t>
      </w:r>
      <w:r w:rsidRPr="00785831">
        <w:rPr>
          <w:color w:val="211F1A"/>
          <w:spacing w:val="-1"/>
          <w:sz w:val="24"/>
          <w:szCs w:val="24"/>
        </w:rPr>
        <w:t>m</w:t>
      </w:r>
      <w:r w:rsidRPr="00785831">
        <w:rPr>
          <w:color w:val="211F1A"/>
          <w:spacing w:val="-5"/>
          <w:sz w:val="24"/>
          <w:szCs w:val="24"/>
        </w:rPr>
        <w:t>e</w:t>
      </w:r>
      <w:r w:rsidRPr="00785831">
        <w:rPr>
          <w:color w:val="211F1A"/>
          <w:sz w:val="24"/>
          <w:szCs w:val="24"/>
        </w:rPr>
        <w:t>d</w:t>
      </w:r>
      <w:r w:rsidRPr="00785831">
        <w:rPr>
          <w:color w:val="211F1A"/>
          <w:spacing w:val="-6"/>
          <w:sz w:val="24"/>
          <w:szCs w:val="24"/>
        </w:rPr>
        <w:t xml:space="preserve"> </w:t>
      </w:r>
      <w:r w:rsidRPr="00785831">
        <w:rPr>
          <w:color w:val="211F1A"/>
          <w:sz w:val="24"/>
          <w:szCs w:val="24"/>
        </w:rPr>
        <w:t>ak</w:t>
      </w:r>
      <w:r w:rsidRPr="00785831">
        <w:rPr>
          <w:color w:val="211F1A"/>
          <w:spacing w:val="-2"/>
          <w:sz w:val="24"/>
          <w:szCs w:val="24"/>
        </w:rPr>
        <w:t>a</w:t>
      </w:r>
      <w:r w:rsidRPr="00785831">
        <w:rPr>
          <w:color w:val="211F1A"/>
          <w:spacing w:val="-3"/>
          <w:sz w:val="24"/>
          <w:szCs w:val="24"/>
        </w:rPr>
        <w:t>m</w:t>
      </w:r>
      <w:r w:rsidRPr="00785831">
        <w:rPr>
          <w:color w:val="211F1A"/>
          <w:sz w:val="24"/>
          <w:szCs w:val="24"/>
        </w:rPr>
        <w:t>p</w:t>
      </w:r>
      <w:r w:rsidRPr="00785831">
        <w:rPr>
          <w:color w:val="211F1A"/>
          <w:spacing w:val="-1"/>
          <w:sz w:val="24"/>
          <w:szCs w:val="24"/>
        </w:rPr>
        <w:t>ro</w:t>
      </w:r>
      <w:r w:rsidRPr="00785831">
        <w:rPr>
          <w:color w:val="211F1A"/>
          <w:spacing w:val="-7"/>
          <w:sz w:val="24"/>
          <w:szCs w:val="24"/>
        </w:rPr>
        <w:t>s</w:t>
      </w:r>
      <w:r w:rsidRPr="00785831">
        <w:rPr>
          <w:color w:val="211F1A"/>
          <w:sz w:val="24"/>
          <w:szCs w:val="24"/>
        </w:rPr>
        <w:t>at, nal</w:t>
      </w:r>
      <w:r w:rsidRPr="00785831">
        <w:rPr>
          <w:color w:val="211F1A"/>
          <w:spacing w:val="-1"/>
          <w:sz w:val="24"/>
          <w:szCs w:val="24"/>
        </w:rPr>
        <w:t>t</w:t>
      </w:r>
      <w:r w:rsidRPr="00785831">
        <w:rPr>
          <w:color w:val="211F1A"/>
          <w:spacing w:val="-6"/>
          <w:sz w:val="24"/>
          <w:szCs w:val="24"/>
        </w:rPr>
        <w:t>r</w:t>
      </w:r>
      <w:r w:rsidRPr="00785831">
        <w:rPr>
          <w:color w:val="211F1A"/>
          <w:sz w:val="24"/>
          <w:szCs w:val="24"/>
        </w:rPr>
        <w:t>e</w:t>
      </w:r>
      <w:r w:rsidRPr="00785831">
        <w:rPr>
          <w:color w:val="211F1A"/>
          <w:spacing w:val="-5"/>
          <w:sz w:val="24"/>
          <w:szCs w:val="24"/>
        </w:rPr>
        <w:t>x</w:t>
      </w:r>
      <w:r w:rsidRPr="00785831">
        <w:rPr>
          <w:color w:val="211F1A"/>
          <w:spacing w:val="-3"/>
          <w:sz w:val="24"/>
          <w:szCs w:val="24"/>
        </w:rPr>
        <w:t>o</w:t>
      </w:r>
      <w:r w:rsidRPr="00785831">
        <w:rPr>
          <w:color w:val="211F1A"/>
          <w:sz w:val="24"/>
          <w:szCs w:val="24"/>
        </w:rPr>
        <w:t>n</w:t>
      </w:r>
      <w:r w:rsidRPr="00785831">
        <w:rPr>
          <w:color w:val="211F1A"/>
          <w:spacing w:val="-8"/>
          <w:sz w:val="24"/>
          <w:szCs w:val="24"/>
        </w:rPr>
        <w:t xml:space="preserve"> och disulfiram </w:t>
      </w:r>
      <w:r w:rsidRPr="00785831">
        <w:rPr>
          <w:color w:val="211F1A"/>
          <w:spacing w:val="-2"/>
          <w:sz w:val="24"/>
          <w:szCs w:val="24"/>
        </w:rPr>
        <w:t>a</w:t>
      </w:r>
      <w:r w:rsidRPr="00785831">
        <w:rPr>
          <w:color w:val="211F1A"/>
          <w:spacing w:val="-1"/>
          <w:sz w:val="24"/>
          <w:szCs w:val="24"/>
        </w:rPr>
        <w:t>n</w:t>
      </w:r>
      <w:r w:rsidRPr="00785831">
        <w:rPr>
          <w:color w:val="211F1A"/>
          <w:spacing w:val="-3"/>
          <w:sz w:val="24"/>
          <w:szCs w:val="24"/>
        </w:rPr>
        <w:t>v</w:t>
      </w:r>
      <w:r w:rsidRPr="00785831">
        <w:rPr>
          <w:color w:val="211F1A"/>
          <w:sz w:val="24"/>
          <w:szCs w:val="24"/>
        </w:rPr>
        <w:t>änds</w:t>
      </w:r>
      <w:r w:rsidRPr="00785831">
        <w:rPr>
          <w:color w:val="211F1A"/>
          <w:spacing w:val="-9"/>
          <w:sz w:val="24"/>
          <w:szCs w:val="24"/>
        </w:rPr>
        <w:t xml:space="preserve"> </w:t>
      </w:r>
      <w:r w:rsidRPr="00785831">
        <w:rPr>
          <w:color w:val="211F1A"/>
          <w:sz w:val="24"/>
          <w:szCs w:val="24"/>
        </w:rPr>
        <w:t>o</w:t>
      </w:r>
      <w:r w:rsidRPr="00785831">
        <w:rPr>
          <w:color w:val="211F1A"/>
          <w:spacing w:val="-1"/>
          <w:sz w:val="24"/>
          <w:szCs w:val="24"/>
        </w:rPr>
        <w:t>mo</w:t>
      </w:r>
      <w:r w:rsidRPr="00785831">
        <w:rPr>
          <w:color w:val="211F1A"/>
          <w:spacing w:val="-3"/>
          <w:sz w:val="24"/>
          <w:szCs w:val="24"/>
        </w:rPr>
        <w:t>ti</w:t>
      </w:r>
      <w:r w:rsidRPr="00785831">
        <w:rPr>
          <w:color w:val="211F1A"/>
          <w:spacing w:val="-6"/>
          <w:sz w:val="24"/>
          <w:szCs w:val="24"/>
        </w:rPr>
        <w:t>v</w:t>
      </w:r>
      <w:r w:rsidRPr="00785831">
        <w:rPr>
          <w:color w:val="211F1A"/>
          <w:sz w:val="24"/>
          <w:szCs w:val="24"/>
        </w:rPr>
        <w:t>e</w:t>
      </w:r>
      <w:r w:rsidRPr="00785831">
        <w:rPr>
          <w:color w:val="211F1A"/>
          <w:spacing w:val="-6"/>
          <w:sz w:val="24"/>
          <w:szCs w:val="24"/>
        </w:rPr>
        <w:t>r</w:t>
      </w:r>
      <w:r w:rsidRPr="00785831">
        <w:rPr>
          <w:color w:val="211F1A"/>
          <w:sz w:val="24"/>
          <w:szCs w:val="24"/>
        </w:rPr>
        <w:t>at</w:t>
      </w:r>
      <w:r w:rsidRPr="00785831">
        <w:rPr>
          <w:color w:val="211F1A"/>
          <w:spacing w:val="-9"/>
          <w:sz w:val="24"/>
          <w:szCs w:val="24"/>
        </w:rPr>
        <w:t xml:space="preserve"> </w:t>
      </w:r>
      <w:r w:rsidRPr="00785831">
        <w:rPr>
          <w:color w:val="211F1A"/>
          <w:sz w:val="24"/>
          <w:szCs w:val="24"/>
        </w:rPr>
        <w:t>li</w:t>
      </w:r>
      <w:r w:rsidRPr="00785831">
        <w:rPr>
          <w:color w:val="211F1A"/>
          <w:spacing w:val="-3"/>
          <w:sz w:val="24"/>
          <w:szCs w:val="24"/>
        </w:rPr>
        <w:t>t</w:t>
      </w:r>
      <w:r w:rsidRPr="00785831">
        <w:rPr>
          <w:color w:val="211F1A"/>
          <w:sz w:val="24"/>
          <w:szCs w:val="24"/>
        </w:rPr>
        <w:t>e</w:t>
      </w:r>
      <w:r w:rsidRPr="00785831">
        <w:rPr>
          <w:color w:val="211F1A"/>
          <w:spacing w:val="-7"/>
          <w:sz w:val="24"/>
          <w:szCs w:val="24"/>
        </w:rPr>
        <w:t xml:space="preserve"> </w:t>
      </w:r>
      <w:r w:rsidRPr="00785831">
        <w:rPr>
          <w:color w:val="211F1A"/>
          <w:sz w:val="24"/>
          <w:szCs w:val="24"/>
        </w:rPr>
        <w:t>idag</w:t>
      </w:r>
      <w:r w:rsidRPr="00785831">
        <w:rPr>
          <w:color w:val="211F1A"/>
          <w:spacing w:val="-5"/>
          <w:sz w:val="24"/>
          <w:szCs w:val="24"/>
        </w:rPr>
        <w:t xml:space="preserve"> </w:t>
      </w:r>
      <w:r w:rsidRPr="00785831">
        <w:rPr>
          <w:color w:val="211F1A"/>
          <w:spacing w:val="-1"/>
          <w:sz w:val="24"/>
          <w:szCs w:val="24"/>
        </w:rPr>
        <w:t>m</w:t>
      </w:r>
      <w:r w:rsidRPr="00785831">
        <w:rPr>
          <w:color w:val="211F1A"/>
          <w:sz w:val="24"/>
          <w:szCs w:val="24"/>
        </w:rPr>
        <w:t>ed</w:t>
      </w:r>
      <w:r w:rsidRPr="00785831">
        <w:rPr>
          <w:color w:val="211F1A"/>
          <w:spacing w:val="-8"/>
          <w:sz w:val="24"/>
          <w:szCs w:val="24"/>
        </w:rPr>
        <w:t xml:space="preserve"> </w:t>
      </w:r>
      <w:r w:rsidRPr="00785831">
        <w:rPr>
          <w:color w:val="211F1A"/>
          <w:spacing w:val="-3"/>
          <w:sz w:val="24"/>
          <w:szCs w:val="24"/>
        </w:rPr>
        <w:t>t</w:t>
      </w:r>
      <w:r w:rsidRPr="00785831">
        <w:rPr>
          <w:color w:val="211F1A"/>
          <w:spacing w:val="-2"/>
          <w:sz w:val="24"/>
          <w:szCs w:val="24"/>
        </w:rPr>
        <w:t>a</w:t>
      </w:r>
      <w:r w:rsidRPr="00785831">
        <w:rPr>
          <w:color w:val="211F1A"/>
          <w:spacing w:val="-1"/>
          <w:sz w:val="24"/>
          <w:szCs w:val="24"/>
        </w:rPr>
        <w:t>n</w:t>
      </w:r>
      <w:r w:rsidRPr="00785831">
        <w:rPr>
          <w:color w:val="211F1A"/>
          <w:spacing w:val="-3"/>
          <w:sz w:val="24"/>
          <w:szCs w:val="24"/>
        </w:rPr>
        <w:t>k</w:t>
      </w:r>
      <w:r w:rsidRPr="00785831">
        <w:rPr>
          <w:color w:val="211F1A"/>
          <w:sz w:val="24"/>
          <w:szCs w:val="24"/>
        </w:rPr>
        <w:t>e</w:t>
      </w:r>
      <w:r w:rsidRPr="00785831">
        <w:rPr>
          <w:color w:val="211F1A"/>
          <w:spacing w:val="-8"/>
          <w:sz w:val="24"/>
          <w:szCs w:val="24"/>
        </w:rPr>
        <w:t xml:space="preserve"> </w:t>
      </w:r>
      <w:r w:rsidRPr="00785831">
        <w:rPr>
          <w:color w:val="211F1A"/>
          <w:spacing w:val="-3"/>
          <w:sz w:val="24"/>
          <w:szCs w:val="24"/>
        </w:rPr>
        <w:t>p</w:t>
      </w:r>
      <w:r w:rsidRPr="00785831">
        <w:rPr>
          <w:color w:val="211F1A"/>
          <w:sz w:val="24"/>
          <w:szCs w:val="24"/>
        </w:rPr>
        <w:t>å</w:t>
      </w:r>
      <w:r w:rsidRPr="00785831">
        <w:rPr>
          <w:color w:val="211F1A"/>
          <w:spacing w:val="-7"/>
          <w:sz w:val="24"/>
          <w:szCs w:val="24"/>
        </w:rPr>
        <w:t xml:space="preserve"> </w:t>
      </w:r>
      <w:r w:rsidRPr="00785831">
        <w:rPr>
          <w:color w:val="211F1A"/>
          <w:sz w:val="24"/>
          <w:szCs w:val="24"/>
        </w:rPr>
        <w:t>det</w:t>
      </w:r>
      <w:r w:rsidRPr="00785831">
        <w:rPr>
          <w:color w:val="211F1A"/>
          <w:w w:val="99"/>
          <w:sz w:val="24"/>
          <w:szCs w:val="24"/>
        </w:rPr>
        <w:t xml:space="preserve"> </w:t>
      </w:r>
      <w:r w:rsidRPr="00785831">
        <w:rPr>
          <w:color w:val="211F1A"/>
          <w:spacing w:val="-2"/>
          <w:sz w:val="24"/>
          <w:szCs w:val="24"/>
        </w:rPr>
        <w:t>v</w:t>
      </w:r>
      <w:r w:rsidRPr="00785831">
        <w:rPr>
          <w:color w:val="211F1A"/>
          <w:sz w:val="24"/>
          <w:szCs w:val="24"/>
        </w:rPr>
        <w:t>e</w:t>
      </w:r>
      <w:r w:rsidRPr="00785831">
        <w:rPr>
          <w:color w:val="211F1A"/>
          <w:spacing w:val="-1"/>
          <w:sz w:val="24"/>
          <w:szCs w:val="24"/>
        </w:rPr>
        <w:t>t</w:t>
      </w:r>
      <w:r w:rsidRPr="00785831">
        <w:rPr>
          <w:color w:val="211F1A"/>
          <w:spacing w:val="-2"/>
          <w:sz w:val="24"/>
          <w:szCs w:val="24"/>
        </w:rPr>
        <w:t>e</w:t>
      </w:r>
      <w:r w:rsidRPr="00785831">
        <w:rPr>
          <w:color w:val="211F1A"/>
          <w:sz w:val="24"/>
          <w:szCs w:val="24"/>
        </w:rPr>
        <w:t>n</w:t>
      </w:r>
      <w:r w:rsidRPr="00785831">
        <w:rPr>
          <w:color w:val="211F1A"/>
          <w:spacing w:val="-2"/>
          <w:sz w:val="24"/>
          <w:szCs w:val="24"/>
        </w:rPr>
        <w:t>s</w:t>
      </w:r>
      <w:r w:rsidRPr="00785831">
        <w:rPr>
          <w:color w:val="211F1A"/>
          <w:spacing w:val="-3"/>
          <w:sz w:val="24"/>
          <w:szCs w:val="24"/>
        </w:rPr>
        <w:t>k</w:t>
      </w:r>
      <w:r w:rsidRPr="00785831">
        <w:rPr>
          <w:color w:val="211F1A"/>
          <w:sz w:val="24"/>
          <w:szCs w:val="24"/>
        </w:rPr>
        <w:t>a</w:t>
      </w:r>
      <w:r w:rsidRPr="00785831">
        <w:rPr>
          <w:color w:val="211F1A"/>
          <w:spacing w:val="-1"/>
          <w:sz w:val="24"/>
          <w:szCs w:val="24"/>
        </w:rPr>
        <w:t>p</w:t>
      </w:r>
      <w:r w:rsidRPr="00785831">
        <w:rPr>
          <w:color w:val="211F1A"/>
          <w:spacing w:val="-3"/>
          <w:sz w:val="24"/>
          <w:szCs w:val="24"/>
        </w:rPr>
        <w:t>l</w:t>
      </w:r>
      <w:r w:rsidRPr="00785831">
        <w:rPr>
          <w:color w:val="211F1A"/>
          <w:sz w:val="24"/>
          <w:szCs w:val="24"/>
        </w:rPr>
        <w:t>i</w:t>
      </w:r>
      <w:r w:rsidRPr="00785831">
        <w:rPr>
          <w:color w:val="211F1A"/>
          <w:spacing w:val="-6"/>
          <w:sz w:val="24"/>
          <w:szCs w:val="24"/>
        </w:rPr>
        <w:t>g</w:t>
      </w:r>
      <w:r w:rsidRPr="00785831">
        <w:rPr>
          <w:color w:val="211F1A"/>
          <w:sz w:val="24"/>
          <w:szCs w:val="24"/>
        </w:rPr>
        <w:t>a</w:t>
      </w:r>
      <w:r w:rsidRPr="00785831">
        <w:rPr>
          <w:color w:val="211F1A"/>
          <w:spacing w:val="-5"/>
          <w:sz w:val="24"/>
          <w:szCs w:val="24"/>
        </w:rPr>
        <w:t xml:space="preserve"> </w:t>
      </w:r>
      <w:r w:rsidRPr="00785831">
        <w:rPr>
          <w:color w:val="211F1A"/>
          <w:spacing w:val="-2"/>
          <w:sz w:val="24"/>
          <w:szCs w:val="24"/>
        </w:rPr>
        <w:t>s</w:t>
      </w:r>
      <w:r w:rsidRPr="00785831">
        <w:rPr>
          <w:color w:val="211F1A"/>
          <w:spacing w:val="-1"/>
          <w:sz w:val="24"/>
          <w:szCs w:val="24"/>
        </w:rPr>
        <w:t>t</w:t>
      </w:r>
      <w:r w:rsidRPr="00785831">
        <w:rPr>
          <w:color w:val="211F1A"/>
          <w:spacing w:val="-3"/>
          <w:sz w:val="24"/>
          <w:szCs w:val="24"/>
        </w:rPr>
        <w:t>ö</w:t>
      </w:r>
      <w:r w:rsidRPr="00785831">
        <w:rPr>
          <w:color w:val="211F1A"/>
          <w:sz w:val="24"/>
          <w:szCs w:val="24"/>
        </w:rPr>
        <w:t>d</w:t>
      </w:r>
      <w:r w:rsidRPr="00785831">
        <w:rPr>
          <w:color w:val="211F1A"/>
          <w:spacing w:val="-5"/>
          <w:sz w:val="24"/>
          <w:szCs w:val="24"/>
        </w:rPr>
        <w:t xml:space="preserve"> </w:t>
      </w:r>
      <w:r w:rsidRPr="00785831">
        <w:rPr>
          <w:color w:val="000000"/>
          <w:spacing w:val="-2"/>
          <w:sz w:val="24"/>
          <w:szCs w:val="24"/>
        </w:rPr>
        <w:t>s</w:t>
      </w:r>
      <w:r w:rsidRPr="00785831">
        <w:rPr>
          <w:color w:val="000000"/>
          <w:spacing w:val="-3"/>
          <w:sz w:val="24"/>
          <w:szCs w:val="24"/>
        </w:rPr>
        <w:t>o</w:t>
      </w:r>
      <w:r w:rsidRPr="00785831">
        <w:rPr>
          <w:color w:val="000000"/>
          <w:sz w:val="24"/>
          <w:szCs w:val="24"/>
        </w:rPr>
        <w:t>m</w:t>
      </w:r>
      <w:r w:rsidRPr="00785831">
        <w:rPr>
          <w:color w:val="000000"/>
          <w:spacing w:val="-9"/>
          <w:sz w:val="24"/>
          <w:szCs w:val="24"/>
        </w:rPr>
        <w:t xml:space="preserve"> </w:t>
      </w:r>
      <w:r w:rsidRPr="00785831">
        <w:rPr>
          <w:color w:val="000000"/>
          <w:spacing w:val="-1"/>
          <w:sz w:val="24"/>
          <w:szCs w:val="24"/>
        </w:rPr>
        <w:t>f</w:t>
      </w:r>
      <w:r w:rsidRPr="00785831">
        <w:rPr>
          <w:color w:val="000000"/>
          <w:spacing w:val="-3"/>
          <w:sz w:val="24"/>
          <w:szCs w:val="24"/>
        </w:rPr>
        <w:t>in</w:t>
      </w:r>
      <w:r w:rsidRPr="00785831">
        <w:rPr>
          <w:color w:val="000000"/>
          <w:sz w:val="24"/>
          <w:szCs w:val="24"/>
        </w:rPr>
        <w:t>ns</w:t>
      </w:r>
      <w:r w:rsidRPr="00785831">
        <w:rPr>
          <w:color w:val="000000"/>
          <w:spacing w:val="-8"/>
          <w:sz w:val="24"/>
          <w:szCs w:val="24"/>
        </w:rPr>
        <w:t xml:space="preserve"> </w:t>
      </w:r>
      <w:r w:rsidRPr="00785831">
        <w:rPr>
          <w:color w:val="000000"/>
          <w:spacing w:val="2"/>
          <w:sz w:val="24"/>
          <w:szCs w:val="24"/>
        </w:rPr>
        <w:t>f</w:t>
      </w:r>
      <w:r w:rsidRPr="00785831">
        <w:rPr>
          <w:color w:val="000000"/>
          <w:sz w:val="24"/>
          <w:szCs w:val="24"/>
        </w:rPr>
        <w:t>ör</w:t>
      </w:r>
      <w:r w:rsidRPr="00785831">
        <w:rPr>
          <w:color w:val="000000"/>
          <w:spacing w:val="-6"/>
          <w:sz w:val="24"/>
          <w:szCs w:val="24"/>
        </w:rPr>
        <w:t xml:space="preserve"> </w:t>
      </w:r>
      <w:r w:rsidRPr="00785831">
        <w:rPr>
          <w:color w:val="000000"/>
          <w:spacing w:val="-3"/>
          <w:sz w:val="24"/>
          <w:szCs w:val="24"/>
        </w:rPr>
        <w:t>b</w:t>
      </w:r>
      <w:r w:rsidRPr="00785831">
        <w:rPr>
          <w:color w:val="000000"/>
          <w:sz w:val="24"/>
          <w:szCs w:val="24"/>
        </w:rPr>
        <w:t>e</w:t>
      </w:r>
      <w:r w:rsidRPr="00785831">
        <w:rPr>
          <w:color w:val="000000"/>
          <w:spacing w:val="-3"/>
          <w:sz w:val="24"/>
          <w:szCs w:val="24"/>
        </w:rPr>
        <w:t>h</w:t>
      </w:r>
      <w:r w:rsidRPr="00785831">
        <w:rPr>
          <w:color w:val="000000"/>
          <w:sz w:val="24"/>
          <w:szCs w:val="24"/>
        </w:rPr>
        <w:t>and</w:t>
      </w:r>
      <w:r w:rsidRPr="00785831">
        <w:rPr>
          <w:color w:val="000000"/>
          <w:spacing w:val="-3"/>
          <w:sz w:val="24"/>
          <w:szCs w:val="24"/>
        </w:rPr>
        <w:t>l</w:t>
      </w:r>
      <w:r w:rsidRPr="00785831">
        <w:rPr>
          <w:color w:val="000000"/>
          <w:sz w:val="24"/>
          <w:szCs w:val="24"/>
        </w:rPr>
        <w:t>i</w:t>
      </w:r>
      <w:r w:rsidRPr="00785831">
        <w:rPr>
          <w:color w:val="000000"/>
          <w:spacing w:val="-1"/>
          <w:sz w:val="24"/>
          <w:szCs w:val="24"/>
        </w:rPr>
        <w:t>n</w:t>
      </w:r>
      <w:r w:rsidRPr="00785831">
        <w:rPr>
          <w:color w:val="000000"/>
          <w:spacing w:val="-2"/>
          <w:sz w:val="24"/>
          <w:szCs w:val="24"/>
        </w:rPr>
        <w:t>g</w:t>
      </w:r>
      <w:r w:rsidRPr="00785831">
        <w:rPr>
          <w:color w:val="000000"/>
          <w:sz w:val="24"/>
          <w:szCs w:val="24"/>
        </w:rPr>
        <w:t>.</w:t>
      </w:r>
      <w:r w:rsidRPr="00785831">
        <w:rPr>
          <w:color w:val="000000"/>
          <w:spacing w:val="-10"/>
          <w:sz w:val="24"/>
          <w:szCs w:val="24"/>
        </w:rPr>
        <w:t xml:space="preserve"> </w:t>
      </w:r>
      <w:r w:rsidRPr="00785831">
        <w:rPr>
          <w:color w:val="000000"/>
          <w:sz w:val="24"/>
          <w:szCs w:val="24"/>
        </w:rPr>
        <w:t>V</w:t>
      </w:r>
      <w:r w:rsidRPr="00785831">
        <w:rPr>
          <w:color w:val="000000"/>
          <w:spacing w:val="-2"/>
          <w:sz w:val="24"/>
          <w:szCs w:val="24"/>
        </w:rPr>
        <w:t>a</w:t>
      </w:r>
      <w:r w:rsidRPr="00785831">
        <w:rPr>
          <w:color w:val="000000"/>
          <w:sz w:val="24"/>
          <w:szCs w:val="24"/>
        </w:rPr>
        <w:t>l</w:t>
      </w:r>
      <w:r w:rsidRPr="00785831">
        <w:rPr>
          <w:color w:val="000000"/>
          <w:spacing w:val="-2"/>
          <w:sz w:val="24"/>
          <w:szCs w:val="24"/>
        </w:rPr>
        <w:t>e</w:t>
      </w:r>
      <w:r w:rsidRPr="00785831">
        <w:rPr>
          <w:color w:val="000000"/>
          <w:sz w:val="24"/>
          <w:szCs w:val="24"/>
        </w:rPr>
        <w:t>t</w:t>
      </w:r>
      <w:r w:rsidRPr="00785831">
        <w:rPr>
          <w:color w:val="000000"/>
          <w:spacing w:val="-5"/>
          <w:sz w:val="24"/>
          <w:szCs w:val="24"/>
        </w:rPr>
        <w:t xml:space="preserve"> </w:t>
      </w:r>
      <w:r w:rsidRPr="00785831">
        <w:rPr>
          <w:color w:val="000000"/>
          <w:spacing w:val="-4"/>
          <w:sz w:val="24"/>
          <w:szCs w:val="24"/>
        </w:rPr>
        <w:t>a</w:t>
      </w:r>
      <w:r w:rsidRPr="00785831">
        <w:rPr>
          <w:color w:val="000000"/>
          <w:sz w:val="24"/>
          <w:szCs w:val="24"/>
        </w:rPr>
        <w:t>v</w:t>
      </w:r>
      <w:r w:rsidRPr="00785831">
        <w:rPr>
          <w:color w:val="000000"/>
          <w:spacing w:val="-7"/>
          <w:sz w:val="24"/>
          <w:szCs w:val="24"/>
        </w:rPr>
        <w:t xml:space="preserve"> </w:t>
      </w:r>
      <w:r w:rsidRPr="00785831">
        <w:rPr>
          <w:color w:val="000000"/>
          <w:sz w:val="24"/>
          <w:szCs w:val="24"/>
        </w:rPr>
        <w:t>be</w:t>
      </w:r>
      <w:r w:rsidRPr="00785831">
        <w:rPr>
          <w:color w:val="000000"/>
          <w:spacing w:val="-3"/>
          <w:sz w:val="24"/>
          <w:szCs w:val="24"/>
        </w:rPr>
        <w:t>h</w:t>
      </w:r>
      <w:r w:rsidRPr="00785831">
        <w:rPr>
          <w:color w:val="000000"/>
          <w:sz w:val="24"/>
          <w:szCs w:val="24"/>
        </w:rPr>
        <w:t>andl</w:t>
      </w:r>
      <w:r w:rsidRPr="00785831">
        <w:rPr>
          <w:color w:val="000000"/>
          <w:spacing w:val="1"/>
          <w:sz w:val="24"/>
          <w:szCs w:val="24"/>
        </w:rPr>
        <w:t>i</w:t>
      </w:r>
      <w:r w:rsidRPr="00785831">
        <w:rPr>
          <w:color w:val="000000"/>
          <w:spacing w:val="-5"/>
          <w:sz w:val="24"/>
          <w:szCs w:val="24"/>
        </w:rPr>
        <w:t>n</w:t>
      </w:r>
      <w:r w:rsidRPr="00785831">
        <w:rPr>
          <w:color w:val="000000"/>
          <w:sz w:val="24"/>
          <w:szCs w:val="24"/>
        </w:rPr>
        <w:t>g</w:t>
      </w:r>
      <w:r w:rsidRPr="00785831">
        <w:rPr>
          <w:color w:val="000000"/>
          <w:spacing w:val="-8"/>
          <w:sz w:val="24"/>
          <w:szCs w:val="24"/>
        </w:rPr>
        <w:t xml:space="preserve"> </w:t>
      </w:r>
      <w:r w:rsidRPr="00785831">
        <w:rPr>
          <w:color w:val="000000"/>
          <w:spacing w:val="-2"/>
          <w:sz w:val="24"/>
          <w:szCs w:val="24"/>
        </w:rPr>
        <w:t>s</w:t>
      </w:r>
      <w:r w:rsidRPr="00785831">
        <w:rPr>
          <w:color w:val="000000"/>
          <w:sz w:val="24"/>
          <w:szCs w:val="24"/>
        </w:rPr>
        <w:t>ka</w:t>
      </w:r>
      <w:r w:rsidRPr="00785831">
        <w:rPr>
          <w:color w:val="000000"/>
          <w:spacing w:val="-4"/>
          <w:sz w:val="24"/>
          <w:szCs w:val="24"/>
        </w:rPr>
        <w:t xml:space="preserve"> </w:t>
      </w:r>
      <w:r w:rsidRPr="00785831">
        <w:rPr>
          <w:color w:val="000000"/>
          <w:sz w:val="24"/>
          <w:szCs w:val="24"/>
        </w:rPr>
        <w:t>u</w:t>
      </w:r>
      <w:r w:rsidRPr="00785831">
        <w:rPr>
          <w:color w:val="000000"/>
          <w:spacing w:val="-1"/>
          <w:sz w:val="24"/>
          <w:szCs w:val="24"/>
        </w:rPr>
        <w:t>t</w:t>
      </w:r>
      <w:r w:rsidRPr="00785831">
        <w:rPr>
          <w:color w:val="000000"/>
          <w:spacing w:val="-2"/>
          <w:sz w:val="24"/>
          <w:szCs w:val="24"/>
        </w:rPr>
        <w:t>g</w:t>
      </w:r>
      <w:r w:rsidRPr="00785831">
        <w:rPr>
          <w:color w:val="000000"/>
          <w:sz w:val="24"/>
          <w:szCs w:val="24"/>
        </w:rPr>
        <w:t>å</w:t>
      </w:r>
      <w:r w:rsidRPr="00785831">
        <w:rPr>
          <w:color w:val="000000"/>
          <w:spacing w:val="-5"/>
          <w:sz w:val="24"/>
          <w:szCs w:val="24"/>
        </w:rPr>
        <w:t xml:space="preserve"> </w:t>
      </w:r>
      <w:r w:rsidRPr="00785831">
        <w:rPr>
          <w:color w:val="000000"/>
          <w:spacing w:val="-3"/>
          <w:sz w:val="24"/>
          <w:szCs w:val="24"/>
        </w:rPr>
        <w:t>i</w:t>
      </w:r>
      <w:r w:rsidRPr="00785831">
        <w:rPr>
          <w:color w:val="000000"/>
          <w:spacing w:val="-1"/>
          <w:sz w:val="24"/>
          <w:szCs w:val="24"/>
        </w:rPr>
        <w:t>f</w:t>
      </w:r>
      <w:r w:rsidRPr="00785831">
        <w:rPr>
          <w:color w:val="000000"/>
          <w:spacing w:val="-6"/>
          <w:sz w:val="24"/>
          <w:szCs w:val="24"/>
        </w:rPr>
        <w:t>r</w:t>
      </w:r>
      <w:r w:rsidRPr="00785831">
        <w:rPr>
          <w:color w:val="000000"/>
          <w:spacing w:val="-2"/>
          <w:sz w:val="24"/>
          <w:szCs w:val="24"/>
        </w:rPr>
        <w:t>å</w:t>
      </w:r>
      <w:r w:rsidRPr="00785831">
        <w:rPr>
          <w:color w:val="000000"/>
          <w:sz w:val="24"/>
          <w:szCs w:val="24"/>
        </w:rPr>
        <w:t>n</w:t>
      </w:r>
      <w:r w:rsidRPr="00785831">
        <w:rPr>
          <w:color w:val="000000"/>
          <w:spacing w:val="-7"/>
          <w:sz w:val="24"/>
          <w:szCs w:val="24"/>
        </w:rPr>
        <w:t xml:space="preserve"> </w:t>
      </w:r>
      <w:r w:rsidRPr="00785831">
        <w:rPr>
          <w:color w:val="000000"/>
          <w:sz w:val="24"/>
          <w:szCs w:val="24"/>
        </w:rPr>
        <w:t>i</w:t>
      </w:r>
      <w:r w:rsidRPr="00785831">
        <w:rPr>
          <w:color w:val="000000"/>
          <w:spacing w:val="-3"/>
          <w:sz w:val="24"/>
          <w:szCs w:val="24"/>
        </w:rPr>
        <w:t>n</w:t>
      </w:r>
      <w:r w:rsidRPr="00785831">
        <w:rPr>
          <w:color w:val="000000"/>
          <w:sz w:val="24"/>
          <w:szCs w:val="24"/>
        </w:rPr>
        <w:t>di</w:t>
      </w:r>
      <w:r w:rsidRPr="00785831">
        <w:rPr>
          <w:color w:val="000000"/>
          <w:spacing w:val="-3"/>
          <w:sz w:val="24"/>
          <w:szCs w:val="24"/>
        </w:rPr>
        <w:t>v</w:t>
      </w:r>
      <w:r w:rsidRPr="00785831">
        <w:rPr>
          <w:color w:val="000000"/>
          <w:sz w:val="24"/>
          <w:szCs w:val="24"/>
        </w:rPr>
        <w:t>i</w:t>
      </w:r>
      <w:r w:rsidRPr="00785831">
        <w:rPr>
          <w:color w:val="000000"/>
          <w:spacing w:val="-3"/>
          <w:sz w:val="24"/>
          <w:szCs w:val="24"/>
        </w:rPr>
        <w:t>d</w:t>
      </w:r>
      <w:r w:rsidRPr="00785831">
        <w:rPr>
          <w:color w:val="000000"/>
          <w:sz w:val="24"/>
          <w:szCs w:val="24"/>
        </w:rPr>
        <w:t xml:space="preserve">ens </w:t>
      </w:r>
      <w:r w:rsidRPr="00785831">
        <w:rPr>
          <w:spacing w:val="2"/>
          <w:sz w:val="24"/>
          <w:szCs w:val="24"/>
        </w:rPr>
        <w:t>f</w:t>
      </w:r>
      <w:r w:rsidRPr="00785831">
        <w:rPr>
          <w:spacing w:val="-3"/>
          <w:sz w:val="24"/>
          <w:szCs w:val="24"/>
        </w:rPr>
        <w:t>ö</w:t>
      </w:r>
      <w:r w:rsidRPr="00785831">
        <w:rPr>
          <w:spacing w:val="-1"/>
          <w:sz w:val="24"/>
          <w:szCs w:val="24"/>
        </w:rPr>
        <w:t>r</w:t>
      </w:r>
      <w:r w:rsidRPr="00785831">
        <w:rPr>
          <w:sz w:val="24"/>
          <w:szCs w:val="24"/>
        </w:rPr>
        <w:t>ut</w:t>
      </w:r>
      <w:r w:rsidRPr="00785831">
        <w:rPr>
          <w:spacing w:val="-2"/>
          <w:sz w:val="24"/>
          <w:szCs w:val="24"/>
        </w:rPr>
        <w:t>s</w:t>
      </w:r>
      <w:r w:rsidRPr="00785831">
        <w:rPr>
          <w:sz w:val="24"/>
          <w:szCs w:val="24"/>
        </w:rPr>
        <w:t>ä</w:t>
      </w:r>
      <w:r w:rsidRPr="00785831">
        <w:rPr>
          <w:spacing w:val="-1"/>
          <w:sz w:val="24"/>
          <w:szCs w:val="24"/>
        </w:rPr>
        <w:t>ttn</w:t>
      </w:r>
      <w:r w:rsidRPr="00785831">
        <w:rPr>
          <w:spacing w:val="-3"/>
          <w:sz w:val="24"/>
          <w:szCs w:val="24"/>
        </w:rPr>
        <w:t>i</w:t>
      </w:r>
      <w:r w:rsidRPr="00785831">
        <w:rPr>
          <w:spacing w:val="-1"/>
          <w:sz w:val="24"/>
          <w:szCs w:val="24"/>
        </w:rPr>
        <w:t>n</w:t>
      </w:r>
      <w:r w:rsidRPr="00785831">
        <w:rPr>
          <w:spacing w:val="-2"/>
          <w:sz w:val="24"/>
          <w:szCs w:val="24"/>
        </w:rPr>
        <w:t>g</w:t>
      </w:r>
      <w:r w:rsidRPr="00785831">
        <w:rPr>
          <w:sz w:val="24"/>
          <w:szCs w:val="24"/>
        </w:rPr>
        <w:t>a</w:t>
      </w:r>
      <w:r w:rsidRPr="00785831">
        <w:rPr>
          <w:spacing w:val="-1"/>
          <w:sz w:val="24"/>
          <w:szCs w:val="24"/>
        </w:rPr>
        <w:t>r</w:t>
      </w:r>
      <w:r w:rsidRPr="00785831">
        <w:rPr>
          <w:sz w:val="24"/>
          <w:szCs w:val="24"/>
        </w:rPr>
        <w:t>.</w:t>
      </w:r>
    </w:p>
    <w:p w14:paraId="0574D196" w14:textId="77777777" w:rsidR="00702564" w:rsidRPr="0071138D" w:rsidRDefault="00702564" w:rsidP="00702564">
      <w:pPr>
        <w:spacing w:before="120"/>
      </w:pPr>
      <w:r w:rsidRPr="00785831">
        <w:rPr>
          <w:rFonts w:cs="Garamond"/>
          <w:b/>
          <w:bCs/>
          <w:spacing w:val="1"/>
          <w:sz w:val="24"/>
          <w:szCs w:val="24"/>
        </w:rPr>
        <w:t xml:space="preserve">Akamprosat </w:t>
      </w:r>
      <w:r w:rsidRPr="00785831">
        <w:rPr>
          <w:rFonts w:cs="Garamond"/>
          <w:spacing w:val="1"/>
          <w:sz w:val="24"/>
          <w:szCs w:val="24"/>
        </w:rPr>
        <w:t>(C</w:t>
      </w:r>
      <w:r w:rsidRPr="00785831">
        <w:rPr>
          <w:rFonts w:cs="Garamond"/>
          <w:sz w:val="24"/>
          <w:szCs w:val="24"/>
        </w:rPr>
        <w:t>a</w:t>
      </w:r>
      <w:r w:rsidRPr="00785831">
        <w:rPr>
          <w:rFonts w:cs="Garamond"/>
          <w:spacing w:val="-1"/>
          <w:sz w:val="24"/>
          <w:szCs w:val="24"/>
        </w:rPr>
        <w:t>m</w:t>
      </w:r>
      <w:r w:rsidRPr="00785831">
        <w:rPr>
          <w:rFonts w:cs="Garamond"/>
          <w:sz w:val="24"/>
          <w:szCs w:val="24"/>
        </w:rPr>
        <w:t>p</w:t>
      </w:r>
      <w:r w:rsidRPr="00785831">
        <w:rPr>
          <w:rFonts w:cs="Garamond"/>
          <w:spacing w:val="-2"/>
          <w:sz w:val="24"/>
          <w:szCs w:val="24"/>
        </w:rPr>
        <w:t>r</w:t>
      </w:r>
      <w:r w:rsidRPr="00785831">
        <w:rPr>
          <w:rFonts w:cs="Garamond"/>
          <w:sz w:val="24"/>
          <w:szCs w:val="24"/>
        </w:rPr>
        <w:t>al)</w:t>
      </w:r>
      <w:r w:rsidRPr="00785831">
        <w:rPr>
          <w:sz w:val="24"/>
          <w:szCs w:val="24"/>
        </w:rPr>
        <w:t xml:space="preserve"> </w:t>
      </w:r>
      <w:r w:rsidRPr="00785831">
        <w:rPr>
          <w:spacing w:val="-5"/>
          <w:sz w:val="24"/>
          <w:szCs w:val="24"/>
        </w:rPr>
        <w:t>h</w:t>
      </w:r>
      <w:r w:rsidRPr="00785831">
        <w:rPr>
          <w:sz w:val="24"/>
          <w:szCs w:val="24"/>
        </w:rPr>
        <w:t xml:space="preserve">ar </w:t>
      </w:r>
      <w:r w:rsidRPr="00785831">
        <w:rPr>
          <w:spacing w:val="-3"/>
          <w:sz w:val="24"/>
          <w:szCs w:val="24"/>
        </w:rPr>
        <w:t>vi</w:t>
      </w:r>
      <w:r w:rsidRPr="00785831">
        <w:rPr>
          <w:spacing w:val="-2"/>
          <w:sz w:val="24"/>
          <w:szCs w:val="24"/>
        </w:rPr>
        <w:t>s</w:t>
      </w:r>
      <w:r w:rsidRPr="00785831">
        <w:rPr>
          <w:sz w:val="24"/>
          <w:szCs w:val="24"/>
        </w:rPr>
        <w:t xml:space="preserve">at </w:t>
      </w:r>
      <w:r w:rsidRPr="00785831">
        <w:rPr>
          <w:spacing w:val="-2"/>
          <w:sz w:val="24"/>
          <w:szCs w:val="24"/>
        </w:rPr>
        <w:t>s</w:t>
      </w:r>
      <w:r w:rsidRPr="00785831">
        <w:rPr>
          <w:spacing w:val="-3"/>
          <w:sz w:val="24"/>
          <w:szCs w:val="24"/>
        </w:rPr>
        <w:t>i</w:t>
      </w:r>
      <w:r w:rsidRPr="00785831">
        <w:rPr>
          <w:sz w:val="24"/>
          <w:szCs w:val="24"/>
        </w:rPr>
        <w:t xml:space="preserve">g öka </w:t>
      </w:r>
      <w:r w:rsidRPr="00785831">
        <w:rPr>
          <w:spacing w:val="-2"/>
          <w:sz w:val="24"/>
          <w:szCs w:val="24"/>
        </w:rPr>
        <w:t>a</w:t>
      </w:r>
      <w:r w:rsidRPr="00785831">
        <w:rPr>
          <w:sz w:val="24"/>
          <w:szCs w:val="24"/>
        </w:rPr>
        <w:t>n</w:t>
      </w:r>
      <w:r w:rsidRPr="00785831">
        <w:rPr>
          <w:spacing w:val="-1"/>
          <w:sz w:val="24"/>
          <w:szCs w:val="24"/>
        </w:rPr>
        <w:t>t</w:t>
      </w:r>
      <w:r w:rsidRPr="00785831">
        <w:rPr>
          <w:spacing w:val="-2"/>
          <w:sz w:val="24"/>
          <w:szCs w:val="24"/>
        </w:rPr>
        <w:t>a</w:t>
      </w:r>
      <w:r w:rsidRPr="00785831">
        <w:rPr>
          <w:sz w:val="24"/>
          <w:szCs w:val="24"/>
        </w:rPr>
        <w:t>let he</w:t>
      </w:r>
      <w:r w:rsidRPr="00785831">
        <w:rPr>
          <w:spacing w:val="-3"/>
          <w:sz w:val="24"/>
          <w:szCs w:val="24"/>
        </w:rPr>
        <w:t>ln</w:t>
      </w:r>
      <w:r w:rsidRPr="00785831">
        <w:rPr>
          <w:spacing w:val="-5"/>
          <w:sz w:val="24"/>
          <w:szCs w:val="24"/>
        </w:rPr>
        <w:t>y</w:t>
      </w:r>
      <w:r w:rsidRPr="00785831">
        <w:rPr>
          <w:sz w:val="24"/>
          <w:szCs w:val="24"/>
        </w:rPr>
        <w:t>k</w:t>
      </w:r>
      <w:r w:rsidRPr="00785831">
        <w:rPr>
          <w:spacing w:val="-1"/>
          <w:sz w:val="24"/>
          <w:szCs w:val="24"/>
        </w:rPr>
        <w:t>tr</w:t>
      </w:r>
      <w:r w:rsidRPr="00785831">
        <w:rPr>
          <w:sz w:val="24"/>
          <w:szCs w:val="24"/>
        </w:rPr>
        <w:t>a da</w:t>
      </w:r>
      <w:r w:rsidRPr="00785831">
        <w:rPr>
          <w:spacing w:val="-2"/>
          <w:sz w:val="24"/>
          <w:szCs w:val="24"/>
        </w:rPr>
        <w:t>g</w:t>
      </w:r>
      <w:r w:rsidRPr="00785831">
        <w:rPr>
          <w:sz w:val="24"/>
          <w:szCs w:val="24"/>
        </w:rPr>
        <w:t>a</w:t>
      </w:r>
      <w:r w:rsidRPr="00785831">
        <w:rPr>
          <w:spacing w:val="-1"/>
          <w:sz w:val="24"/>
          <w:szCs w:val="24"/>
        </w:rPr>
        <w:t>r</w:t>
      </w:r>
      <w:r w:rsidRPr="00785831">
        <w:rPr>
          <w:sz w:val="24"/>
          <w:szCs w:val="24"/>
        </w:rPr>
        <w:t xml:space="preserve">, </w:t>
      </w:r>
      <w:r w:rsidRPr="00785831">
        <w:rPr>
          <w:spacing w:val="-3"/>
          <w:sz w:val="24"/>
          <w:szCs w:val="24"/>
        </w:rPr>
        <w:t>l</w:t>
      </w:r>
      <w:r w:rsidRPr="00785831">
        <w:rPr>
          <w:spacing w:val="-2"/>
          <w:sz w:val="24"/>
          <w:szCs w:val="24"/>
        </w:rPr>
        <w:t>ä</w:t>
      </w:r>
      <w:r w:rsidRPr="00785831">
        <w:rPr>
          <w:spacing w:val="-1"/>
          <w:sz w:val="24"/>
          <w:szCs w:val="24"/>
        </w:rPr>
        <w:t>n</w:t>
      </w:r>
      <w:r w:rsidRPr="00785831">
        <w:rPr>
          <w:spacing w:val="-2"/>
          <w:sz w:val="24"/>
          <w:szCs w:val="24"/>
        </w:rPr>
        <w:t>g</w:t>
      </w:r>
      <w:r w:rsidRPr="00785831">
        <w:rPr>
          <w:spacing w:val="-1"/>
          <w:sz w:val="24"/>
          <w:szCs w:val="24"/>
        </w:rPr>
        <w:t>r</w:t>
      </w:r>
      <w:r w:rsidRPr="00785831">
        <w:rPr>
          <w:sz w:val="24"/>
          <w:szCs w:val="24"/>
        </w:rPr>
        <w:t xml:space="preserve">e </w:t>
      </w:r>
      <w:r w:rsidRPr="00785831">
        <w:rPr>
          <w:spacing w:val="-1"/>
          <w:sz w:val="24"/>
          <w:szCs w:val="24"/>
        </w:rPr>
        <w:t>h</w:t>
      </w:r>
      <w:r w:rsidRPr="00785831">
        <w:rPr>
          <w:spacing w:val="-5"/>
          <w:sz w:val="24"/>
          <w:szCs w:val="24"/>
        </w:rPr>
        <w:t>e</w:t>
      </w:r>
      <w:r w:rsidRPr="00785831">
        <w:rPr>
          <w:sz w:val="24"/>
          <w:szCs w:val="24"/>
        </w:rPr>
        <w:t>l</w:t>
      </w:r>
      <w:r w:rsidRPr="00785831">
        <w:rPr>
          <w:spacing w:val="-1"/>
          <w:sz w:val="24"/>
          <w:szCs w:val="24"/>
        </w:rPr>
        <w:t>n</w:t>
      </w:r>
      <w:r w:rsidRPr="00785831">
        <w:rPr>
          <w:spacing w:val="-2"/>
          <w:sz w:val="24"/>
          <w:szCs w:val="24"/>
        </w:rPr>
        <w:t>y</w:t>
      </w:r>
      <w:r w:rsidRPr="00785831">
        <w:rPr>
          <w:spacing w:val="-3"/>
          <w:sz w:val="24"/>
          <w:szCs w:val="24"/>
        </w:rPr>
        <w:t>k</w:t>
      </w:r>
      <w:r w:rsidRPr="00785831">
        <w:rPr>
          <w:spacing w:val="-1"/>
          <w:sz w:val="24"/>
          <w:szCs w:val="24"/>
        </w:rPr>
        <w:t>t</w:t>
      </w:r>
      <w:r w:rsidRPr="00785831">
        <w:rPr>
          <w:spacing w:val="-6"/>
          <w:sz w:val="24"/>
          <w:szCs w:val="24"/>
        </w:rPr>
        <w:t>r</w:t>
      </w:r>
      <w:r w:rsidRPr="00785831">
        <w:rPr>
          <w:sz w:val="24"/>
          <w:szCs w:val="24"/>
        </w:rPr>
        <w:t xml:space="preserve">a </w:t>
      </w:r>
      <w:r w:rsidRPr="00785831">
        <w:rPr>
          <w:spacing w:val="-3"/>
          <w:sz w:val="24"/>
          <w:szCs w:val="24"/>
        </w:rPr>
        <w:t>p</w:t>
      </w:r>
      <w:r w:rsidRPr="00785831">
        <w:rPr>
          <w:sz w:val="24"/>
          <w:szCs w:val="24"/>
        </w:rPr>
        <w:t>e</w:t>
      </w:r>
      <w:r w:rsidRPr="00785831">
        <w:rPr>
          <w:spacing w:val="-1"/>
          <w:sz w:val="24"/>
          <w:szCs w:val="24"/>
        </w:rPr>
        <w:t>r</w:t>
      </w:r>
      <w:r w:rsidRPr="00785831">
        <w:rPr>
          <w:sz w:val="24"/>
          <w:szCs w:val="24"/>
        </w:rPr>
        <w:t>i</w:t>
      </w:r>
      <w:r w:rsidRPr="00785831">
        <w:rPr>
          <w:spacing w:val="-1"/>
          <w:sz w:val="24"/>
          <w:szCs w:val="24"/>
        </w:rPr>
        <w:t>o</w:t>
      </w:r>
      <w:r w:rsidRPr="00785831">
        <w:rPr>
          <w:spacing w:val="-3"/>
          <w:sz w:val="24"/>
          <w:szCs w:val="24"/>
        </w:rPr>
        <w:t>d</w:t>
      </w:r>
      <w:r w:rsidRPr="00785831">
        <w:rPr>
          <w:sz w:val="24"/>
          <w:szCs w:val="24"/>
        </w:rPr>
        <w:t xml:space="preserve">er och </w:t>
      </w:r>
      <w:r w:rsidRPr="00785831">
        <w:rPr>
          <w:spacing w:val="-1"/>
          <w:sz w:val="24"/>
          <w:szCs w:val="24"/>
        </w:rPr>
        <w:t>m</w:t>
      </w:r>
      <w:r w:rsidRPr="00785831">
        <w:rPr>
          <w:sz w:val="24"/>
          <w:szCs w:val="24"/>
        </w:rPr>
        <w:t>i</w:t>
      </w:r>
      <w:r w:rsidRPr="00785831">
        <w:rPr>
          <w:spacing w:val="-3"/>
          <w:sz w:val="24"/>
          <w:szCs w:val="24"/>
        </w:rPr>
        <w:t>n</w:t>
      </w:r>
      <w:r w:rsidRPr="00785831">
        <w:rPr>
          <w:spacing w:val="-2"/>
          <w:sz w:val="24"/>
          <w:szCs w:val="24"/>
        </w:rPr>
        <w:t>s</w:t>
      </w:r>
      <w:r w:rsidRPr="00785831">
        <w:rPr>
          <w:spacing w:val="-8"/>
          <w:sz w:val="24"/>
          <w:szCs w:val="24"/>
        </w:rPr>
        <w:t>k</w:t>
      </w:r>
      <w:r w:rsidRPr="00785831">
        <w:rPr>
          <w:sz w:val="24"/>
          <w:szCs w:val="24"/>
        </w:rPr>
        <w:t xml:space="preserve">ar </w:t>
      </w:r>
      <w:r w:rsidRPr="00785831">
        <w:rPr>
          <w:spacing w:val="-2"/>
          <w:sz w:val="24"/>
          <w:szCs w:val="24"/>
        </w:rPr>
        <w:t>s</w:t>
      </w:r>
      <w:r w:rsidRPr="00785831">
        <w:rPr>
          <w:sz w:val="24"/>
          <w:szCs w:val="24"/>
        </w:rPr>
        <w:t>u</w:t>
      </w:r>
      <w:r w:rsidRPr="00785831">
        <w:rPr>
          <w:spacing w:val="-2"/>
          <w:sz w:val="24"/>
          <w:szCs w:val="24"/>
        </w:rPr>
        <w:t>g</w:t>
      </w:r>
      <w:r w:rsidRPr="00785831">
        <w:rPr>
          <w:sz w:val="24"/>
          <w:szCs w:val="24"/>
        </w:rPr>
        <w:t xml:space="preserve">et </w:t>
      </w:r>
      <w:r w:rsidRPr="00785831">
        <w:rPr>
          <w:spacing w:val="-3"/>
          <w:sz w:val="24"/>
          <w:szCs w:val="24"/>
        </w:rPr>
        <w:t>un</w:t>
      </w:r>
      <w:r w:rsidRPr="00785831">
        <w:rPr>
          <w:sz w:val="24"/>
          <w:szCs w:val="24"/>
        </w:rPr>
        <w:t xml:space="preserve">der </w:t>
      </w:r>
      <w:r w:rsidRPr="00785831">
        <w:rPr>
          <w:spacing w:val="-3"/>
          <w:sz w:val="24"/>
          <w:szCs w:val="24"/>
        </w:rPr>
        <w:t>b</w:t>
      </w:r>
      <w:r w:rsidRPr="00785831">
        <w:rPr>
          <w:spacing w:val="1"/>
          <w:sz w:val="24"/>
          <w:szCs w:val="24"/>
        </w:rPr>
        <w:t>e</w:t>
      </w:r>
      <w:r w:rsidRPr="00785831">
        <w:rPr>
          <w:spacing w:val="-3"/>
          <w:sz w:val="24"/>
          <w:szCs w:val="24"/>
        </w:rPr>
        <w:t>h</w:t>
      </w:r>
      <w:r w:rsidRPr="00785831">
        <w:rPr>
          <w:sz w:val="24"/>
          <w:szCs w:val="24"/>
        </w:rPr>
        <w:t>an</w:t>
      </w:r>
      <w:r w:rsidRPr="00785831">
        <w:rPr>
          <w:spacing w:val="-3"/>
          <w:sz w:val="24"/>
          <w:szCs w:val="24"/>
        </w:rPr>
        <w:t>dl</w:t>
      </w:r>
      <w:r w:rsidRPr="00785831">
        <w:rPr>
          <w:sz w:val="24"/>
          <w:szCs w:val="24"/>
        </w:rPr>
        <w:t>i</w:t>
      </w:r>
      <w:r w:rsidRPr="00785831">
        <w:rPr>
          <w:spacing w:val="-3"/>
          <w:sz w:val="24"/>
          <w:szCs w:val="24"/>
        </w:rPr>
        <w:t>n</w:t>
      </w:r>
      <w:r w:rsidRPr="00785831">
        <w:rPr>
          <w:spacing w:val="-2"/>
          <w:sz w:val="24"/>
          <w:szCs w:val="24"/>
        </w:rPr>
        <w:t>g</w:t>
      </w:r>
      <w:r w:rsidRPr="00785831">
        <w:rPr>
          <w:sz w:val="24"/>
          <w:szCs w:val="24"/>
        </w:rPr>
        <w:t>e</w:t>
      </w:r>
      <w:r w:rsidRPr="00785831">
        <w:rPr>
          <w:spacing w:val="-2"/>
          <w:sz w:val="24"/>
          <w:szCs w:val="24"/>
        </w:rPr>
        <w:t xml:space="preserve">n. Akamprosat </w:t>
      </w:r>
      <w:r w:rsidRPr="00785831">
        <w:rPr>
          <w:spacing w:val="-3"/>
          <w:sz w:val="24"/>
          <w:szCs w:val="24"/>
        </w:rPr>
        <w:t>p</w:t>
      </w:r>
      <w:r w:rsidRPr="00785831">
        <w:rPr>
          <w:sz w:val="24"/>
          <w:szCs w:val="24"/>
        </w:rPr>
        <w:t>å</w:t>
      </w:r>
      <w:r w:rsidRPr="00785831">
        <w:rPr>
          <w:spacing w:val="-8"/>
          <w:sz w:val="24"/>
          <w:szCs w:val="24"/>
        </w:rPr>
        <w:t>v</w:t>
      </w:r>
      <w:r w:rsidRPr="00785831">
        <w:rPr>
          <w:sz w:val="24"/>
          <w:szCs w:val="24"/>
        </w:rPr>
        <w:t>e</w:t>
      </w:r>
      <w:r w:rsidRPr="00785831">
        <w:rPr>
          <w:spacing w:val="-1"/>
          <w:sz w:val="24"/>
          <w:szCs w:val="24"/>
        </w:rPr>
        <w:t>r</w:t>
      </w:r>
      <w:r w:rsidRPr="00785831">
        <w:rPr>
          <w:spacing w:val="-3"/>
          <w:sz w:val="24"/>
          <w:szCs w:val="24"/>
        </w:rPr>
        <w:t>k</w:t>
      </w:r>
      <w:r w:rsidRPr="00785831">
        <w:rPr>
          <w:sz w:val="24"/>
          <w:szCs w:val="24"/>
        </w:rPr>
        <w:t xml:space="preserve">ar </w:t>
      </w:r>
      <w:r w:rsidRPr="00785831">
        <w:rPr>
          <w:spacing w:val="-3"/>
          <w:sz w:val="24"/>
          <w:szCs w:val="24"/>
        </w:rPr>
        <w:t>d</w:t>
      </w:r>
      <w:r w:rsidRPr="00785831">
        <w:rPr>
          <w:sz w:val="24"/>
          <w:szCs w:val="24"/>
        </w:rPr>
        <w:t>et d</w:t>
      </w:r>
      <w:r w:rsidRPr="00785831">
        <w:rPr>
          <w:spacing w:val="-5"/>
          <w:sz w:val="24"/>
          <w:szCs w:val="24"/>
        </w:rPr>
        <w:t>o</w:t>
      </w:r>
      <w:r w:rsidRPr="00785831">
        <w:rPr>
          <w:spacing w:val="-1"/>
          <w:sz w:val="24"/>
          <w:szCs w:val="24"/>
        </w:rPr>
        <w:t>p</w:t>
      </w:r>
      <w:r w:rsidRPr="00785831">
        <w:rPr>
          <w:spacing w:val="-2"/>
          <w:sz w:val="24"/>
          <w:szCs w:val="24"/>
        </w:rPr>
        <w:t>a</w:t>
      </w:r>
      <w:r w:rsidRPr="00785831">
        <w:rPr>
          <w:spacing w:val="-1"/>
          <w:sz w:val="24"/>
          <w:szCs w:val="24"/>
        </w:rPr>
        <w:t>m</w:t>
      </w:r>
      <w:r w:rsidRPr="00785831">
        <w:rPr>
          <w:sz w:val="24"/>
          <w:szCs w:val="24"/>
        </w:rPr>
        <w:t>i</w:t>
      </w:r>
      <w:r w:rsidRPr="00785831">
        <w:rPr>
          <w:spacing w:val="-5"/>
          <w:sz w:val="24"/>
          <w:szCs w:val="24"/>
        </w:rPr>
        <w:t>n</w:t>
      </w:r>
      <w:r w:rsidRPr="00785831">
        <w:rPr>
          <w:sz w:val="24"/>
          <w:szCs w:val="24"/>
        </w:rPr>
        <w:t>med</w:t>
      </w:r>
      <w:r w:rsidRPr="00785831">
        <w:rPr>
          <w:spacing w:val="-5"/>
          <w:sz w:val="24"/>
          <w:szCs w:val="24"/>
        </w:rPr>
        <w:t>i</w:t>
      </w:r>
      <w:r w:rsidRPr="00785831">
        <w:rPr>
          <w:sz w:val="24"/>
          <w:szCs w:val="24"/>
        </w:rPr>
        <w:t>e</w:t>
      </w:r>
      <w:r w:rsidRPr="00785831">
        <w:rPr>
          <w:spacing w:val="-1"/>
          <w:sz w:val="24"/>
          <w:szCs w:val="24"/>
        </w:rPr>
        <w:t>r</w:t>
      </w:r>
      <w:r w:rsidRPr="00785831">
        <w:rPr>
          <w:sz w:val="24"/>
          <w:szCs w:val="24"/>
        </w:rPr>
        <w:t>a</w:t>
      </w:r>
      <w:r w:rsidRPr="00785831">
        <w:rPr>
          <w:spacing w:val="-5"/>
          <w:sz w:val="24"/>
          <w:szCs w:val="24"/>
        </w:rPr>
        <w:t>d</w:t>
      </w:r>
      <w:r w:rsidRPr="00785831">
        <w:rPr>
          <w:sz w:val="24"/>
          <w:szCs w:val="24"/>
        </w:rPr>
        <w:t xml:space="preserve">e </w:t>
      </w:r>
      <w:r w:rsidRPr="00785831">
        <w:rPr>
          <w:spacing w:val="-3"/>
          <w:sz w:val="24"/>
          <w:szCs w:val="24"/>
        </w:rPr>
        <w:t>b</w:t>
      </w:r>
      <w:r w:rsidRPr="00785831">
        <w:rPr>
          <w:sz w:val="24"/>
          <w:szCs w:val="24"/>
        </w:rPr>
        <w:t>el</w:t>
      </w:r>
      <w:r w:rsidRPr="00785831">
        <w:rPr>
          <w:spacing w:val="-1"/>
          <w:sz w:val="24"/>
          <w:szCs w:val="24"/>
        </w:rPr>
        <w:t>ön</w:t>
      </w:r>
      <w:r w:rsidRPr="00785831">
        <w:rPr>
          <w:spacing w:val="-7"/>
          <w:sz w:val="24"/>
          <w:szCs w:val="24"/>
        </w:rPr>
        <w:t>i</w:t>
      </w:r>
      <w:r w:rsidRPr="00785831">
        <w:rPr>
          <w:spacing w:val="-1"/>
          <w:sz w:val="24"/>
          <w:szCs w:val="24"/>
        </w:rPr>
        <w:t>n</w:t>
      </w:r>
      <w:r w:rsidRPr="00785831">
        <w:rPr>
          <w:spacing w:val="-6"/>
          <w:sz w:val="24"/>
          <w:szCs w:val="24"/>
        </w:rPr>
        <w:t>g</w:t>
      </w:r>
      <w:r w:rsidRPr="00785831">
        <w:rPr>
          <w:spacing w:val="1"/>
          <w:sz w:val="24"/>
          <w:szCs w:val="24"/>
        </w:rPr>
        <w:t>s</w:t>
      </w:r>
      <w:r w:rsidRPr="00785831">
        <w:rPr>
          <w:spacing w:val="1"/>
          <w:sz w:val="24"/>
          <w:szCs w:val="24"/>
        </w:rPr>
        <w:softHyphen/>
      </w:r>
      <w:r w:rsidRPr="00785831">
        <w:rPr>
          <w:spacing w:val="-5"/>
          <w:sz w:val="24"/>
          <w:szCs w:val="24"/>
        </w:rPr>
        <w:t>s</w:t>
      </w:r>
      <w:r w:rsidRPr="00785831">
        <w:rPr>
          <w:spacing w:val="-2"/>
          <w:sz w:val="24"/>
          <w:szCs w:val="24"/>
        </w:rPr>
        <w:t>ys</w:t>
      </w:r>
      <w:r w:rsidRPr="00785831">
        <w:rPr>
          <w:spacing w:val="-1"/>
          <w:sz w:val="24"/>
          <w:szCs w:val="24"/>
        </w:rPr>
        <w:t>t</w:t>
      </w:r>
      <w:r w:rsidRPr="00785831">
        <w:rPr>
          <w:sz w:val="24"/>
          <w:szCs w:val="24"/>
        </w:rPr>
        <w:t>e</w:t>
      </w:r>
      <w:r w:rsidRPr="00785831">
        <w:rPr>
          <w:spacing w:val="-1"/>
          <w:sz w:val="24"/>
          <w:szCs w:val="24"/>
        </w:rPr>
        <w:t>m</w:t>
      </w:r>
      <w:r w:rsidRPr="00785831">
        <w:rPr>
          <w:sz w:val="24"/>
          <w:szCs w:val="24"/>
        </w:rPr>
        <w:t xml:space="preserve">et i </w:t>
      </w:r>
      <w:r w:rsidRPr="00785831">
        <w:rPr>
          <w:spacing w:val="-1"/>
          <w:sz w:val="24"/>
          <w:szCs w:val="24"/>
        </w:rPr>
        <w:t>h</w:t>
      </w:r>
      <w:r w:rsidRPr="00785831">
        <w:rPr>
          <w:spacing w:val="-5"/>
          <w:sz w:val="24"/>
          <w:szCs w:val="24"/>
        </w:rPr>
        <w:t>j</w:t>
      </w:r>
      <w:r w:rsidRPr="00785831">
        <w:rPr>
          <w:sz w:val="24"/>
          <w:szCs w:val="24"/>
        </w:rPr>
        <w:t>ä</w:t>
      </w:r>
      <w:r w:rsidRPr="00785831">
        <w:rPr>
          <w:spacing w:val="-1"/>
          <w:sz w:val="24"/>
          <w:szCs w:val="24"/>
        </w:rPr>
        <w:t>r</w:t>
      </w:r>
      <w:r w:rsidRPr="00785831">
        <w:rPr>
          <w:sz w:val="24"/>
          <w:szCs w:val="24"/>
        </w:rPr>
        <w:t>nan (</w:t>
      </w:r>
      <w:r w:rsidRPr="00785831">
        <w:rPr>
          <w:spacing w:val="-1"/>
          <w:sz w:val="24"/>
          <w:szCs w:val="24"/>
        </w:rPr>
        <w:t>mot</w:t>
      </w:r>
      <w:r w:rsidRPr="00785831">
        <w:rPr>
          <w:spacing w:val="-3"/>
          <w:sz w:val="24"/>
          <w:szCs w:val="24"/>
        </w:rPr>
        <w:t>v</w:t>
      </w:r>
      <w:r w:rsidRPr="00785831">
        <w:rPr>
          <w:sz w:val="24"/>
          <w:szCs w:val="24"/>
        </w:rPr>
        <w:t>e</w:t>
      </w:r>
      <w:r w:rsidRPr="00785831">
        <w:rPr>
          <w:spacing w:val="-1"/>
          <w:sz w:val="24"/>
          <w:szCs w:val="24"/>
        </w:rPr>
        <w:t>r</w:t>
      </w:r>
      <w:r w:rsidRPr="00785831">
        <w:rPr>
          <w:sz w:val="24"/>
          <w:szCs w:val="24"/>
        </w:rPr>
        <w:t xml:space="preserve">kar </w:t>
      </w:r>
      <w:r w:rsidRPr="00785831">
        <w:rPr>
          <w:spacing w:val="-1"/>
          <w:sz w:val="24"/>
          <w:szCs w:val="24"/>
        </w:rPr>
        <w:t>h</w:t>
      </w:r>
      <w:r w:rsidRPr="00785831">
        <w:rPr>
          <w:spacing w:val="-5"/>
          <w:sz w:val="24"/>
          <w:szCs w:val="24"/>
        </w:rPr>
        <w:t>y</w:t>
      </w:r>
      <w:r w:rsidRPr="00785831">
        <w:rPr>
          <w:spacing w:val="-1"/>
          <w:sz w:val="24"/>
          <w:szCs w:val="24"/>
        </w:rPr>
        <w:t>p</w:t>
      </w:r>
      <w:r w:rsidRPr="00785831">
        <w:rPr>
          <w:spacing w:val="-2"/>
          <w:sz w:val="24"/>
          <w:szCs w:val="24"/>
        </w:rPr>
        <w:t>e</w:t>
      </w:r>
      <w:r w:rsidRPr="00785831">
        <w:rPr>
          <w:spacing w:val="-1"/>
          <w:sz w:val="24"/>
          <w:szCs w:val="24"/>
        </w:rPr>
        <w:t>r</w:t>
      </w:r>
      <w:r w:rsidRPr="00785831">
        <w:rPr>
          <w:spacing w:val="-5"/>
          <w:sz w:val="24"/>
          <w:szCs w:val="24"/>
        </w:rPr>
        <w:t>e</w:t>
      </w:r>
      <w:r w:rsidRPr="00785831">
        <w:rPr>
          <w:spacing w:val="-3"/>
          <w:sz w:val="24"/>
          <w:szCs w:val="24"/>
        </w:rPr>
        <w:t>x</w:t>
      </w:r>
      <w:r w:rsidRPr="00785831">
        <w:rPr>
          <w:spacing w:val="-2"/>
          <w:sz w:val="24"/>
          <w:szCs w:val="24"/>
        </w:rPr>
        <w:t>c</w:t>
      </w:r>
      <w:r w:rsidRPr="00785831">
        <w:rPr>
          <w:sz w:val="24"/>
          <w:szCs w:val="24"/>
        </w:rPr>
        <w:t>itati</w:t>
      </w:r>
      <w:r w:rsidRPr="00785831">
        <w:rPr>
          <w:spacing w:val="-5"/>
          <w:sz w:val="24"/>
          <w:szCs w:val="24"/>
        </w:rPr>
        <w:t>o</w:t>
      </w:r>
      <w:r w:rsidRPr="00785831">
        <w:rPr>
          <w:sz w:val="24"/>
          <w:szCs w:val="24"/>
        </w:rPr>
        <w:t xml:space="preserve">nen av </w:t>
      </w:r>
      <w:r w:rsidRPr="00785831">
        <w:rPr>
          <w:spacing w:val="-1"/>
          <w:sz w:val="24"/>
          <w:szCs w:val="24"/>
        </w:rPr>
        <w:t>N</w:t>
      </w:r>
      <w:r w:rsidRPr="00785831">
        <w:rPr>
          <w:spacing w:val="-6"/>
          <w:sz w:val="24"/>
          <w:szCs w:val="24"/>
        </w:rPr>
        <w:t>M</w:t>
      </w:r>
      <w:r w:rsidRPr="00785831">
        <w:rPr>
          <w:spacing w:val="-1"/>
          <w:sz w:val="24"/>
          <w:szCs w:val="24"/>
        </w:rPr>
        <w:t>D</w:t>
      </w:r>
      <w:r w:rsidRPr="00785831">
        <w:rPr>
          <w:spacing w:val="3"/>
          <w:sz w:val="24"/>
          <w:szCs w:val="24"/>
        </w:rPr>
        <w:t>A</w:t>
      </w:r>
      <w:r w:rsidRPr="00785831">
        <w:rPr>
          <w:spacing w:val="-1"/>
          <w:sz w:val="24"/>
          <w:szCs w:val="24"/>
        </w:rPr>
        <w:t>-r</w:t>
      </w:r>
      <w:r w:rsidRPr="00785831">
        <w:rPr>
          <w:spacing w:val="-2"/>
          <w:sz w:val="24"/>
          <w:szCs w:val="24"/>
        </w:rPr>
        <w:t>e</w:t>
      </w:r>
      <w:r w:rsidRPr="00785831">
        <w:rPr>
          <w:sz w:val="24"/>
          <w:szCs w:val="24"/>
        </w:rPr>
        <w:t>cep</w:t>
      </w:r>
      <w:r w:rsidRPr="00785831">
        <w:rPr>
          <w:spacing w:val="-1"/>
          <w:sz w:val="24"/>
          <w:szCs w:val="24"/>
        </w:rPr>
        <w:t>t</w:t>
      </w:r>
      <w:r w:rsidRPr="00785831">
        <w:rPr>
          <w:sz w:val="24"/>
          <w:szCs w:val="24"/>
        </w:rPr>
        <w:t>o</w:t>
      </w:r>
      <w:r w:rsidRPr="00785831">
        <w:rPr>
          <w:spacing w:val="-1"/>
          <w:sz w:val="24"/>
          <w:szCs w:val="24"/>
        </w:rPr>
        <w:t>r</w:t>
      </w:r>
      <w:r w:rsidRPr="00785831">
        <w:rPr>
          <w:spacing w:val="-5"/>
          <w:sz w:val="24"/>
          <w:szCs w:val="24"/>
        </w:rPr>
        <w:t>k</w:t>
      </w:r>
      <w:r w:rsidRPr="00785831">
        <w:rPr>
          <w:spacing w:val="-3"/>
          <w:sz w:val="24"/>
          <w:szCs w:val="24"/>
        </w:rPr>
        <w:t>o</w:t>
      </w:r>
      <w:r w:rsidRPr="00785831">
        <w:rPr>
          <w:spacing w:val="-1"/>
          <w:sz w:val="24"/>
          <w:szCs w:val="24"/>
        </w:rPr>
        <w:t>mp</w:t>
      </w:r>
      <w:r w:rsidRPr="00785831">
        <w:rPr>
          <w:spacing w:val="-5"/>
          <w:sz w:val="24"/>
          <w:szCs w:val="24"/>
        </w:rPr>
        <w:t>l</w:t>
      </w:r>
      <w:r w:rsidRPr="00785831">
        <w:rPr>
          <w:sz w:val="24"/>
          <w:szCs w:val="24"/>
        </w:rPr>
        <w:t>e</w:t>
      </w:r>
      <w:r w:rsidRPr="00785831">
        <w:rPr>
          <w:spacing w:val="-3"/>
          <w:sz w:val="24"/>
          <w:szCs w:val="24"/>
        </w:rPr>
        <w:t>x</w:t>
      </w:r>
      <w:r w:rsidRPr="00785831">
        <w:rPr>
          <w:sz w:val="24"/>
          <w:szCs w:val="24"/>
        </w:rPr>
        <w:t xml:space="preserve">et). </w:t>
      </w:r>
      <w:r w:rsidRPr="00785831">
        <w:rPr>
          <w:spacing w:val="-4"/>
          <w:sz w:val="24"/>
          <w:szCs w:val="24"/>
        </w:rPr>
        <w:t>C</w:t>
      </w:r>
      <w:r w:rsidRPr="00785831">
        <w:rPr>
          <w:sz w:val="24"/>
          <w:szCs w:val="24"/>
        </w:rPr>
        <w:t>a</w:t>
      </w:r>
      <w:r w:rsidRPr="00785831">
        <w:rPr>
          <w:spacing w:val="-1"/>
          <w:sz w:val="24"/>
          <w:szCs w:val="24"/>
        </w:rPr>
        <w:t>mp</w:t>
      </w:r>
      <w:r w:rsidRPr="00785831">
        <w:rPr>
          <w:spacing w:val="-9"/>
          <w:sz w:val="24"/>
          <w:szCs w:val="24"/>
        </w:rPr>
        <w:t>r</w:t>
      </w:r>
      <w:r w:rsidRPr="00785831">
        <w:rPr>
          <w:sz w:val="24"/>
          <w:szCs w:val="24"/>
        </w:rPr>
        <w:t>al bör d</w:t>
      </w:r>
      <w:r w:rsidRPr="00785831">
        <w:rPr>
          <w:spacing w:val="-1"/>
          <w:sz w:val="24"/>
          <w:szCs w:val="24"/>
        </w:rPr>
        <w:t>o</w:t>
      </w:r>
      <w:r w:rsidRPr="00785831">
        <w:rPr>
          <w:spacing w:val="-5"/>
          <w:sz w:val="24"/>
          <w:szCs w:val="24"/>
        </w:rPr>
        <w:t>s</w:t>
      </w:r>
      <w:r w:rsidRPr="00785831">
        <w:rPr>
          <w:sz w:val="24"/>
          <w:szCs w:val="24"/>
        </w:rPr>
        <w:t>e</w:t>
      </w:r>
      <w:r w:rsidRPr="00785831">
        <w:rPr>
          <w:spacing w:val="-1"/>
          <w:sz w:val="24"/>
          <w:szCs w:val="24"/>
        </w:rPr>
        <w:t>r</w:t>
      </w:r>
      <w:r w:rsidRPr="00785831">
        <w:rPr>
          <w:sz w:val="24"/>
          <w:szCs w:val="24"/>
        </w:rPr>
        <w:t>as 2</w:t>
      </w:r>
      <w:r w:rsidRPr="00785831">
        <w:rPr>
          <w:spacing w:val="1"/>
          <w:sz w:val="24"/>
          <w:szCs w:val="24"/>
        </w:rPr>
        <w:t>+</w:t>
      </w:r>
      <w:r w:rsidRPr="00785831">
        <w:rPr>
          <w:sz w:val="24"/>
          <w:szCs w:val="24"/>
        </w:rPr>
        <w:t xml:space="preserve">2+2 </w:t>
      </w:r>
      <w:r w:rsidRPr="00785831">
        <w:rPr>
          <w:spacing w:val="-3"/>
          <w:sz w:val="24"/>
          <w:szCs w:val="24"/>
        </w:rPr>
        <w:t>m</w:t>
      </w:r>
      <w:r w:rsidRPr="00785831">
        <w:rPr>
          <w:sz w:val="24"/>
          <w:szCs w:val="24"/>
        </w:rPr>
        <w:t xml:space="preserve">en </w:t>
      </w:r>
      <w:r w:rsidRPr="00785831">
        <w:rPr>
          <w:spacing w:val="-3"/>
          <w:sz w:val="24"/>
          <w:szCs w:val="24"/>
        </w:rPr>
        <w:t>k</w:t>
      </w:r>
      <w:r w:rsidRPr="00785831">
        <w:rPr>
          <w:sz w:val="24"/>
          <w:szCs w:val="24"/>
        </w:rPr>
        <w:t xml:space="preserve">an </w:t>
      </w:r>
      <w:r w:rsidRPr="00785831">
        <w:rPr>
          <w:spacing w:val="-3"/>
          <w:sz w:val="24"/>
          <w:szCs w:val="24"/>
        </w:rPr>
        <w:t>l</w:t>
      </w:r>
      <w:r w:rsidRPr="00785831">
        <w:rPr>
          <w:sz w:val="24"/>
          <w:szCs w:val="24"/>
        </w:rPr>
        <w:t>ika</w:t>
      </w:r>
      <w:r w:rsidRPr="00785831">
        <w:rPr>
          <w:spacing w:val="-8"/>
          <w:sz w:val="24"/>
          <w:szCs w:val="24"/>
        </w:rPr>
        <w:t>v</w:t>
      </w:r>
      <w:r w:rsidRPr="00785831">
        <w:rPr>
          <w:sz w:val="24"/>
          <w:szCs w:val="24"/>
        </w:rPr>
        <w:t xml:space="preserve">äl </w:t>
      </w:r>
      <w:r w:rsidRPr="00785831">
        <w:rPr>
          <w:spacing w:val="-3"/>
          <w:sz w:val="24"/>
          <w:szCs w:val="24"/>
        </w:rPr>
        <w:t>d</w:t>
      </w:r>
      <w:r w:rsidRPr="00785831">
        <w:rPr>
          <w:sz w:val="24"/>
          <w:szCs w:val="24"/>
        </w:rPr>
        <w:t>o</w:t>
      </w:r>
      <w:r w:rsidRPr="00785831">
        <w:rPr>
          <w:spacing w:val="-2"/>
          <w:sz w:val="24"/>
          <w:szCs w:val="24"/>
        </w:rPr>
        <w:t>s</w:t>
      </w:r>
      <w:r w:rsidRPr="00785831">
        <w:rPr>
          <w:sz w:val="24"/>
          <w:szCs w:val="24"/>
        </w:rPr>
        <w:t>e</w:t>
      </w:r>
      <w:r w:rsidRPr="00785831">
        <w:rPr>
          <w:spacing w:val="-1"/>
          <w:sz w:val="24"/>
          <w:szCs w:val="24"/>
        </w:rPr>
        <w:t>r</w:t>
      </w:r>
      <w:r w:rsidRPr="00785831">
        <w:rPr>
          <w:spacing w:val="-2"/>
          <w:sz w:val="24"/>
          <w:szCs w:val="24"/>
        </w:rPr>
        <w:t>a</w:t>
      </w:r>
      <w:r w:rsidRPr="00785831">
        <w:rPr>
          <w:sz w:val="24"/>
          <w:szCs w:val="24"/>
        </w:rPr>
        <w:t xml:space="preserve">s </w:t>
      </w:r>
      <w:r w:rsidRPr="00785831">
        <w:rPr>
          <w:spacing w:val="-3"/>
          <w:sz w:val="24"/>
          <w:szCs w:val="24"/>
        </w:rPr>
        <w:t>3</w:t>
      </w:r>
      <w:r w:rsidRPr="00785831">
        <w:rPr>
          <w:sz w:val="24"/>
          <w:szCs w:val="24"/>
        </w:rPr>
        <w:t>+0</w:t>
      </w:r>
      <w:r w:rsidRPr="00785831">
        <w:rPr>
          <w:spacing w:val="-2"/>
          <w:sz w:val="24"/>
          <w:szCs w:val="24"/>
        </w:rPr>
        <w:t>+</w:t>
      </w:r>
      <w:r w:rsidRPr="00785831">
        <w:rPr>
          <w:sz w:val="24"/>
          <w:szCs w:val="24"/>
        </w:rPr>
        <w:t xml:space="preserve">3 </w:t>
      </w:r>
      <w:r w:rsidRPr="00785831">
        <w:rPr>
          <w:spacing w:val="-1"/>
          <w:sz w:val="24"/>
          <w:szCs w:val="24"/>
        </w:rPr>
        <w:t xml:space="preserve">för </w:t>
      </w:r>
      <w:r w:rsidRPr="00785831">
        <w:rPr>
          <w:sz w:val="24"/>
          <w:szCs w:val="24"/>
        </w:rPr>
        <w:t xml:space="preserve">bättre följsamhet. </w:t>
      </w:r>
      <w:r w:rsidRPr="00785831">
        <w:rPr>
          <w:spacing w:val="-2"/>
          <w:sz w:val="24"/>
          <w:szCs w:val="24"/>
        </w:rPr>
        <w:t>B</w:t>
      </w:r>
      <w:r w:rsidRPr="00785831">
        <w:rPr>
          <w:sz w:val="24"/>
          <w:szCs w:val="24"/>
        </w:rPr>
        <w:t>e</w:t>
      </w:r>
      <w:r w:rsidRPr="00785831">
        <w:rPr>
          <w:spacing w:val="-3"/>
          <w:sz w:val="24"/>
          <w:szCs w:val="24"/>
        </w:rPr>
        <w:t>h</w:t>
      </w:r>
      <w:r w:rsidRPr="00785831">
        <w:rPr>
          <w:sz w:val="24"/>
          <w:szCs w:val="24"/>
        </w:rPr>
        <w:t>a</w:t>
      </w:r>
      <w:r w:rsidRPr="00785831">
        <w:rPr>
          <w:spacing w:val="-3"/>
          <w:sz w:val="24"/>
          <w:szCs w:val="24"/>
        </w:rPr>
        <w:t>ndl</w:t>
      </w:r>
      <w:r w:rsidRPr="00785831">
        <w:rPr>
          <w:sz w:val="24"/>
          <w:szCs w:val="24"/>
        </w:rPr>
        <w:t>i</w:t>
      </w:r>
      <w:r w:rsidRPr="00785831">
        <w:rPr>
          <w:spacing w:val="-1"/>
          <w:sz w:val="24"/>
          <w:szCs w:val="24"/>
        </w:rPr>
        <w:t>n</w:t>
      </w:r>
      <w:r w:rsidRPr="00785831">
        <w:rPr>
          <w:spacing w:val="-2"/>
          <w:sz w:val="24"/>
          <w:szCs w:val="24"/>
        </w:rPr>
        <w:t>g</w:t>
      </w:r>
      <w:r w:rsidRPr="00785831">
        <w:rPr>
          <w:sz w:val="24"/>
          <w:szCs w:val="24"/>
        </w:rPr>
        <w:t>en bör p</w:t>
      </w:r>
      <w:r w:rsidRPr="00785831">
        <w:rPr>
          <w:spacing w:val="-2"/>
          <w:sz w:val="24"/>
          <w:szCs w:val="24"/>
        </w:rPr>
        <w:t>å</w:t>
      </w:r>
      <w:r w:rsidRPr="00785831">
        <w:rPr>
          <w:spacing w:val="-1"/>
          <w:sz w:val="24"/>
          <w:szCs w:val="24"/>
        </w:rPr>
        <w:t>b</w:t>
      </w:r>
      <w:r w:rsidRPr="00785831">
        <w:rPr>
          <w:sz w:val="24"/>
          <w:szCs w:val="24"/>
        </w:rPr>
        <w:t>ö</w:t>
      </w:r>
      <w:r w:rsidRPr="00785831">
        <w:rPr>
          <w:spacing w:val="-1"/>
          <w:sz w:val="24"/>
          <w:szCs w:val="24"/>
        </w:rPr>
        <w:t>r</w:t>
      </w:r>
      <w:r w:rsidRPr="00785831">
        <w:rPr>
          <w:sz w:val="24"/>
          <w:szCs w:val="24"/>
        </w:rPr>
        <w:t>j</w:t>
      </w:r>
      <w:r w:rsidRPr="00785831">
        <w:rPr>
          <w:spacing w:val="-2"/>
          <w:sz w:val="24"/>
          <w:szCs w:val="24"/>
        </w:rPr>
        <w:t>a</w:t>
      </w:r>
      <w:r w:rsidRPr="00785831">
        <w:rPr>
          <w:sz w:val="24"/>
          <w:szCs w:val="24"/>
        </w:rPr>
        <w:t xml:space="preserve">s </w:t>
      </w:r>
      <w:r w:rsidRPr="00785831">
        <w:rPr>
          <w:spacing w:val="-7"/>
          <w:sz w:val="24"/>
          <w:szCs w:val="24"/>
        </w:rPr>
        <w:t>s</w:t>
      </w:r>
      <w:r w:rsidRPr="00785831">
        <w:rPr>
          <w:sz w:val="24"/>
          <w:szCs w:val="24"/>
        </w:rPr>
        <w:t xml:space="preserve">å </w:t>
      </w:r>
      <w:r w:rsidRPr="00785831">
        <w:rPr>
          <w:spacing w:val="-2"/>
          <w:sz w:val="24"/>
          <w:szCs w:val="24"/>
        </w:rPr>
        <w:t>s</w:t>
      </w:r>
      <w:r w:rsidRPr="00785831">
        <w:rPr>
          <w:spacing w:val="-3"/>
          <w:sz w:val="24"/>
          <w:szCs w:val="24"/>
        </w:rPr>
        <w:t>n</w:t>
      </w:r>
      <w:r w:rsidRPr="00785831">
        <w:rPr>
          <w:sz w:val="24"/>
          <w:szCs w:val="24"/>
        </w:rPr>
        <w:t>a</w:t>
      </w:r>
      <w:r w:rsidRPr="00785831">
        <w:rPr>
          <w:spacing w:val="-1"/>
          <w:sz w:val="24"/>
          <w:szCs w:val="24"/>
        </w:rPr>
        <w:t>r</w:t>
      </w:r>
      <w:r w:rsidRPr="00785831">
        <w:rPr>
          <w:sz w:val="24"/>
          <w:szCs w:val="24"/>
        </w:rPr>
        <w:t xml:space="preserve">t </w:t>
      </w:r>
      <w:r w:rsidRPr="00785831">
        <w:rPr>
          <w:spacing w:val="-4"/>
          <w:sz w:val="24"/>
          <w:szCs w:val="24"/>
        </w:rPr>
        <w:t>a</w:t>
      </w:r>
      <w:r w:rsidRPr="00785831">
        <w:rPr>
          <w:sz w:val="24"/>
          <w:szCs w:val="24"/>
        </w:rPr>
        <w:t>lkohol</w:t>
      </w:r>
      <w:r w:rsidRPr="00785831">
        <w:rPr>
          <w:spacing w:val="-5"/>
          <w:sz w:val="24"/>
          <w:szCs w:val="24"/>
        </w:rPr>
        <w:t>k</w:t>
      </w:r>
      <w:r w:rsidRPr="00785831">
        <w:rPr>
          <w:spacing w:val="-3"/>
          <w:sz w:val="24"/>
          <w:szCs w:val="24"/>
        </w:rPr>
        <w:t>o</w:t>
      </w:r>
      <w:r w:rsidRPr="00785831">
        <w:rPr>
          <w:spacing w:val="-1"/>
          <w:sz w:val="24"/>
          <w:szCs w:val="24"/>
        </w:rPr>
        <w:t>n</w:t>
      </w:r>
      <w:r w:rsidRPr="00785831">
        <w:rPr>
          <w:spacing w:val="-2"/>
          <w:sz w:val="24"/>
          <w:szCs w:val="24"/>
        </w:rPr>
        <w:t>su</w:t>
      </w:r>
      <w:r w:rsidRPr="00785831">
        <w:rPr>
          <w:spacing w:val="-1"/>
          <w:sz w:val="24"/>
          <w:szCs w:val="24"/>
        </w:rPr>
        <w:t>mt</w:t>
      </w:r>
      <w:r w:rsidRPr="00785831">
        <w:rPr>
          <w:sz w:val="24"/>
          <w:szCs w:val="24"/>
        </w:rPr>
        <w:t>i</w:t>
      </w:r>
      <w:r w:rsidRPr="00785831">
        <w:rPr>
          <w:spacing w:val="-1"/>
          <w:sz w:val="24"/>
          <w:szCs w:val="24"/>
        </w:rPr>
        <w:t>o</w:t>
      </w:r>
      <w:r w:rsidRPr="00785831">
        <w:rPr>
          <w:spacing w:val="-3"/>
          <w:sz w:val="24"/>
          <w:szCs w:val="24"/>
        </w:rPr>
        <w:t>n</w:t>
      </w:r>
      <w:r w:rsidRPr="00785831">
        <w:rPr>
          <w:sz w:val="24"/>
          <w:szCs w:val="24"/>
        </w:rPr>
        <w:t xml:space="preserve">en </w:t>
      </w:r>
      <w:r w:rsidRPr="00785831">
        <w:rPr>
          <w:spacing w:val="-1"/>
          <w:sz w:val="24"/>
          <w:szCs w:val="24"/>
        </w:rPr>
        <w:t>h</w:t>
      </w:r>
      <w:r w:rsidRPr="00785831">
        <w:rPr>
          <w:spacing w:val="-2"/>
          <w:sz w:val="24"/>
          <w:szCs w:val="24"/>
        </w:rPr>
        <w:t>a</w:t>
      </w:r>
      <w:r w:rsidRPr="00785831">
        <w:rPr>
          <w:sz w:val="24"/>
          <w:szCs w:val="24"/>
        </w:rPr>
        <w:t>r up</w:t>
      </w:r>
      <w:r w:rsidRPr="00785831">
        <w:rPr>
          <w:spacing w:val="-3"/>
          <w:sz w:val="24"/>
          <w:szCs w:val="24"/>
        </w:rPr>
        <w:t>ph</w:t>
      </w:r>
      <w:r w:rsidRPr="00785831">
        <w:rPr>
          <w:sz w:val="24"/>
          <w:szCs w:val="24"/>
        </w:rPr>
        <w:t>ö</w:t>
      </w:r>
      <w:r w:rsidRPr="00785831">
        <w:rPr>
          <w:spacing w:val="-1"/>
          <w:sz w:val="24"/>
          <w:szCs w:val="24"/>
        </w:rPr>
        <w:t>r</w:t>
      </w:r>
      <w:r w:rsidRPr="00785831">
        <w:rPr>
          <w:sz w:val="24"/>
          <w:szCs w:val="24"/>
        </w:rPr>
        <w:t xml:space="preserve">t </w:t>
      </w:r>
      <w:r w:rsidRPr="00785831">
        <w:rPr>
          <w:spacing w:val="-1"/>
          <w:sz w:val="24"/>
          <w:szCs w:val="24"/>
        </w:rPr>
        <w:t>o</w:t>
      </w:r>
      <w:r w:rsidRPr="00785831">
        <w:rPr>
          <w:spacing w:val="-2"/>
          <w:sz w:val="24"/>
          <w:szCs w:val="24"/>
        </w:rPr>
        <w:t>c</w:t>
      </w:r>
      <w:r w:rsidRPr="00785831">
        <w:rPr>
          <w:sz w:val="24"/>
          <w:szCs w:val="24"/>
        </w:rPr>
        <w:t xml:space="preserve">h </w:t>
      </w:r>
      <w:r w:rsidRPr="00785831">
        <w:rPr>
          <w:spacing w:val="-3"/>
          <w:sz w:val="24"/>
          <w:szCs w:val="24"/>
        </w:rPr>
        <w:t>b</w:t>
      </w:r>
      <w:r w:rsidRPr="00785831">
        <w:rPr>
          <w:sz w:val="24"/>
          <w:szCs w:val="24"/>
        </w:rPr>
        <w:t xml:space="preserve">ör </w:t>
      </w:r>
      <w:r w:rsidRPr="00785831">
        <w:rPr>
          <w:spacing w:val="-1"/>
          <w:sz w:val="24"/>
          <w:szCs w:val="24"/>
        </w:rPr>
        <w:t>f</w:t>
      </w:r>
      <w:r w:rsidRPr="00785831">
        <w:rPr>
          <w:sz w:val="24"/>
          <w:szCs w:val="24"/>
        </w:rPr>
        <w:t>o</w:t>
      </w:r>
      <w:r w:rsidRPr="00785831">
        <w:rPr>
          <w:spacing w:val="-1"/>
          <w:sz w:val="24"/>
          <w:szCs w:val="24"/>
        </w:rPr>
        <w:t>rt</w:t>
      </w:r>
      <w:r w:rsidRPr="00785831">
        <w:rPr>
          <w:spacing w:val="-5"/>
          <w:sz w:val="24"/>
          <w:szCs w:val="24"/>
        </w:rPr>
        <w:t>s</w:t>
      </w:r>
      <w:r w:rsidRPr="00785831">
        <w:rPr>
          <w:sz w:val="24"/>
          <w:szCs w:val="24"/>
        </w:rPr>
        <w:t>ä</w:t>
      </w:r>
      <w:r w:rsidRPr="00785831">
        <w:rPr>
          <w:spacing w:val="-1"/>
          <w:sz w:val="24"/>
          <w:szCs w:val="24"/>
        </w:rPr>
        <w:t>tt</w:t>
      </w:r>
      <w:r w:rsidRPr="00785831">
        <w:rPr>
          <w:sz w:val="24"/>
          <w:szCs w:val="24"/>
        </w:rPr>
        <w:t>a om ä</w:t>
      </w:r>
      <w:r w:rsidRPr="00785831">
        <w:rPr>
          <w:spacing w:val="-8"/>
          <w:sz w:val="24"/>
          <w:szCs w:val="24"/>
        </w:rPr>
        <w:t>v</w:t>
      </w:r>
      <w:r w:rsidRPr="00785831">
        <w:rPr>
          <w:sz w:val="24"/>
          <w:szCs w:val="24"/>
        </w:rPr>
        <w:t xml:space="preserve">en </w:t>
      </w:r>
      <w:r w:rsidRPr="00785831">
        <w:rPr>
          <w:spacing w:val="-3"/>
          <w:sz w:val="24"/>
          <w:szCs w:val="24"/>
        </w:rPr>
        <w:t>o</w:t>
      </w:r>
      <w:r w:rsidRPr="00785831">
        <w:rPr>
          <w:sz w:val="24"/>
          <w:szCs w:val="24"/>
        </w:rPr>
        <w:t>m pat</w:t>
      </w:r>
      <w:r w:rsidRPr="00785831">
        <w:rPr>
          <w:spacing w:val="-3"/>
          <w:sz w:val="24"/>
          <w:szCs w:val="24"/>
        </w:rPr>
        <w:t>i</w:t>
      </w:r>
      <w:r w:rsidRPr="00785831">
        <w:rPr>
          <w:sz w:val="24"/>
          <w:szCs w:val="24"/>
        </w:rPr>
        <w:t>en</w:t>
      </w:r>
      <w:r w:rsidRPr="00785831">
        <w:rPr>
          <w:spacing w:val="-1"/>
          <w:sz w:val="24"/>
          <w:szCs w:val="24"/>
        </w:rPr>
        <w:t>t</w:t>
      </w:r>
      <w:r w:rsidRPr="00785831">
        <w:rPr>
          <w:spacing w:val="-2"/>
          <w:sz w:val="24"/>
          <w:szCs w:val="24"/>
        </w:rPr>
        <w:t>e</w:t>
      </w:r>
      <w:r w:rsidRPr="00785831">
        <w:rPr>
          <w:sz w:val="24"/>
          <w:szCs w:val="24"/>
        </w:rPr>
        <w:t xml:space="preserve">n </w:t>
      </w:r>
      <w:r w:rsidRPr="00785831">
        <w:rPr>
          <w:spacing w:val="-1"/>
          <w:sz w:val="24"/>
          <w:szCs w:val="24"/>
        </w:rPr>
        <w:t>f</w:t>
      </w:r>
      <w:r w:rsidRPr="00785831">
        <w:rPr>
          <w:sz w:val="24"/>
          <w:szCs w:val="24"/>
        </w:rPr>
        <w:t>år åte</w:t>
      </w:r>
      <w:r w:rsidRPr="00785831">
        <w:rPr>
          <w:spacing w:val="-9"/>
          <w:sz w:val="24"/>
          <w:szCs w:val="24"/>
        </w:rPr>
        <w:t>r</w:t>
      </w:r>
      <w:r w:rsidRPr="00785831">
        <w:rPr>
          <w:spacing w:val="-1"/>
          <w:sz w:val="24"/>
          <w:szCs w:val="24"/>
        </w:rPr>
        <w:t>f</w:t>
      </w:r>
      <w:r w:rsidRPr="00785831">
        <w:rPr>
          <w:sz w:val="24"/>
          <w:szCs w:val="24"/>
        </w:rPr>
        <w:t xml:space="preserve">all. </w:t>
      </w:r>
      <w:r>
        <w:rPr>
          <w:sz w:val="24"/>
          <w:szCs w:val="24"/>
        </w:rPr>
        <w:br/>
      </w:r>
      <w:r w:rsidRPr="00785831">
        <w:rPr>
          <w:spacing w:val="1"/>
          <w:sz w:val="24"/>
          <w:szCs w:val="24"/>
        </w:rPr>
        <w:t>R</w:t>
      </w:r>
      <w:r w:rsidRPr="00785831">
        <w:rPr>
          <w:spacing w:val="-2"/>
          <w:sz w:val="24"/>
          <w:szCs w:val="24"/>
        </w:rPr>
        <w:t>e</w:t>
      </w:r>
      <w:r w:rsidRPr="00785831">
        <w:rPr>
          <w:sz w:val="24"/>
          <w:szCs w:val="24"/>
        </w:rPr>
        <w:t>ko</w:t>
      </w:r>
      <w:r w:rsidRPr="00785831">
        <w:rPr>
          <w:spacing w:val="-1"/>
          <w:sz w:val="24"/>
          <w:szCs w:val="24"/>
        </w:rPr>
        <w:t>mm</w:t>
      </w:r>
      <w:r w:rsidRPr="00785831">
        <w:rPr>
          <w:sz w:val="24"/>
          <w:szCs w:val="24"/>
        </w:rPr>
        <w:t>en</w:t>
      </w:r>
      <w:r w:rsidRPr="00785831">
        <w:rPr>
          <w:sz w:val="24"/>
          <w:szCs w:val="24"/>
        </w:rPr>
        <w:softHyphen/>
      </w:r>
      <w:r w:rsidRPr="00785831">
        <w:rPr>
          <w:spacing w:val="-8"/>
          <w:sz w:val="24"/>
          <w:szCs w:val="24"/>
        </w:rPr>
        <w:t>d</w:t>
      </w:r>
      <w:r w:rsidRPr="00785831">
        <w:rPr>
          <w:sz w:val="24"/>
          <w:szCs w:val="24"/>
        </w:rPr>
        <w:t>e</w:t>
      </w:r>
      <w:r w:rsidRPr="00785831">
        <w:rPr>
          <w:spacing w:val="-1"/>
          <w:sz w:val="24"/>
          <w:szCs w:val="24"/>
        </w:rPr>
        <w:t>r</w:t>
      </w:r>
      <w:r w:rsidRPr="00785831">
        <w:rPr>
          <w:sz w:val="24"/>
          <w:szCs w:val="24"/>
        </w:rPr>
        <w:t xml:space="preserve">ad </w:t>
      </w:r>
      <w:r w:rsidRPr="00785831">
        <w:rPr>
          <w:spacing w:val="-1"/>
          <w:sz w:val="24"/>
          <w:szCs w:val="24"/>
        </w:rPr>
        <w:t>b</w:t>
      </w:r>
      <w:r w:rsidRPr="00785831">
        <w:rPr>
          <w:spacing w:val="-2"/>
          <w:sz w:val="24"/>
          <w:szCs w:val="24"/>
        </w:rPr>
        <w:t>e</w:t>
      </w:r>
      <w:r w:rsidRPr="00785831">
        <w:rPr>
          <w:spacing w:val="-1"/>
          <w:sz w:val="24"/>
          <w:szCs w:val="24"/>
        </w:rPr>
        <w:t>h</w:t>
      </w:r>
      <w:r w:rsidRPr="00785831">
        <w:rPr>
          <w:spacing w:val="1"/>
          <w:sz w:val="24"/>
          <w:szCs w:val="24"/>
        </w:rPr>
        <w:t>a</w:t>
      </w:r>
      <w:r w:rsidRPr="00785831">
        <w:rPr>
          <w:spacing w:val="-3"/>
          <w:sz w:val="24"/>
          <w:szCs w:val="24"/>
        </w:rPr>
        <w:t>n</w:t>
      </w:r>
      <w:r w:rsidRPr="00785831">
        <w:rPr>
          <w:sz w:val="24"/>
          <w:szCs w:val="24"/>
        </w:rPr>
        <w:t>dlin</w:t>
      </w:r>
      <w:r w:rsidRPr="00785831">
        <w:rPr>
          <w:spacing w:val="-6"/>
          <w:sz w:val="24"/>
          <w:szCs w:val="24"/>
        </w:rPr>
        <w:t>g</w:t>
      </w:r>
      <w:r w:rsidRPr="00785831">
        <w:rPr>
          <w:spacing w:val="-2"/>
          <w:sz w:val="24"/>
          <w:szCs w:val="24"/>
        </w:rPr>
        <w:t>s</w:t>
      </w:r>
      <w:r w:rsidRPr="00785831">
        <w:rPr>
          <w:spacing w:val="-1"/>
          <w:sz w:val="24"/>
          <w:szCs w:val="24"/>
        </w:rPr>
        <w:t>t</w:t>
      </w:r>
      <w:r w:rsidRPr="00785831">
        <w:rPr>
          <w:sz w:val="24"/>
          <w:szCs w:val="24"/>
        </w:rPr>
        <w:t>id är ett å</w:t>
      </w:r>
      <w:r w:rsidRPr="00785831">
        <w:rPr>
          <w:spacing w:val="-1"/>
          <w:sz w:val="24"/>
          <w:szCs w:val="24"/>
        </w:rPr>
        <w:t>r</w:t>
      </w:r>
      <w:r w:rsidRPr="00785831">
        <w:rPr>
          <w:sz w:val="24"/>
          <w:szCs w:val="24"/>
        </w:rPr>
        <w:t>. Uppföljning sker med hjälp av CDT och/eller PEth. Van</w:t>
      </w:r>
      <w:r w:rsidRPr="00785831">
        <w:rPr>
          <w:spacing w:val="-3"/>
          <w:sz w:val="24"/>
          <w:szCs w:val="24"/>
        </w:rPr>
        <w:t>l</w:t>
      </w:r>
      <w:r w:rsidRPr="00785831">
        <w:rPr>
          <w:sz w:val="24"/>
          <w:szCs w:val="24"/>
        </w:rPr>
        <w:t xml:space="preserve">ig </w:t>
      </w:r>
      <w:r w:rsidRPr="00785831">
        <w:rPr>
          <w:spacing w:val="-3"/>
          <w:sz w:val="24"/>
          <w:szCs w:val="24"/>
        </w:rPr>
        <w:t>biv</w:t>
      </w:r>
      <w:r w:rsidRPr="00785831">
        <w:rPr>
          <w:spacing w:val="-2"/>
          <w:sz w:val="24"/>
          <w:szCs w:val="24"/>
        </w:rPr>
        <w:t>e</w:t>
      </w:r>
      <w:r w:rsidRPr="00785831">
        <w:rPr>
          <w:spacing w:val="-1"/>
          <w:sz w:val="24"/>
          <w:szCs w:val="24"/>
        </w:rPr>
        <w:t>r</w:t>
      </w:r>
      <w:r w:rsidRPr="00785831">
        <w:rPr>
          <w:spacing w:val="-3"/>
          <w:sz w:val="24"/>
          <w:szCs w:val="24"/>
        </w:rPr>
        <w:t>k</w:t>
      </w:r>
      <w:r w:rsidRPr="00785831">
        <w:rPr>
          <w:sz w:val="24"/>
          <w:szCs w:val="24"/>
        </w:rPr>
        <w:t>an är di</w:t>
      </w:r>
      <w:r w:rsidRPr="00785831">
        <w:rPr>
          <w:spacing w:val="-2"/>
          <w:sz w:val="24"/>
          <w:szCs w:val="24"/>
        </w:rPr>
        <w:t>a</w:t>
      </w:r>
      <w:r w:rsidRPr="00785831">
        <w:rPr>
          <w:spacing w:val="-1"/>
          <w:sz w:val="24"/>
          <w:szCs w:val="24"/>
        </w:rPr>
        <w:t>rr</w:t>
      </w:r>
      <w:r w:rsidRPr="00785831">
        <w:rPr>
          <w:sz w:val="24"/>
          <w:szCs w:val="24"/>
        </w:rPr>
        <w:t xml:space="preserve">é </w:t>
      </w:r>
      <w:r w:rsidRPr="00785831">
        <w:rPr>
          <w:spacing w:val="-11"/>
          <w:sz w:val="24"/>
          <w:szCs w:val="24"/>
        </w:rPr>
        <w:t>v</w:t>
      </w:r>
      <w:r w:rsidRPr="00785831">
        <w:rPr>
          <w:sz w:val="24"/>
          <w:szCs w:val="24"/>
        </w:rPr>
        <w:t>a</w:t>
      </w:r>
      <w:r w:rsidRPr="00785831">
        <w:rPr>
          <w:spacing w:val="-1"/>
          <w:sz w:val="24"/>
          <w:szCs w:val="24"/>
        </w:rPr>
        <w:t>rf</w:t>
      </w:r>
      <w:r w:rsidRPr="00785831">
        <w:rPr>
          <w:sz w:val="24"/>
          <w:szCs w:val="24"/>
        </w:rPr>
        <w:t>ör d</w:t>
      </w:r>
      <w:r w:rsidRPr="00785831">
        <w:rPr>
          <w:spacing w:val="2"/>
          <w:sz w:val="24"/>
          <w:szCs w:val="24"/>
        </w:rPr>
        <w:t>o</w:t>
      </w:r>
      <w:r w:rsidRPr="00785831">
        <w:rPr>
          <w:spacing w:val="-2"/>
          <w:sz w:val="24"/>
          <w:szCs w:val="24"/>
        </w:rPr>
        <w:t>se</w:t>
      </w:r>
      <w:r w:rsidRPr="00785831">
        <w:rPr>
          <w:sz w:val="24"/>
          <w:szCs w:val="24"/>
        </w:rPr>
        <w:t xml:space="preserve">n i </w:t>
      </w:r>
      <w:r w:rsidRPr="00785831">
        <w:rPr>
          <w:spacing w:val="-3"/>
          <w:sz w:val="24"/>
          <w:szCs w:val="24"/>
        </w:rPr>
        <w:t>vi</w:t>
      </w:r>
      <w:r w:rsidRPr="00785831">
        <w:rPr>
          <w:spacing w:val="-2"/>
          <w:sz w:val="24"/>
          <w:szCs w:val="24"/>
        </w:rPr>
        <w:t>s</w:t>
      </w:r>
      <w:r w:rsidRPr="00785831">
        <w:rPr>
          <w:spacing w:val="-5"/>
          <w:sz w:val="24"/>
          <w:szCs w:val="24"/>
        </w:rPr>
        <w:t>s</w:t>
      </w:r>
      <w:r w:rsidRPr="00785831">
        <w:rPr>
          <w:sz w:val="24"/>
          <w:szCs w:val="24"/>
        </w:rPr>
        <w:t>a</w:t>
      </w:r>
      <w:r w:rsidRPr="00785831">
        <w:rPr>
          <w:spacing w:val="-1"/>
          <w:sz w:val="24"/>
          <w:szCs w:val="24"/>
        </w:rPr>
        <w:t xml:space="preserve"> f</w:t>
      </w:r>
      <w:r w:rsidRPr="00785831">
        <w:rPr>
          <w:spacing w:val="-2"/>
          <w:sz w:val="24"/>
          <w:szCs w:val="24"/>
        </w:rPr>
        <w:t>a</w:t>
      </w:r>
      <w:r w:rsidRPr="00785831">
        <w:rPr>
          <w:sz w:val="24"/>
          <w:szCs w:val="24"/>
        </w:rPr>
        <w:t>ll k</w:t>
      </w:r>
      <w:r w:rsidRPr="00785831">
        <w:rPr>
          <w:spacing w:val="-2"/>
          <w:sz w:val="24"/>
          <w:szCs w:val="24"/>
        </w:rPr>
        <w:t>a</w:t>
      </w:r>
      <w:r w:rsidRPr="00785831">
        <w:rPr>
          <w:sz w:val="24"/>
          <w:szCs w:val="24"/>
        </w:rPr>
        <w:t xml:space="preserve">n </w:t>
      </w:r>
      <w:r w:rsidRPr="00785831">
        <w:rPr>
          <w:spacing w:val="-3"/>
          <w:sz w:val="24"/>
          <w:szCs w:val="24"/>
        </w:rPr>
        <w:t>b</w:t>
      </w:r>
      <w:r w:rsidRPr="00785831">
        <w:rPr>
          <w:sz w:val="24"/>
          <w:szCs w:val="24"/>
        </w:rPr>
        <w:t>e</w:t>
      </w:r>
      <w:r w:rsidRPr="00785831">
        <w:rPr>
          <w:spacing w:val="-3"/>
          <w:sz w:val="24"/>
          <w:szCs w:val="24"/>
        </w:rPr>
        <w:t>h</w:t>
      </w:r>
      <w:r w:rsidRPr="00785831">
        <w:rPr>
          <w:sz w:val="24"/>
          <w:szCs w:val="24"/>
        </w:rPr>
        <w:t>ö</w:t>
      </w:r>
      <w:r w:rsidRPr="00785831">
        <w:rPr>
          <w:spacing w:val="-5"/>
          <w:sz w:val="24"/>
          <w:szCs w:val="24"/>
        </w:rPr>
        <w:t>v</w:t>
      </w:r>
      <w:r w:rsidRPr="00785831">
        <w:rPr>
          <w:sz w:val="24"/>
          <w:szCs w:val="24"/>
        </w:rPr>
        <w:t xml:space="preserve">a </w:t>
      </w:r>
      <w:r w:rsidRPr="00785831">
        <w:rPr>
          <w:spacing w:val="-2"/>
          <w:sz w:val="24"/>
          <w:szCs w:val="24"/>
        </w:rPr>
        <w:t>sä</w:t>
      </w:r>
      <w:r w:rsidRPr="00785831">
        <w:rPr>
          <w:sz w:val="24"/>
          <w:szCs w:val="24"/>
        </w:rPr>
        <w:t>nk</w:t>
      </w:r>
      <w:r w:rsidRPr="00785831">
        <w:rPr>
          <w:spacing w:val="-2"/>
          <w:sz w:val="24"/>
          <w:szCs w:val="24"/>
        </w:rPr>
        <w:t>a</w:t>
      </w:r>
      <w:r w:rsidRPr="00785831">
        <w:rPr>
          <w:sz w:val="24"/>
          <w:szCs w:val="24"/>
        </w:rPr>
        <w:t>s e</w:t>
      </w:r>
      <w:r w:rsidRPr="00785831">
        <w:rPr>
          <w:spacing w:val="-3"/>
          <w:sz w:val="24"/>
          <w:szCs w:val="24"/>
        </w:rPr>
        <w:t>l</w:t>
      </w:r>
      <w:r w:rsidRPr="00785831">
        <w:rPr>
          <w:sz w:val="24"/>
          <w:szCs w:val="24"/>
        </w:rPr>
        <w:t>ler i</w:t>
      </w:r>
      <w:r w:rsidRPr="00785831">
        <w:rPr>
          <w:spacing w:val="-3"/>
          <w:sz w:val="24"/>
          <w:szCs w:val="24"/>
        </w:rPr>
        <w:t>n</w:t>
      </w:r>
      <w:r w:rsidRPr="00785831">
        <w:rPr>
          <w:spacing w:val="-1"/>
          <w:sz w:val="24"/>
          <w:szCs w:val="24"/>
        </w:rPr>
        <w:t>t</w:t>
      </w:r>
      <w:r w:rsidRPr="00785831">
        <w:rPr>
          <w:sz w:val="24"/>
          <w:szCs w:val="24"/>
        </w:rPr>
        <w:t>a</w:t>
      </w:r>
      <w:r w:rsidRPr="00785831">
        <w:rPr>
          <w:spacing w:val="-2"/>
          <w:sz w:val="24"/>
          <w:szCs w:val="24"/>
        </w:rPr>
        <w:t>ge</w:t>
      </w:r>
      <w:r w:rsidRPr="00785831">
        <w:rPr>
          <w:sz w:val="24"/>
          <w:szCs w:val="24"/>
        </w:rPr>
        <w:t xml:space="preserve">t delas upp på </w:t>
      </w:r>
      <w:r w:rsidRPr="00785831">
        <w:rPr>
          <w:spacing w:val="-1"/>
          <w:sz w:val="24"/>
          <w:szCs w:val="24"/>
        </w:rPr>
        <w:t>f</w:t>
      </w:r>
      <w:r w:rsidRPr="00785831">
        <w:rPr>
          <w:sz w:val="24"/>
          <w:szCs w:val="24"/>
        </w:rPr>
        <w:t>le</w:t>
      </w:r>
      <w:r w:rsidRPr="00785831">
        <w:rPr>
          <w:spacing w:val="-6"/>
          <w:sz w:val="24"/>
          <w:szCs w:val="24"/>
        </w:rPr>
        <w:t>r</w:t>
      </w:r>
      <w:r w:rsidRPr="00785831">
        <w:rPr>
          <w:sz w:val="24"/>
          <w:szCs w:val="24"/>
        </w:rPr>
        <w:t>a int</w:t>
      </w:r>
      <w:r w:rsidRPr="00785831">
        <w:rPr>
          <w:spacing w:val="1"/>
          <w:sz w:val="24"/>
          <w:szCs w:val="24"/>
        </w:rPr>
        <w:t>a</w:t>
      </w:r>
      <w:r w:rsidRPr="00785831">
        <w:rPr>
          <w:spacing w:val="-2"/>
          <w:sz w:val="24"/>
          <w:szCs w:val="24"/>
        </w:rPr>
        <w:t>gs</w:t>
      </w:r>
      <w:r w:rsidRPr="00785831">
        <w:rPr>
          <w:spacing w:val="-2"/>
          <w:sz w:val="24"/>
          <w:szCs w:val="24"/>
        </w:rPr>
        <w:softHyphen/>
      </w:r>
      <w:r w:rsidRPr="00785831">
        <w:rPr>
          <w:spacing w:val="-3"/>
          <w:sz w:val="24"/>
          <w:szCs w:val="24"/>
        </w:rPr>
        <w:t>t</w:t>
      </w:r>
      <w:r w:rsidRPr="00785831">
        <w:rPr>
          <w:sz w:val="24"/>
          <w:szCs w:val="24"/>
        </w:rPr>
        <w:t>i</w:t>
      </w:r>
      <w:r w:rsidRPr="00785831">
        <w:rPr>
          <w:spacing w:val="-3"/>
          <w:sz w:val="24"/>
          <w:szCs w:val="24"/>
        </w:rPr>
        <w:t>l</w:t>
      </w:r>
      <w:r w:rsidRPr="00785831">
        <w:rPr>
          <w:sz w:val="24"/>
          <w:szCs w:val="24"/>
        </w:rPr>
        <w:t>l</w:t>
      </w:r>
      <w:r w:rsidRPr="00785831">
        <w:rPr>
          <w:spacing w:val="-1"/>
          <w:sz w:val="24"/>
          <w:szCs w:val="24"/>
        </w:rPr>
        <w:t>f</w:t>
      </w:r>
      <w:r w:rsidRPr="00785831">
        <w:rPr>
          <w:sz w:val="24"/>
          <w:szCs w:val="24"/>
        </w:rPr>
        <w:t>ä</w:t>
      </w:r>
      <w:r w:rsidRPr="00785831">
        <w:rPr>
          <w:spacing w:val="-3"/>
          <w:sz w:val="24"/>
          <w:szCs w:val="24"/>
        </w:rPr>
        <w:t>l</w:t>
      </w:r>
      <w:r w:rsidRPr="00785831">
        <w:rPr>
          <w:sz w:val="24"/>
          <w:szCs w:val="24"/>
        </w:rPr>
        <w:t>l</w:t>
      </w:r>
      <w:r w:rsidRPr="00785831">
        <w:rPr>
          <w:spacing w:val="-2"/>
          <w:sz w:val="24"/>
          <w:szCs w:val="24"/>
        </w:rPr>
        <w:t>e</w:t>
      </w:r>
      <w:r w:rsidRPr="00785831">
        <w:rPr>
          <w:sz w:val="24"/>
          <w:szCs w:val="24"/>
        </w:rPr>
        <w:t xml:space="preserve">n. </w:t>
      </w:r>
      <w:r w:rsidRPr="00785831">
        <w:rPr>
          <w:spacing w:val="-1"/>
          <w:sz w:val="24"/>
          <w:szCs w:val="24"/>
        </w:rPr>
        <w:t>Fö</w:t>
      </w:r>
      <w:r w:rsidRPr="00785831">
        <w:rPr>
          <w:spacing w:val="-6"/>
          <w:sz w:val="24"/>
          <w:szCs w:val="24"/>
        </w:rPr>
        <w:t>r</w:t>
      </w:r>
      <w:r w:rsidRPr="00785831">
        <w:rPr>
          <w:spacing w:val="-2"/>
          <w:sz w:val="24"/>
          <w:szCs w:val="24"/>
        </w:rPr>
        <w:t>s</w:t>
      </w:r>
      <w:r w:rsidRPr="00785831">
        <w:rPr>
          <w:spacing w:val="-3"/>
          <w:sz w:val="24"/>
          <w:szCs w:val="24"/>
        </w:rPr>
        <w:t>i</w:t>
      </w:r>
      <w:r w:rsidRPr="00785831">
        <w:rPr>
          <w:sz w:val="24"/>
          <w:szCs w:val="24"/>
        </w:rPr>
        <w:t>k</w:t>
      </w:r>
      <w:r w:rsidRPr="00785831">
        <w:rPr>
          <w:spacing w:val="-1"/>
          <w:sz w:val="24"/>
          <w:szCs w:val="24"/>
        </w:rPr>
        <w:t>t</w:t>
      </w:r>
      <w:r w:rsidRPr="00785831">
        <w:rPr>
          <w:spacing w:val="-3"/>
          <w:sz w:val="24"/>
          <w:szCs w:val="24"/>
        </w:rPr>
        <w:t>i</w:t>
      </w:r>
      <w:r w:rsidRPr="00785831">
        <w:rPr>
          <w:spacing w:val="-2"/>
          <w:sz w:val="24"/>
          <w:szCs w:val="24"/>
        </w:rPr>
        <w:t>g</w:t>
      </w:r>
      <w:r w:rsidRPr="00785831">
        <w:rPr>
          <w:spacing w:val="-1"/>
          <w:sz w:val="24"/>
          <w:szCs w:val="24"/>
        </w:rPr>
        <w:t>h</w:t>
      </w:r>
      <w:r w:rsidRPr="00785831">
        <w:rPr>
          <w:spacing w:val="-2"/>
          <w:sz w:val="24"/>
          <w:szCs w:val="24"/>
        </w:rPr>
        <w:t>e</w:t>
      </w:r>
      <w:r w:rsidRPr="00785831">
        <w:rPr>
          <w:sz w:val="24"/>
          <w:szCs w:val="24"/>
        </w:rPr>
        <w:t xml:space="preserve">t </w:t>
      </w:r>
      <w:r w:rsidRPr="00785831">
        <w:rPr>
          <w:spacing w:val="-3"/>
          <w:sz w:val="24"/>
          <w:szCs w:val="24"/>
        </w:rPr>
        <w:t>v</w:t>
      </w:r>
      <w:r w:rsidRPr="00785831">
        <w:rPr>
          <w:sz w:val="24"/>
          <w:szCs w:val="24"/>
        </w:rPr>
        <w:t>id ned</w:t>
      </w:r>
      <w:r w:rsidRPr="00785831">
        <w:rPr>
          <w:spacing w:val="-7"/>
          <w:sz w:val="24"/>
          <w:szCs w:val="24"/>
        </w:rPr>
        <w:t>s</w:t>
      </w:r>
      <w:r w:rsidRPr="00785831">
        <w:rPr>
          <w:sz w:val="24"/>
          <w:szCs w:val="24"/>
        </w:rPr>
        <w:t xml:space="preserve">att </w:t>
      </w:r>
      <w:r w:rsidRPr="00785831">
        <w:rPr>
          <w:spacing w:val="-1"/>
          <w:sz w:val="24"/>
          <w:szCs w:val="24"/>
        </w:rPr>
        <w:t>n</w:t>
      </w:r>
      <w:r w:rsidRPr="00785831">
        <w:rPr>
          <w:sz w:val="24"/>
          <w:szCs w:val="24"/>
        </w:rPr>
        <w:t>ju</w:t>
      </w:r>
      <w:r w:rsidRPr="00785831">
        <w:rPr>
          <w:spacing w:val="-9"/>
          <w:sz w:val="24"/>
          <w:szCs w:val="24"/>
        </w:rPr>
        <w:t>r</w:t>
      </w:r>
      <w:r w:rsidRPr="00785831">
        <w:rPr>
          <w:spacing w:val="-1"/>
          <w:sz w:val="24"/>
          <w:szCs w:val="24"/>
        </w:rPr>
        <w:t>f</w:t>
      </w:r>
      <w:r w:rsidRPr="00785831">
        <w:rPr>
          <w:spacing w:val="-3"/>
          <w:sz w:val="24"/>
          <w:szCs w:val="24"/>
        </w:rPr>
        <w:t>u</w:t>
      </w:r>
      <w:r w:rsidRPr="00785831">
        <w:rPr>
          <w:sz w:val="24"/>
          <w:szCs w:val="24"/>
        </w:rPr>
        <w:t>nk</w:t>
      </w:r>
      <w:r w:rsidRPr="00785831">
        <w:rPr>
          <w:spacing w:val="-1"/>
          <w:sz w:val="24"/>
          <w:szCs w:val="24"/>
        </w:rPr>
        <w:t>t</w:t>
      </w:r>
      <w:r w:rsidRPr="00785831">
        <w:rPr>
          <w:sz w:val="24"/>
          <w:szCs w:val="24"/>
        </w:rPr>
        <w:t xml:space="preserve">ion. </w:t>
      </w:r>
      <w:r w:rsidRPr="00785831">
        <w:rPr>
          <w:spacing w:val="1"/>
          <w:sz w:val="24"/>
          <w:szCs w:val="24"/>
        </w:rPr>
        <w:t>P</w:t>
      </w:r>
      <w:r w:rsidRPr="00785831">
        <w:rPr>
          <w:spacing w:val="-11"/>
          <w:sz w:val="24"/>
          <w:szCs w:val="24"/>
        </w:rPr>
        <w:t>r</w:t>
      </w:r>
      <w:r w:rsidRPr="00785831">
        <w:rPr>
          <w:sz w:val="24"/>
          <w:szCs w:val="24"/>
        </w:rPr>
        <w:t>e</w:t>
      </w:r>
      <w:r w:rsidRPr="00785831">
        <w:rPr>
          <w:spacing w:val="-3"/>
          <w:sz w:val="24"/>
          <w:szCs w:val="24"/>
        </w:rPr>
        <w:t>p</w:t>
      </w:r>
      <w:r w:rsidRPr="00785831">
        <w:rPr>
          <w:sz w:val="24"/>
          <w:szCs w:val="24"/>
        </w:rPr>
        <w:t>a</w:t>
      </w:r>
      <w:r w:rsidRPr="00785831">
        <w:rPr>
          <w:spacing w:val="-1"/>
          <w:sz w:val="24"/>
          <w:szCs w:val="24"/>
        </w:rPr>
        <w:t>r</w:t>
      </w:r>
      <w:r w:rsidRPr="00785831">
        <w:rPr>
          <w:sz w:val="24"/>
          <w:szCs w:val="24"/>
        </w:rPr>
        <w:t>a</w:t>
      </w:r>
      <w:r w:rsidRPr="00785831">
        <w:rPr>
          <w:spacing w:val="-3"/>
          <w:sz w:val="24"/>
          <w:szCs w:val="24"/>
        </w:rPr>
        <w:t>t</w:t>
      </w:r>
      <w:r w:rsidRPr="00785831">
        <w:rPr>
          <w:sz w:val="24"/>
          <w:szCs w:val="24"/>
        </w:rPr>
        <w:t xml:space="preserve">et </w:t>
      </w:r>
      <w:r w:rsidRPr="00785831">
        <w:rPr>
          <w:spacing w:val="-8"/>
          <w:sz w:val="24"/>
          <w:szCs w:val="24"/>
        </w:rPr>
        <w:t>k</w:t>
      </w:r>
      <w:r w:rsidRPr="00785831">
        <w:rPr>
          <w:sz w:val="24"/>
          <w:szCs w:val="24"/>
        </w:rPr>
        <w:t>an ko</w:t>
      </w:r>
      <w:r w:rsidRPr="00785831">
        <w:rPr>
          <w:spacing w:val="-3"/>
          <w:sz w:val="24"/>
          <w:szCs w:val="24"/>
        </w:rPr>
        <w:t>m</w:t>
      </w:r>
      <w:r w:rsidRPr="00785831">
        <w:rPr>
          <w:spacing w:val="-1"/>
          <w:sz w:val="24"/>
          <w:szCs w:val="24"/>
        </w:rPr>
        <w:t>b</w:t>
      </w:r>
      <w:r w:rsidRPr="00785831">
        <w:rPr>
          <w:spacing w:val="-3"/>
          <w:sz w:val="24"/>
          <w:szCs w:val="24"/>
        </w:rPr>
        <w:t>i</w:t>
      </w:r>
      <w:r w:rsidRPr="00785831">
        <w:rPr>
          <w:sz w:val="24"/>
          <w:szCs w:val="24"/>
        </w:rPr>
        <w:t>ne</w:t>
      </w:r>
      <w:r w:rsidRPr="00785831">
        <w:rPr>
          <w:spacing w:val="-1"/>
          <w:sz w:val="24"/>
          <w:szCs w:val="24"/>
        </w:rPr>
        <w:t>r</w:t>
      </w:r>
      <w:r w:rsidRPr="00785831">
        <w:rPr>
          <w:spacing w:val="-2"/>
          <w:sz w:val="24"/>
          <w:szCs w:val="24"/>
        </w:rPr>
        <w:t>a</w:t>
      </w:r>
      <w:r w:rsidRPr="00785831">
        <w:rPr>
          <w:sz w:val="24"/>
          <w:szCs w:val="24"/>
        </w:rPr>
        <w:t xml:space="preserve">s </w:t>
      </w:r>
      <w:r w:rsidRPr="00785831">
        <w:rPr>
          <w:spacing w:val="-1"/>
          <w:sz w:val="24"/>
          <w:szCs w:val="24"/>
        </w:rPr>
        <w:t>m</w:t>
      </w:r>
      <w:r w:rsidRPr="00785831">
        <w:rPr>
          <w:spacing w:val="-2"/>
          <w:sz w:val="24"/>
          <w:szCs w:val="24"/>
        </w:rPr>
        <w:t>e</w:t>
      </w:r>
      <w:r w:rsidRPr="00785831">
        <w:rPr>
          <w:sz w:val="24"/>
          <w:szCs w:val="24"/>
        </w:rPr>
        <w:t xml:space="preserve">d </w:t>
      </w:r>
      <w:r w:rsidRPr="00785831">
        <w:rPr>
          <w:spacing w:val="-2"/>
          <w:sz w:val="24"/>
          <w:szCs w:val="24"/>
        </w:rPr>
        <w:t>s</w:t>
      </w:r>
      <w:r w:rsidRPr="00785831">
        <w:rPr>
          <w:sz w:val="24"/>
          <w:szCs w:val="24"/>
        </w:rPr>
        <w:t>å</w:t>
      </w:r>
      <w:r w:rsidRPr="00785831">
        <w:rPr>
          <w:spacing w:val="-3"/>
          <w:sz w:val="24"/>
          <w:szCs w:val="24"/>
        </w:rPr>
        <w:t>v</w:t>
      </w:r>
      <w:r w:rsidRPr="00785831">
        <w:rPr>
          <w:sz w:val="24"/>
          <w:szCs w:val="24"/>
        </w:rPr>
        <w:t xml:space="preserve">äl </w:t>
      </w:r>
      <w:r w:rsidRPr="00785831">
        <w:rPr>
          <w:spacing w:val="-2"/>
          <w:sz w:val="24"/>
          <w:szCs w:val="24"/>
        </w:rPr>
        <w:t>d</w:t>
      </w:r>
      <w:r w:rsidRPr="00785831">
        <w:rPr>
          <w:sz w:val="24"/>
          <w:szCs w:val="24"/>
        </w:rPr>
        <w:t>i</w:t>
      </w:r>
      <w:r w:rsidRPr="00785831">
        <w:rPr>
          <w:spacing w:val="-2"/>
          <w:sz w:val="24"/>
          <w:szCs w:val="24"/>
        </w:rPr>
        <w:t>s</w:t>
      </w:r>
      <w:r w:rsidRPr="00785831">
        <w:rPr>
          <w:spacing w:val="-3"/>
          <w:sz w:val="24"/>
          <w:szCs w:val="24"/>
        </w:rPr>
        <w:t>ul</w:t>
      </w:r>
      <w:r w:rsidRPr="00785831">
        <w:rPr>
          <w:spacing w:val="-1"/>
          <w:sz w:val="24"/>
          <w:szCs w:val="24"/>
        </w:rPr>
        <w:t>f</w:t>
      </w:r>
      <w:r w:rsidRPr="00785831">
        <w:rPr>
          <w:sz w:val="24"/>
          <w:szCs w:val="24"/>
        </w:rPr>
        <w:t>i</w:t>
      </w:r>
      <w:r w:rsidRPr="00785831">
        <w:rPr>
          <w:spacing w:val="-1"/>
          <w:sz w:val="24"/>
          <w:szCs w:val="24"/>
        </w:rPr>
        <w:t>r</w:t>
      </w:r>
      <w:r w:rsidRPr="00785831">
        <w:rPr>
          <w:sz w:val="24"/>
          <w:szCs w:val="24"/>
        </w:rPr>
        <w:t xml:space="preserve">am </w:t>
      </w:r>
      <w:r w:rsidRPr="00785831">
        <w:rPr>
          <w:spacing w:val="-2"/>
          <w:sz w:val="24"/>
          <w:szCs w:val="24"/>
        </w:rPr>
        <w:t>s</w:t>
      </w:r>
      <w:r w:rsidRPr="00785831">
        <w:rPr>
          <w:spacing w:val="-3"/>
          <w:sz w:val="24"/>
          <w:szCs w:val="24"/>
        </w:rPr>
        <w:t>o</w:t>
      </w:r>
      <w:r w:rsidRPr="00785831">
        <w:rPr>
          <w:sz w:val="24"/>
          <w:szCs w:val="24"/>
        </w:rPr>
        <w:t xml:space="preserve">m med </w:t>
      </w:r>
      <w:r w:rsidRPr="00785831">
        <w:rPr>
          <w:spacing w:val="-3"/>
          <w:sz w:val="24"/>
          <w:szCs w:val="24"/>
        </w:rPr>
        <w:t>n</w:t>
      </w:r>
      <w:r w:rsidRPr="00785831">
        <w:rPr>
          <w:sz w:val="24"/>
          <w:szCs w:val="24"/>
        </w:rPr>
        <w:t>al</w:t>
      </w:r>
      <w:r w:rsidRPr="00785831">
        <w:rPr>
          <w:spacing w:val="-1"/>
          <w:sz w:val="24"/>
          <w:szCs w:val="24"/>
        </w:rPr>
        <w:t>tr</w:t>
      </w:r>
      <w:r w:rsidRPr="00785831">
        <w:rPr>
          <w:spacing w:val="-2"/>
          <w:sz w:val="24"/>
          <w:szCs w:val="24"/>
        </w:rPr>
        <w:t>e</w:t>
      </w:r>
      <w:r w:rsidRPr="00785831">
        <w:rPr>
          <w:spacing w:val="-3"/>
          <w:sz w:val="24"/>
          <w:szCs w:val="24"/>
        </w:rPr>
        <w:t>x</w:t>
      </w:r>
      <w:r w:rsidRPr="00785831">
        <w:rPr>
          <w:sz w:val="24"/>
          <w:szCs w:val="24"/>
        </w:rPr>
        <w:t>on. Behandlingseffekten blir större om läkemedelsbehandlingen komplet</w:t>
      </w:r>
      <w:r w:rsidRPr="00785831">
        <w:rPr>
          <w:sz w:val="24"/>
          <w:szCs w:val="24"/>
        </w:rPr>
        <w:softHyphen/>
        <w:t>teras med psyko</w:t>
      </w:r>
      <w:r w:rsidRPr="00785831">
        <w:rPr>
          <w:sz w:val="24"/>
          <w:szCs w:val="24"/>
        </w:rPr>
        <w:softHyphen/>
        <w:t>sociala insatser (se ovan).</w:t>
      </w:r>
    </w:p>
    <w:p w14:paraId="6D990D67" w14:textId="77777777" w:rsidR="00702564" w:rsidRPr="00785831" w:rsidRDefault="00702564" w:rsidP="00702564">
      <w:pPr>
        <w:spacing w:before="120"/>
        <w:rPr>
          <w:sz w:val="24"/>
          <w:szCs w:val="24"/>
        </w:rPr>
      </w:pPr>
      <w:r w:rsidRPr="00785831">
        <w:rPr>
          <w:rFonts w:cs="Garamond"/>
          <w:b/>
          <w:bCs/>
          <w:spacing w:val="-1"/>
          <w:sz w:val="24"/>
          <w:szCs w:val="24"/>
        </w:rPr>
        <w:t>N</w:t>
      </w:r>
      <w:r w:rsidRPr="00785831">
        <w:rPr>
          <w:rFonts w:cs="Garamond"/>
          <w:b/>
          <w:bCs/>
          <w:sz w:val="24"/>
          <w:szCs w:val="24"/>
        </w:rPr>
        <w:t>alt</w:t>
      </w:r>
      <w:r w:rsidRPr="00785831">
        <w:rPr>
          <w:rFonts w:cs="Garamond"/>
          <w:b/>
          <w:bCs/>
          <w:spacing w:val="-2"/>
          <w:sz w:val="24"/>
          <w:szCs w:val="24"/>
        </w:rPr>
        <w:t>r</w:t>
      </w:r>
      <w:r w:rsidRPr="00785831">
        <w:rPr>
          <w:rFonts w:cs="Garamond"/>
          <w:b/>
          <w:bCs/>
          <w:sz w:val="24"/>
          <w:szCs w:val="24"/>
        </w:rPr>
        <w:t>e</w:t>
      </w:r>
      <w:r w:rsidRPr="00785831">
        <w:rPr>
          <w:rFonts w:cs="Garamond"/>
          <w:b/>
          <w:bCs/>
          <w:spacing w:val="-1"/>
          <w:sz w:val="24"/>
          <w:szCs w:val="24"/>
        </w:rPr>
        <w:t>xo</w:t>
      </w:r>
      <w:r w:rsidRPr="00785831">
        <w:rPr>
          <w:rFonts w:cs="Garamond"/>
          <w:b/>
          <w:bCs/>
          <w:sz w:val="24"/>
          <w:szCs w:val="24"/>
        </w:rPr>
        <w:t xml:space="preserve">n </w:t>
      </w:r>
      <w:r w:rsidRPr="00785831">
        <w:rPr>
          <w:rFonts w:cs="Garamond"/>
          <w:sz w:val="24"/>
          <w:szCs w:val="24"/>
        </w:rPr>
        <w:t>(Naltrexon)</w:t>
      </w:r>
      <w:r w:rsidRPr="00785831">
        <w:rPr>
          <w:sz w:val="24"/>
          <w:szCs w:val="24"/>
        </w:rPr>
        <w:t xml:space="preserve">, </w:t>
      </w:r>
      <w:r w:rsidRPr="00785831">
        <w:rPr>
          <w:spacing w:val="-2"/>
          <w:sz w:val="24"/>
          <w:szCs w:val="24"/>
        </w:rPr>
        <w:t>e</w:t>
      </w:r>
      <w:r w:rsidRPr="00785831">
        <w:rPr>
          <w:sz w:val="24"/>
          <w:szCs w:val="24"/>
        </w:rPr>
        <w:t xml:space="preserve">n </w:t>
      </w:r>
      <w:r w:rsidRPr="00785831">
        <w:rPr>
          <w:spacing w:val="-2"/>
          <w:sz w:val="24"/>
          <w:szCs w:val="24"/>
        </w:rPr>
        <w:t>s</w:t>
      </w:r>
      <w:r w:rsidRPr="00785831">
        <w:rPr>
          <w:sz w:val="24"/>
          <w:szCs w:val="24"/>
        </w:rPr>
        <w:t>pec</w:t>
      </w:r>
      <w:r w:rsidRPr="00785831">
        <w:rPr>
          <w:spacing w:val="-3"/>
          <w:sz w:val="24"/>
          <w:szCs w:val="24"/>
        </w:rPr>
        <w:t>i</w:t>
      </w:r>
      <w:r w:rsidRPr="00785831">
        <w:rPr>
          <w:spacing w:val="-1"/>
          <w:sz w:val="24"/>
          <w:szCs w:val="24"/>
        </w:rPr>
        <w:t>f</w:t>
      </w:r>
      <w:r w:rsidRPr="00785831">
        <w:rPr>
          <w:spacing w:val="-3"/>
          <w:sz w:val="24"/>
          <w:szCs w:val="24"/>
        </w:rPr>
        <w:t>i</w:t>
      </w:r>
      <w:r w:rsidRPr="00785831">
        <w:rPr>
          <w:sz w:val="24"/>
          <w:szCs w:val="24"/>
        </w:rPr>
        <w:t xml:space="preserve">k </w:t>
      </w:r>
      <w:r w:rsidRPr="00785831">
        <w:rPr>
          <w:spacing w:val="-3"/>
          <w:sz w:val="24"/>
          <w:szCs w:val="24"/>
        </w:rPr>
        <w:t>o</w:t>
      </w:r>
      <w:r w:rsidRPr="00785831">
        <w:rPr>
          <w:spacing w:val="-1"/>
          <w:sz w:val="24"/>
          <w:szCs w:val="24"/>
        </w:rPr>
        <w:t>p</w:t>
      </w:r>
      <w:r w:rsidRPr="00785831">
        <w:rPr>
          <w:sz w:val="24"/>
          <w:szCs w:val="24"/>
        </w:rPr>
        <w:t>i</w:t>
      </w:r>
      <w:r w:rsidRPr="00785831">
        <w:rPr>
          <w:spacing w:val="-1"/>
          <w:sz w:val="24"/>
          <w:szCs w:val="24"/>
        </w:rPr>
        <w:t>o</w:t>
      </w:r>
      <w:r w:rsidRPr="00785831">
        <w:rPr>
          <w:sz w:val="24"/>
          <w:szCs w:val="24"/>
        </w:rPr>
        <w:t>i</w:t>
      </w:r>
      <w:r w:rsidRPr="00785831">
        <w:rPr>
          <w:spacing w:val="-3"/>
          <w:sz w:val="24"/>
          <w:szCs w:val="24"/>
        </w:rPr>
        <w:t>d</w:t>
      </w:r>
      <w:r w:rsidRPr="00785831">
        <w:rPr>
          <w:spacing w:val="-2"/>
          <w:sz w:val="24"/>
          <w:szCs w:val="24"/>
        </w:rPr>
        <w:t>a</w:t>
      </w:r>
      <w:r w:rsidRPr="00785831">
        <w:rPr>
          <w:sz w:val="24"/>
          <w:szCs w:val="24"/>
        </w:rPr>
        <w:t>nta</w:t>
      </w:r>
      <w:r w:rsidRPr="00785831">
        <w:rPr>
          <w:spacing w:val="-2"/>
          <w:sz w:val="24"/>
          <w:szCs w:val="24"/>
        </w:rPr>
        <w:t>g</w:t>
      </w:r>
      <w:r w:rsidRPr="00785831">
        <w:rPr>
          <w:spacing w:val="-5"/>
          <w:sz w:val="24"/>
          <w:szCs w:val="24"/>
        </w:rPr>
        <w:t>o</w:t>
      </w:r>
      <w:r w:rsidRPr="00785831">
        <w:rPr>
          <w:spacing w:val="-1"/>
          <w:sz w:val="24"/>
          <w:szCs w:val="24"/>
        </w:rPr>
        <w:t>n</w:t>
      </w:r>
      <w:r w:rsidRPr="00785831">
        <w:rPr>
          <w:spacing w:val="-3"/>
          <w:sz w:val="24"/>
          <w:szCs w:val="24"/>
        </w:rPr>
        <w:t>i</w:t>
      </w:r>
      <w:r w:rsidRPr="00785831">
        <w:rPr>
          <w:spacing w:val="-2"/>
          <w:sz w:val="24"/>
          <w:szCs w:val="24"/>
        </w:rPr>
        <w:t>s</w:t>
      </w:r>
      <w:r w:rsidRPr="00785831">
        <w:rPr>
          <w:sz w:val="24"/>
          <w:szCs w:val="24"/>
        </w:rPr>
        <w:t xml:space="preserve">t </w:t>
      </w:r>
      <w:r w:rsidRPr="00785831">
        <w:rPr>
          <w:spacing w:val="-2"/>
          <w:sz w:val="24"/>
          <w:szCs w:val="24"/>
        </w:rPr>
        <w:t>s</w:t>
      </w:r>
      <w:r w:rsidRPr="00785831">
        <w:rPr>
          <w:spacing w:val="-3"/>
          <w:sz w:val="24"/>
          <w:szCs w:val="24"/>
        </w:rPr>
        <w:t>o</w:t>
      </w:r>
      <w:r w:rsidRPr="00785831">
        <w:rPr>
          <w:sz w:val="24"/>
          <w:szCs w:val="24"/>
        </w:rPr>
        <w:t xml:space="preserve">m </w:t>
      </w:r>
      <w:r w:rsidRPr="00785831">
        <w:rPr>
          <w:spacing w:val="-1"/>
          <w:sz w:val="24"/>
          <w:szCs w:val="24"/>
        </w:rPr>
        <w:t>m</w:t>
      </w:r>
      <w:r w:rsidRPr="00785831">
        <w:rPr>
          <w:spacing w:val="-3"/>
          <w:sz w:val="24"/>
          <w:szCs w:val="24"/>
        </w:rPr>
        <w:t>i</w:t>
      </w:r>
      <w:r w:rsidRPr="00785831">
        <w:rPr>
          <w:sz w:val="24"/>
          <w:szCs w:val="24"/>
        </w:rPr>
        <w:t>n</w:t>
      </w:r>
      <w:r w:rsidRPr="00785831">
        <w:rPr>
          <w:spacing w:val="-2"/>
          <w:sz w:val="24"/>
          <w:szCs w:val="24"/>
        </w:rPr>
        <w:t>s</w:t>
      </w:r>
      <w:r w:rsidRPr="00785831">
        <w:rPr>
          <w:sz w:val="24"/>
          <w:szCs w:val="24"/>
        </w:rPr>
        <w:t xml:space="preserve">kar </w:t>
      </w:r>
      <w:r w:rsidRPr="00785831">
        <w:rPr>
          <w:spacing w:val="-2"/>
          <w:sz w:val="24"/>
          <w:szCs w:val="24"/>
        </w:rPr>
        <w:t>s</w:t>
      </w:r>
      <w:r w:rsidRPr="00785831">
        <w:rPr>
          <w:sz w:val="24"/>
          <w:szCs w:val="24"/>
        </w:rPr>
        <w:t>u</w:t>
      </w:r>
      <w:r w:rsidRPr="00785831">
        <w:rPr>
          <w:spacing w:val="-2"/>
          <w:sz w:val="24"/>
          <w:szCs w:val="24"/>
        </w:rPr>
        <w:t>g</w:t>
      </w:r>
      <w:r w:rsidRPr="00785831">
        <w:rPr>
          <w:sz w:val="24"/>
          <w:szCs w:val="24"/>
        </w:rPr>
        <w:t xml:space="preserve">et </w:t>
      </w:r>
      <w:r w:rsidRPr="00785831">
        <w:rPr>
          <w:spacing w:val="-2"/>
          <w:sz w:val="24"/>
          <w:szCs w:val="24"/>
        </w:rPr>
        <w:t>e</w:t>
      </w:r>
      <w:r w:rsidRPr="00785831">
        <w:rPr>
          <w:spacing w:val="1"/>
          <w:sz w:val="24"/>
          <w:szCs w:val="24"/>
        </w:rPr>
        <w:t>f</w:t>
      </w:r>
      <w:r w:rsidRPr="00785831">
        <w:rPr>
          <w:sz w:val="24"/>
          <w:szCs w:val="24"/>
        </w:rPr>
        <w:t>ter al</w:t>
      </w:r>
      <w:r w:rsidRPr="00785831">
        <w:rPr>
          <w:spacing w:val="-3"/>
          <w:sz w:val="24"/>
          <w:szCs w:val="24"/>
        </w:rPr>
        <w:t>ko</w:t>
      </w:r>
      <w:r w:rsidRPr="00785831">
        <w:rPr>
          <w:spacing w:val="-1"/>
          <w:sz w:val="24"/>
          <w:szCs w:val="24"/>
        </w:rPr>
        <w:t>ho</w:t>
      </w:r>
      <w:r w:rsidRPr="00785831">
        <w:rPr>
          <w:sz w:val="24"/>
          <w:szCs w:val="24"/>
        </w:rPr>
        <w:t xml:space="preserve">l, </w:t>
      </w:r>
      <w:r w:rsidRPr="00785831">
        <w:rPr>
          <w:spacing w:val="-1"/>
          <w:sz w:val="24"/>
          <w:szCs w:val="24"/>
        </w:rPr>
        <w:t>r</w:t>
      </w:r>
      <w:r w:rsidRPr="00785831">
        <w:rPr>
          <w:sz w:val="24"/>
          <w:szCs w:val="24"/>
        </w:rPr>
        <w:t>educ</w:t>
      </w:r>
      <w:r w:rsidRPr="00785831">
        <w:rPr>
          <w:spacing w:val="1"/>
          <w:sz w:val="24"/>
          <w:szCs w:val="24"/>
        </w:rPr>
        <w:t>e</w:t>
      </w:r>
      <w:r w:rsidRPr="00785831">
        <w:rPr>
          <w:spacing w:val="-4"/>
          <w:sz w:val="24"/>
          <w:szCs w:val="24"/>
        </w:rPr>
        <w:t>r</w:t>
      </w:r>
      <w:r w:rsidRPr="00785831">
        <w:rPr>
          <w:sz w:val="24"/>
          <w:szCs w:val="24"/>
        </w:rPr>
        <w:t xml:space="preserve">ar </w:t>
      </w:r>
      <w:r w:rsidRPr="00785831">
        <w:rPr>
          <w:spacing w:val="1"/>
          <w:sz w:val="24"/>
          <w:szCs w:val="24"/>
        </w:rPr>
        <w:t>a</w:t>
      </w:r>
      <w:r w:rsidRPr="00785831">
        <w:rPr>
          <w:sz w:val="24"/>
          <w:szCs w:val="24"/>
        </w:rPr>
        <w:t>lko</w:t>
      </w:r>
      <w:r w:rsidRPr="00785831">
        <w:rPr>
          <w:spacing w:val="-3"/>
          <w:sz w:val="24"/>
          <w:szCs w:val="24"/>
        </w:rPr>
        <w:t>h</w:t>
      </w:r>
      <w:r w:rsidRPr="00785831">
        <w:rPr>
          <w:spacing w:val="-1"/>
          <w:sz w:val="24"/>
          <w:szCs w:val="24"/>
        </w:rPr>
        <w:t>o</w:t>
      </w:r>
      <w:r w:rsidRPr="00785831">
        <w:rPr>
          <w:spacing w:val="-3"/>
          <w:sz w:val="24"/>
          <w:szCs w:val="24"/>
        </w:rPr>
        <w:t>l</w:t>
      </w:r>
      <w:r w:rsidRPr="00785831">
        <w:rPr>
          <w:sz w:val="24"/>
          <w:szCs w:val="24"/>
        </w:rPr>
        <w:t xml:space="preserve">ens </w:t>
      </w:r>
      <w:r w:rsidRPr="00785831">
        <w:rPr>
          <w:spacing w:val="-2"/>
          <w:sz w:val="24"/>
          <w:szCs w:val="24"/>
        </w:rPr>
        <w:t>e</w:t>
      </w:r>
      <w:r w:rsidRPr="00785831">
        <w:rPr>
          <w:spacing w:val="-3"/>
          <w:sz w:val="24"/>
          <w:szCs w:val="24"/>
        </w:rPr>
        <w:t>u</w:t>
      </w:r>
      <w:r w:rsidRPr="00785831">
        <w:rPr>
          <w:spacing w:val="-1"/>
          <w:sz w:val="24"/>
          <w:szCs w:val="24"/>
        </w:rPr>
        <w:t>f</w:t>
      </w:r>
      <w:r w:rsidRPr="00785831">
        <w:rPr>
          <w:sz w:val="24"/>
          <w:szCs w:val="24"/>
        </w:rPr>
        <w:t>o</w:t>
      </w:r>
      <w:r w:rsidRPr="00785831">
        <w:rPr>
          <w:spacing w:val="-1"/>
          <w:sz w:val="24"/>
          <w:szCs w:val="24"/>
        </w:rPr>
        <w:t>r</w:t>
      </w:r>
      <w:r w:rsidRPr="00785831">
        <w:rPr>
          <w:spacing w:val="-3"/>
          <w:sz w:val="24"/>
          <w:szCs w:val="24"/>
        </w:rPr>
        <w:t>i</w:t>
      </w:r>
      <w:r w:rsidRPr="00785831">
        <w:rPr>
          <w:spacing w:val="-2"/>
          <w:sz w:val="24"/>
          <w:szCs w:val="24"/>
        </w:rPr>
        <w:t>s</w:t>
      </w:r>
      <w:r w:rsidRPr="00785831">
        <w:rPr>
          <w:sz w:val="24"/>
          <w:szCs w:val="24"/>
        </w:rPr>
        <w:t>e</w:t>
      </w:r>
      <w:r w:rsidRPr="00785831">
        <w:rPr>
          <w:spacing w:val="-6"/>
          <w:sz w:val="24"/>
          <w:szCs w:val="24"/>
        </w:rPr>
        <w:t>r</w:t>
      </w:r>
      <w:r w:rsidRPr="00785831">
        <w:rPr>
          <w:sz w:val="24"/>
          <w:szCs w:val="24"/>
        </w:rPr>
        <w:t>a</w:t>
      </w:r>
      <w:r w:rsidRPr="00785831">
        <w:rPr>
          <w:spacing w:val="-3"/>
          <w:sz w:val="24"/>
          <w:szCs w:val="24"/>
        </w:rPr>
        <w:t>n</w:t>
      </w:r>
      <w:r w:rsidRPr="00785831">
        <w:rPr>
          <w:sz w:val="24"/>
          <w:szCs w:val="24"/>
        </w:rPr>
        <w:t xml:space="preserve">de </w:t>
      </w:r>
      <w:r w:rsidRPr="00785831">
        <w:rPr>
          <w:spacing w:val="-5"/>
          <w:sz w:val="24"/>
          <w:szCs w:val="24"/>
        </w:rPr>
        <w:t>e</w:t>
      </w:r>
      <w:r w:rsidRPr="00785831">
        <w:rPr>
          <w:spacing w:val="-1"/>
          <w:sz w:val="24"/>
          <w:szCs w:val="24"/>
        </w:rPr>
        <w:t>ff</w:t>
      </w:r>
      <w:r w:rsidRPr="00785831">
        <w:rPr>
          <w:sz w:val="24"/>
          <w:szCs w:val="24"/>
        </w:rPr>
        <w:t>ekter</w:t>
      </w:r>
      <w:r w:rsidRPr="00785831">
        <w:rPr>
          <w:spacing w:val="-5"/>
          <w:sz w:val="24"/>
          <w:szCs w:val="24"/>
        </w:rPr>
        <w:t xml:space="preserve"> och</w:t>
      </w:r>
      <w:r w:rsidRPr="00785831">
        <w:rPr>
          <w:sz w:val="24"/>
          <w:szCs w:val="24"/>
        </w:rPr>
        <w:t xml:space="preserve"> </w:t>
      </w:r>
      <w:r w:rsidRPr="00785831">
        <w:rPr>
          <w:spacing w:val="-1"/>
          <w:sz w:val="24"/>
          <w:szCs w:val="24"/>
        </w:rPr>
        <w:t>m</w:t>
      </w:r>
      <w:r w:rsidRPr="00785831">
        <w:rPr>
          <w:sz w:val="24"/>
          <w:szCs w:val="24"/>
        </w:rPr>
        <w:t>i</w:t>
      </w:r>
      <w:r w:rsidRPr="00785831">
        <w:rPr>
          <w:spacing w:val="-1"/>
          <w:sz w:val="24"/>
          <w:szCs w:val="24"/>
        </w:rPr>
        <w:t>n</w:t>
      </w:r>
      <w:r w:rsidRPr="00785831">
        <w:rPr>
          <w:spacing w:val="-5"/>
          <w:sz w:val="24"/>
          <w:szCs w:val="24"/>
        </w:rPr>
        <w:t>s</w:t>
      </w:r>
      <w:r w:rsidRPr="00785831">
        <w:rPr>
          <w:spacing w:val="-3"/>
          <w:sz w:val="24"/>
          <w:szCs w:val="24"/>
        </w:rPr>
        <w:t>k</w:t>
      </w:r>
      <w:r w:rsidRPr="00785831">
        <w:rPr>
          <w:sz w:val="24"/>
          <w:szCs w:val="24"/>
        </w:rPr>
        <w:t xml:space="preserve">ar </w:t>
      </w:r>
      <w:r w:rsidRPr="00785831">
        <w:rPr>
          <w:spacing w:val="-6"/>
          <w:sz w:val="24"/>
          <w:szCs w:val="24"/>
        </w:rPr>
        <w:t>r</w:t>
      </w:r>
      <w:r w:rsidRPr="00785831">
        <w:rPr>
          <w:sz w:val="24"/>
          <w:szCs w:val="24"/>
        </w:rPr>
        <w:t>i</w:t>
      </w:r>
      <w:r w:rsidRPr="00785831">
        <w:rPr>
          <w:spacing w:val="-2"/>
          <w:sz w:val="24"/>
          <w:szCs w:val="24"/>
        </w:rPr>
        <w:t>s</w:t>
      </w:r>
      <w:r w:rsidRPr="00785831">
        <w:rPr>
          <w:spacing w:val="-3"/>
          <w:sz w:val="24"/>
          <w:szCs w:val="24"/>
        </w:rPr>
        <w:t>k</w:t>
      </w:r>
      <w:r w:rsidRPr="00785831">
        <w:rPr>
          <w:spacing w:val="3"/>
          <w:sz w:val="24"/>
          <w:szCs w:val="24"/>
        </w:rPr>
        <w:t>e</w:t>
      </w:r>
      <w:r w:rsidRPr="00785831">
        <w:rPr>
          <w:sz w:val="24"/>
          <w:szCs w:val="24"/>
        </w:rPr>
        <w:t xml:space="preserve">n </w:t>
      </w:r>
      <w:r w:rsidRPr="00785831">
        <w:rPr>
          <w:spacing w:val="-1"/>
          <w:sz w:val="24"/>
          <w:szCs w:val="24"/>
        </w:rPr>
        <w:t>f</w:t>
      </w:r>
      <w:r w:rsidRPr="00785831">
        <w:rPr>
          <w:sz w:val="24"/>
          <w:szCs w:val="24"/>
        </w:rPr>
        <w:t xml:space="preserve">ör att </w:t>
      </w:r>
      <w:r w:rsidRPr="00785831">
        <w:rPr>
          <w:spacing w:val="-2"/>
          <w:sz w:val="24"/>
          <w:szCs w:val="24"/>
        </w:rPr>
        <w:t>e</w:t>
      </w:r>
      <w:r w:rsidRPr="00785831">
        <w:rPr>
          <w:sz w:val="24"/>
          <w:szCs w:val="24"/>
        </w:rPr>
        <w:t>n li</w:t>
      </w:r>
      <w:r w:rsidRPr="00785831">
        <w:rPr>
          <w:spacing w:val="-1"/>
          <w:sz w:val="24"/>
          <w:szCs w:val="24"/>
        </w:rPr>
        <w:t>t</w:t>
      </w:r>
      <w:r w:rsidRPr="00785831">
        <w:rPr>
          <w:spacing w:val="-2"/>
          <w:sz w:val="24"/>
          <w:szCs w:val="24"/>
        </w:rPr>
        <w:t>e</w:t>
      </w:r>
      <w:r w:rsidRPr="00785831">
        <w:rPr>
          <w:sz w:val="24"/>
          <w:szCs w:val="24"/>
        </w:rPr>
        <w:t xml:space="preserve">n </w:t>
      </w:r>
      <w:r w:rsidRPr="00785831">
        <w:rPr>
          <w:spacing w:val="-1"/>
          <w:sz w:val="24"/>
          <w:szCs w:val="24"/>
        </w:rPr>
        <w:t>m</w:t>
      </w:r>
      <w:r w:rsidRPr="00785831">
        <w:rPr>
          <w:sz w:val="24"/>
          <w:szCs w:val="24"/>
        </w:rPr>
        <w:t>än</w:t>
      </w:r>
      <w:r w:rsidRPr="00785831">
        <w:rPr>
          <w:spacing w:val="-2"/>
          <w:sz w:val="24"/>
          <w:szCs w:val="24"/>
        </w:rPr>
        <w:t>g</w:t>
      </w:r>
      <w:r w:rsidRPr="00785831">
        <w:rPr>
          <w:sz w:val="24"/>
          <w:szCs w:val="24"/>
        </w:rPr>
        <w:t xml:space="preserve">d </w:t>
      </w:r>
      <w:r w:rsidRPr="00785831">
        <w:rPr>
          <w:spacing w:val="-2"/>
          <w:sz w:val="24"/>
          <w:szCs w:val="24"/>
        </w:rPr>
        <w:t>a</w:t>
      </w:r>
      <w:r w:rsidRPr="00785831">
        <w:rPr>
          <w:sz w:val="24"/>
          <w:szCs w:val="24"/>
        </w:rPr>
        <w:t xml:space="preserve">lkohol </w:t>
      </w:r>
      <w:r w:rsidRPr="00785831">
        <w:rPr>
          <w:spacing w:val="-2"/>
          <w:sz w:val="24"/>
          <w:szCs w:val="24"/>
        </w:rPr>
        <w:t>s</w:t>
      </w:r>
      <w:r w:rsidRPr="00785831">
        <w:rPr>
          <w:spacing w:val="-3"/>
          <w:sz w:val="24"/>
          <w:szCs w:val="24"/>
        </w:rPr>
        <w:t>k</w:t>
      </w:r>
      <w:r w:rsidRPr="00785831">
        <w:rPr>
          <w:sz w:val="24"/>
          <w:szCs w:val="24"/>
        </w:rPr>
        <w:t xml:space="preserve">a </w:t>
      </w:r>
      <w:r w:rsidRPr="00785831">
        <w:rPr>
          <w:spacing w:val="-3"/>
          <w:sz w:val="24"/>
          <w:szCs w:val="24"/>
        </w:rPr>
        <w:t>u</w:t>
      </w:r>
      <w:r w:rsidRPr="00785831">
        <w:rPr>
          <w:spacing w:val="-1"/>
          <w:sz w:val="24"/>
          <w:szCs w:val="24"/>
        </w:rPr>
        <w:t>t</w:t>
      </w:r>
      <w:r w:rsidRPr="00785831">
        <w:rPr>
          <w:sz w:val="24"/>
          <w:szCs w:val="24"/>
        </w:rPr>
        <w:t>l</w:t>
      </w:r>
      <w:r w:rsidRPr="00785831">
        <w:rPr>
          <w:spacing w:val="-1"/>
          <w:sz w:val="24"/>
          <w:szCs w:val="24"/>
        </w:rPr>
        <w:t>ö</w:t>
      </w:r>
      <w:r w:rsidRPr="00785831">
        <w:rPr>
          <w:spacing w:val="-5"/>
          <w:sz w:val="24"/>
          <w:szCs w:val="24"/>
        </w:rPr>
        <w:t>s</w:t>
      </w:r>
      <w:r w:rsidRPr="00785831">
        <w:rPr>
          <w:sz w:val="24"/>
          <w:szCs w:val="24"/>
        </w:rPr>
        <w:t xml:space="preserve">a en </w:t>
      </w:r>
      <w:r w:rsidRPr="00785831">
        <w:rPr>
          <w:spacing w:val="-3"/>
          <w:sz w:val="24"/>
          <w:szCs w:val="24"/>
        </w:rPr>
        <w:t>n</w:t>
      </w:r>
      <w:r w:rsidRPr="00785831">
        <w:rPr>
          <w:sz w:val="24"/>
          <w:szCs w:val="24"/>
        </w:rPr>
        <w:t xml:space="preserve">y </w:t>
      </w:r>
      <w:r w:rsidRPr="00785831">
        <w:rPr>
          <w:spacing w:val="1"/>
          <w:sz w:val="24"/>
          <w:szCs w:val="24"/>
        </w:rPr>
        <w:t>a</w:t>
      </w:r>
      <w:r w:rsidRPr="00785831">
        <w:rPr>
          <w:sz w:val="24"/>
          <w:szCs w:val="24"/>
        </w:rPr>
        <w:t>lkohol</w:t>
      </w:r>
      <w:r w:rsidRPr="00785831">
        <w:rPr>
          <w:sz w:val="24"/>
          <w:szCs w:val="24"/>
        </w:rPr>
        <w:softHyphen/>
        <w:t>konsumtions</w:t>
      </w:r>
      <w:r w:rsidRPr="00785831">
        <w:rPr>
          <w:spacing w:val="-3"/>
          <w:sz w:val="24"/>
          <w:szCs w:val="24"/>
        </w:rPr>
        <w:t>p</w:t>
      </w:r>
      <w:r w:rsidRPr="00785831">
        <w:rPr>
          <w:sz w:val="24"/>
          <w:szCs w:val="24"/>
        </w:rPr>
        <w:t>e</w:t>
      </w:r>
      <w:r w:rsidRPr="00785831">
        <w:rPr>
          <w:spacing w:val="-1"/>
          <w:sz w:val="24"/>
          <w:szCs w:val="24"/>
        </w:rPr>
        <w:t>r</w:t>
      </w:r>
      <w:r w:rsidRPr="00785831">
        <w:rPr>
          <w:sz w:val="24"/>
          <w:szCs w:val="24"/>
        </w:rPr>
        <w:t>i</w:t>
      </w:r>
      <w:r w:rsidRPr="00785831">
        <w:rPr>
          <w:spacing w:val="-3"/>
          <w:sz w:val="24"/>
          <w:szCs w:val="24"/>
        </w:rPr>
        <w:t>od. Behandling med naltrexon får inte påbörjas om en patient behandlas med opioider eller i urin-toxikologisk screening påvisas med opioider</w:t>
      </w:r>
      <w:r w:rsidRPr="00785831">
        <w:rPr>
          <w:spacing w:val="-3"/>
          <w:sz w:val="24"/>
          <w:szCs w:val="24"/>
        </w:rPr>
        <w:softHyphen/>
        <w:t>. Var god se FASS</w:t>
      </w:r>
      <w:r w:rsidRPr="00785831">
        <w:rPr>
          <w:sz w:val="24"/>
          <w:szCs w:val="24"/>
        </w:rPr>
        <w:t xml:space="preserve">. </w:t>
      </w:r>
      <w:r w:rsidRPr="00785831">
        <w:rPr>
          <w:spacing w:val="-2"/>
          <w:sz w:val="24"/>
          <w:szCs w:val="24"/>
        </w:rPr>
        <w:t>R</w:t>
      </w:r>
      <w:r w:rsidRPr="00785831">
        <w:rPr>
          <w:sz w:val="24"/>
          <w:szCs w:val="24"/>
        </w:rPr>
        <w:t>ek</w:t>
      </w:r>
      <w:r w:rsidRPr="00785831">
        <w:rPr>
          <w:spacing w:val="-3"/>
          <w:sz w:val="24"/>
          <w:szCs w:val="24"/>
        </w:rPr>
        <w:t>om</w:t>
      </w:r>
      <w:r w:rsidRPr="00785831">
        <w:rPr>
          <w:spacing w:val="-1"/>
          <w:sz w:val="24"/>
          <w:szCs w:val="24"/>
        </w:rPr>
        <w:t>m</w:t>
      </w:r>
      <w:r w:rsidRPr="00785831">
        <w:rPr>
          <w:spacing w:val="-2"/>
          <w:sz w:val="24"/>
          <w:szCs w:val="24"/>
        </w:rPr>
        <w:t>e</w:t>
      </w:r>
      <w:r w:rsidRPr="00785831">
        <w:rPr>
          <w:spacing w:val="-5"/>
          <w:sz w:val="24"/>
          <w:szCs w:val="24"/>
        </w:rPr>
        <w:t>n</w:t>
      </w:r>
      <w:r w:rsidRPr="00785831">
        <w:rPr>
          <w:sz w:val="24"/>
          <w:szCs w:val="24"/>
        </w:rPr>
        <w:t>de</w:t>
      </w:r>
      <w:r w:rsidRPr="00785831">
        <w:rPr>
          <w:spacing w:val="-1"/>
          <w:sz w:val="24"/>
          <w:szCs w:val="24"/>
        </w:rPr>
        <w:t>r</w:t>
      </w:r>
      <w:r w:rsidRPr="00785831">
        <w:rPr>
          <w:sz w:val="24"/>
          <w:szCs w:val="24"/>
        </w:rPr>
        <w:t xml:space="preserve">ad </w:t>
      </w:r>
      <w:r w:rsidRPr="00785831">
        <w:rPr>
          <w:spacing w:val="-2"/>
          <w:sz w:val="24"/>
          <w:szCs w:val="24"/>
        </w:rPr>
        <w:t>s</w:t>
      </w:r>
      <w:r w:rsidRPr="00785831">
        <w:rPr>
          <w:spacing w:val="-1"/>
          <w:sz w:val="24"/>
          <w:szCs w:val="24"/>
        </w:rPr>
        <w:t>t</w:t>
      </w:r>
      <w:r w:rsidRPr="00785831">
        <w:rPr>
          <w:spacing w:val="1"/>
          <w:sz w:val="24"/>
          <w:szCs w:val="24"/>
        </w:rPr>
        <w:t>a</w:t>
      </w:r>
      <w:r w:rsidRPr="00785831">
        <w:rPr>
          <w:spacing w:val="-1"/>
          <w:sz w:val="24"/>
          <w:szCs w:val="24"/>
        </w:rPr>
        <w:t>r</w:t>
      </w:r>
      <w:r w:rsidRPr="00785831">
        <w:rPr>
          <w:spacing w:val="-3"/>
          <w:sz w:val="24"/>
          <w:szCs w:val="24"/>
        </w:rPr>
        <w:t>t</w:t>
      </w:r>
      <w:r w:rsidRPr="00785831">
        <w:rPr>
          <w:sz w:val="24"/>
          <w:szCs w:val="24"/>
        </w:rPr>
        <w:t xml:space="preserve">dos </w:t>
      </w:r>
      <w:r w:rsidRPr="00785831">
        <w:rPr>
          <w:spacing w:val="-2"/>
          <w:sz w:val="24"/>
          <w:szCs w:val="24"/>
        </w:rPr>
        <w:t>ä</w:t>
      </w:r>
      <w:r w:rsidRPr="00785831">
        <w:rPr>
          <w:sz w:val="24"/>
          <w:szCs w:val="24"/>
        </w:rPr>
        <w:t xml:space="preserve">r en </w:t>
      </w:r>
      <w:r w:rsidRPr="00785831">
        <w:rPr>
          <w:spacing w:val="-3"/>
          <w:sz w:val="24"/>
          <w:szCs w:val="24"/>
        </w:rPr>
        <w:t>h</w:t>
      </w:r>
      <w:r w:rsidRPr="00785831">
        <w:rPr>
          <w:spacing w:val="-2"/>
          <w:sz w:val="24"/>
          <w:szCs w:val="24"/>
        </w:rPr>
        <w:t>a</w:t>
      </w:r>
      <w:r w:rsidRPr="00785831">
        <w:rPr>
          <w:sz w:val="24"/>
          <w:szCs w:val="24"/>
        </w:rPr>
        <w:t xml:space="preserve">lv </w:t>
      </w:r>
      <w:r w:rsidRPr="00785831">
        <w:rPr>
          <w:spacing w:val="-3"/>
          <w:sz w:val="24"/>
          <w:szCs w:val="24"/>
        </w:rPr>
        <w:t>t</w:t>
      </w:r>
      <w:r w:rsidRPr="00785831">
        <w:rPr>
          <w:sz w:val="24"/>
          <w:szCs w:val="24"/>
        </w:rPr>
        <w:t>ablett un</w:t>
      </w:r>
      <w:r w:rsidRPr="00785831">
        <w:rPr>
          <w:spacing w:val="-3"/>
          <w:sz w:val="24"/>
          <w:szCs w:val="24"/>
        </w:rPr>
        <w:t>d</w:t>
      </w:r>
      <w:r w:rsidRPr="00785831">
        <w:rPr>
          <w:sz w:val="24"/>
          <w:szCs w:val="24"/>
        </w:rPr>
        <w:t xml:space="preserve">er </w:t>
      </w:r>
      <w:r w:rsidRPr="00785831">
        <w:rPr>
          <w:spacing w:val="-1"/>
          <w:sz w:val="24"/>
          <w:szCs w:val="24"/>
        </w:rPr>
        <w:t>f</w:t>
      </w:r>
      <w:r w:rsidRPr="00785831">
        <w:rPr>
          <w:sz w:val="24"/>
          <w:szCs w:val="24"/>
        </w:rPr>
        <w:t>ö</w:t>
      </w:r>
      <w:r w:rsidRPr="00785831">
        <w:rPr>
          <w:spacing w:val="-1"/>
          <w:sz w:val="24"/>
          <w:szCs w:val="24"/>
        </w:rPr>
        <w:t>r</w:t>
      </w:r>
      <w:r w:rsidRPr="00785831">
        <w:rPr>
          <w:spacing w:val="-2"/>
          <w:sz w:val="24"/>
          <w:szCs w:val="24"/>
        </w:rPr>
        <w:t>s</w:t>
      </w:r>
      <w:r w:rsidRPr="00785831">
        <w:rPr>
          <w:spacing w:val="-1"/>
          <w:sz w:val="24"/>
          <w:szCs w:val="24"/>
        </w:rPr>
        <w:t>t</w:t>
      </w:r>
      <w:r w:rsidRPr="00785831">
        <w:rPr>
          <w:sz w:val="24"/>
          <w:szCs w:val="24"/>
        </w:rPr>
        <w:t xml:space="preserve">a </w:t>
      </w:r>
      <w:r w:rsidRPr="00785831">
        <w:rPr>
          <w:spacing w:val="-8"/>
          <w:sz w:val="24"/>
          <w:szCs w:val="24"/>
        </w:rPr>
        <w:t>v</w:t>
      </w:r>
      <w:r w:rsidRPr="00785831">
        <w:rPr>
          <w:sz w:val="24"/>
          <w:szCs w:val="24"/>
        </w:rPr>
        <w:t>eck</w:t>
      </w:r>
      <w:r w:rsidRPr="00785831">
        <w:rPr>
          <w:spacing w:val="-2"/>
          <w:sz w:val="24"/>
          <w:szCs w:val="24"/>
        </w:rPr>
        <w:t>a</w:t>
      </w:r>
      <w:r w:rsidRPr="00785831">
        <w:rPr>
          <w:sz w:val="24"/>
          <w:szCs w:val="24"/>
        </w:rPr>
        <w:t xml:space="preserve">n </w:t>
      </w:r>
      <w:r w:rsidRPr="00785831">
        <w:rPr>
          <w:spacing w:val="-1"/>
          <w:sz w:val="24"/>
          <w:szCs w:val="24"/>
        </w:rPr>
        <w:t>o</w:t>
      </w:r>
      <w:r w:rsidRPr="00785831">
        <w:rPr>
          <w:spacing w:val="-2"/>
          <w:sz w:val="24"/>
          <w:szCs w:val="24"/>
        </w:rPr>
        <w:t>c</w:t>
      </w:r>
      <w:r w:rsidRPr="00785831">
        <w:rPr>
          <w:sz w:val="24"/>
          <w:szCs w:val="24"/>
        </w:rPr>
        <w:t>h d</w:t>
      </w:r>
      <w:r w:rsidRPr="00785831">
        <w:rPr>
          <w:spacing w:val="-1"/>
          <w:sz w:val="24"/>
          <w:szCs w:val="24"/>
        </w:rPr>
        <w:t>o</w:t>
      </w:r>
      <w:r w:rsidRPr="00785831">
        <w:rPr>
          <w:spacing w:val="-5"/>
          <w:sz w:val="24"/>
          <w:szCs w:val="24"/>
        </w:rPr>
        <w:t>s</w:t>
      </w:r>
      <w:r w:rsidRPr="00785831">
        <w:rPr>
          <w:sz w:val="24"/>
          <w:szCs w:val="24"/>
        </w:rPr>
        <w:t>e</w:t>
      </w:r>
      <w:r w:rsidRPr="00785831">
        <w:rPr>
          <w:spacing w:val="-1"/>
          <w:sz w:val="24"/>
          <w:szCs w:val="24"/>
        </w:rPr>
        <w:t>r</w:t>
      </w:r>
      <w:r w:rsidRPr="00785831">
        <w:rPr>
          <w:spacing w:val="-2"/>
          <w:sz w:val="24"/>
          <w:szCs w:val="24"/>
        </w:rPr>
        <w:t>a</w:t>
      </w:r>
      <w:r w:rsidRPr="00785831">
        <w:rPr>
          <w:sz w:val="24"/>
          <w:szCs w:val="24"/>
        </w:rPr>
        <w:t xml:space="preserve">s </w:t>
      </w:r>
      <w:r w:rsidRPr="00785831">
        <w:rPr>
          <w:spacing w:val="-2"/>
          <w:sz w:val="24"/>
          <w:szCs w:val="24"/>
        </w:rPr>
        <w:t>e</w:t>
      </w:r>
      <w:r w:rsidRPr="00785831">
        <w:rPr>
          <w:sz w:val="24"/>
          <w:szCs w:val="24"/>
        </w:rPr>
        <w:t xml:space="preserve">n </w:t>
      </w:r>
      <w:r w:rsidRPr="00785831">
        <w:rPr>
          <w:spacing w:val="-2"/>
          <w:sz w:val="24"/>
          <w:szCs w:val="24"/>
        </w:rPr>
        <w:t>g</w:t>
      </w:r>
      <w:r w:rsidRPr="00785831">
        <w:rPr>
          <w:sz w:val="24"/>
          <w:szCs w:val="24"/>
        </w:rPr>
        <w:t xml:space="preserve">ång </w:t>
      </w:r>
      <w:r w:rsidRPr="00785831">
        <w:rPr>
          <w:spacing w:val="-2"/>
          <w:sz w:val="24"/>
          <w:szCs w:val="24"/>
        </w:rPr>
        <w:t>d</w:t>
      </w:r>
      <w:r w:rsidRPr="00785831">
        <w:rPr>
          <w:sz w:val="24"/>
          <w:szCs w:val="24"/>
        </w:rPr>
        <w:t>a</w:t>
      </w:r>
      <w:r w:rsidRPr="00785831">
        <w:rPr>
          <w:spacing w:val="-2"/>
          <w:sz w:val="24"/>
          <w:szCs w:val="24"/>
        </w:rPr>
        <w:t>g</w:t>
      </w:r>
      <w:r w:rsidRPr="00785831">
        <w:rPr>
          <w:sz w:val="24"/>
          <w:szCs w:val="24"/>
        </w:rPr>
        <w:t>li</w:t>
      </w:r>
      <w:r w:rsidRPr="00785831">
        <w:rPr>
          <w:spacing w:val="-8"/>
          <w:sz w:val="24"/>
          <w:szCs w:val="24"/>
        </w:rPr>
        <w:t>g</w:t>
      </w:r>
      <w:r w:rsidRPr="00785831">
        <w:rPr>
          <w:sz w:val="24"/>
          <w:szCs w:val="24"/>
        </w:rPr>
        <w:t xml:space="preserve">en. Behandlingstiden är ett år. Uppföljning sker med CDT och/eller PEth. </w:t>
      </w:r>
      <w:r w:rsidRPr="00785831">
        <w:rPr>
          <w:spacing w:val="-1"/>
          <w:sz w:val="24"/>
          <w:szCs w:val="24"/>
        </w:rPr>
        <w:t>N</w:t>
      </w:r>
      <w:r w:rsidRPr="00785831">
        <w:rPr>
          <w:spacing w:val="-2"/>
          <w:sz w:val="24"/>
          <w:szCs w:val="24"/>
        </w:rPr>
        <w:t>a</w:t>
      </w:r>
      <w:r w:rsidRPr="00785831">
        <w:rPr>
          <w:sz w:val="24"/>
          <w:szCs w:val="24"/>
        </w:rPr>
        <w:t>l</w:t>
      </w:r>
      <w:r w:rsidRPr="00785831">
        <w:rPr>
          <w:spacing w:val="-1"/>
          <w:sz w:val="24"/>
          <w:szCs w:val="24"/>
        </w:rPr>
        <w:t>t</w:t>
      </w:r>
      <w:r w:rsidRPr="00785831">
        <w:rPr>
          <w:spacing w:val="-4"/>
          <w:sz w:val="24"/>
          <w:szCs w:val="24"/>
        </w:rPr>
        <w:t>r</w:t>
      </w:r>
      <w:r w:rsidRPr="00785831">
        <w:rPr>
          <w:spacing w:val="-2"/>
          <w:sz w:val="24"/>
          <w:szCs w:val="24"/>
        </w:rPr>
        <w:t>e</w:t>
      </w:r>
      <w:r w:rsidRPr="00785831">
        <w:rPr>
          <w:spacing w:val="-3"/>
          <w:sz w:val="24"/>
          <w:szCs w:val="24"/>
        </w:rPr>
        <w:t>x</w:t>
      </w:r>
      <w:r w:rsidRPr="00785831">
        <w:rPr>
          <w:sz w:val="24"/>
          <w:szCs w:val="24"/>
        </w:rPr>
        <w:t xml:space="preserve">on </w:t>
      </w:r>
      <w:r w:rsidRPr="00785831">
        <w:rPr>
          <w:spacing w:val="-2"/>
          <w:sz w:val="24"/>
          <w:szCs w:val="24"/>
        </w:rPr>
        <w:t>s</w:t>
      </w:r>
      <w:r w:rsidRPr="00785831">
        <w:rPr>
          <w:sz w:val="24"/>
          <w:szCs w:val="24"/>
        </w:rPr>
        <w:t>ka i</w:t>
      </w:r>
      <w:r w:rsidRPr="00785831">
        <w:rPr>
          <w:spacing w:val="-6"/>
          <w:sz w:val="24"/>
          <w:szCs w:val="24"/>
        </w:rPr>
        <w:t>n</w:t>
      </w:r>
      <w:r w:rsidRPr="00785831">
        <w:rPr>
          <w:spacing w:val="-7"/>
          <w:sz w:val="24"/>
          <w:szCs w:val="24"/>
        </w:rPr>
        <w:t>t</w:t>
      </w:r>
      <w:r w:rsidRPr="00785831">
        <w:rPr>
          <w:sz w:val="24"/>
          <w:szCs w:val="24"/>
        </w:rPr>
        <w:t xml:space="preserve">e </w:t>
      </w:r>
      <w:r w:rsidRPr="00785831">
        <w:rPr>
          <w:spacing w:val="-2"/>
          <w:sz w:val="24"/>
          <w:szCs w:val="24"/>
        </w:rPr>
        <w:t>g</w:t>
      </w:r>
      <w:r w:rsidRPr="00785831">
        <w:rPr>
          <w:sz w:val="24"/>
          <w:szCs w:val="24"/>
        </w:rPr>
        <w:t xml:space="preserve">es </w:t>
      </w:r>
      <w:r w:rsidRPr="00785831">
        <w:rPr>
          <w:spacing w:val="-1"/>
          <w:sz w:val="24"/>
          <w:szCs w:val="24"/>
        </w:rPr>
        <w:t>t</w:t>
      </w:r>
      <w:r w:rsidRPr="00785831">
        <w:rPr>
          <w:sz w:val="24"/>
          <w:szCs w:val="24"/>
        </w:rPr>
        <w:t>i</w:t>
      </w:r>
      <w:r w:rsidRPr="00785831">
        <w:rPr>
          <w:spacing w:val="-3"/>
          <w:sz w:val="24"/>
          <w:szCs w:val="24"/>
        </w:rPr>
        <w:t>l</w:t>
      </w:r>
      <w:r w:rsidRPr="00785831">
        <w:rPr>
          <w:sz w:val="24"/>
          <w:szCs w:val="24"/>
        </w:rPr>
        <w:t>l p</w:t>
      </w:r>
      <w:r w:rsidRPr="00785831">
        <w:rPr>
          <w:spacing w:val="-2"/>
          <w:sz w:val="24"/>
          <w:szCs w:val="24"/>
        </w:rPr>
        <w:t>a</w:t>
      </w:r>
      <w:r w:rsidRPr="00785831">
        <w:rPr>
          <w:spacing w:val="-1"/>
          <w:sz w:val="24"/>
          <w:szCs w:val="24"/>
        </w:rPr>
        <w:t>t</w:t>
      </w:r>
      <w:r w:rsidRPr="00785831">
        <w:rPr>
          <w:spacing w:val="-3"/>
          <w:sz w:val="24"/>
          <w:szCs w:val="24"/>
        </w:rPr>
        <w:t>i</w:t>
      </w:r>
      <w:r w:rsidRPr="00785831">
        <w:rPr>
          <w:sz w:val="24"/>
          <w:szCs w:val="24"/>
        </w:rPr>
        <w:t>e</w:t>
      </w:r>
      <w:r w:rsidRPr="00785831">
        <w:rPr>
          <w:spacing w:val="-3"/>
          <w:sz w:val="24"/>
          <w:szCs w:val="24"/>
        </w:rPr>
        <w:t>nt</w:t>
      </w:r>
      <w:r w:rsidRPr="00785831">
        <w:rPr>
          <w:sz w:val="24"/>
          <w:szCs w:val="24"/>
        </w:rPr>
        <w:t xml:space="preserve">er </w:t>
      </w:r>
      <w:r w:rsidRPr="00785831">
        <w:rPr>
          <w:spacing w:val="-2"/>
          <w:sz w:val="24"/>
          <w:szCs w:val="24"/>
        </w:rPr>
        <w:t>s</w:t>
      </w:r>
      <w:r w:rsidRPr="00785831">
        <w:rPr>
          <w:sz w:val="24"/>
          <w:szCs w:val="24"/>
        </w:rPr>
        <w:t xml:space="preserve">om </w:t>
      </w:r>
      <w:r w:rsidRPr="00785831">
        <w:rPr>
          <w:spacing w:val="-2"/>
          <w:sz w:val="24"/>
          <w:szCs w:val="24"/>
        </w:rPr>
        <w:t>s</w:t>
      </w:r>
      <w:r w:rsidRPr="00785831">
        <w:rPr>
          <w:spacing w:val="-9"/>
          <w:sz w:val="24"/>
          <w:szCs w:val="24"/>
        </w:rPr>
        <w:t>t</w:t>
      </w:r>
      <w:r w:rsidRPr="00785831">
        <w:rPr>
          <w:sz w:val="24"/>
          <w:szCs w:val="24"/>
        </w:rPr>
        <w:t>år</w:t>
      </w:r>
      <w:r w:rsidRPr="00785831">
        <w:rPr>
          <w:spacing w:val="-3"/>
          <w:sz w:val="24"/>
          <w:szCs w:val="24"/>
        </w:rPr>
        <w:t xml:space="preserve"> p</w:t>
      </w:r>
      <w:r w:rsidRPr="00785831">
        <w:rPr>
          <w:sz w:val="24"/>
          <w:szCs w:val="24"/>
        </w:rPr>
        <w:t xml:space="preserve">å </w:t>
      </w:r>
      <w:r w:rsidRPr="00785831">
        <w:rPr>
          <w:spacing w:val="-3"/>
          <w:sz w:val="24"/>
          <w:szCs w:val="24"/>
        </w:rPr>
        <w:t>o</w:t>
      </w:r>
      <w:r w:rsidRPr="00785831">
        <w:rPr>
          <w:sz w:val="24"/>
          <w:szCs w:val="24"/>
        </w:rPr>
        <w:t>pi</w:t>
      </w:r>
      <w:r w:rsidRPr="00785831">
        <w:rPr>
          <w:spacing w:val="-1"/>
          <w:sz w:val="24"/>
          <w:szCs w:val="24"/>
        </w:rPr>
        <w:t>o</w:t>
      </w:r>
      <w:r w:rsidRPr="00785831">
        <w:rPr>
          <w:sz w:val="24"/>
          <w:szCs w:val="24"/>
        </w:rPr>
        <w:t>i</w:t>
      </w:r>
      <w:r w:rsidRPr="00785831">
        <w:rPr>
          <w:spacing w:val="-3"/>
          <w:sz w:val="24"/>
          <w:szCs w:val="24"/>
        </w:rPr>
        <w:t>d</w:t>
      </w:r>
      <w:r w:rsidRPr="00785831">
        <w:rPr>
          <w:spacing w:val="-2"/>
          <w:sz w:val="24"/>
          <w:szCs w:val="24"/>
        </w:rPr>
        <w:t>a</w:t>
      </w:r>
      <w:r w:rsidRPr="00785831">
        <w:rPr>
          <w:spacing w:val="-3"/>
          <w:sz w:val="24"/>
          <w:szCs w:val="24"/>
        </w:rPr>
        <w:t>n</w:t>
      </w:r>
      <w:r w:rsidRPr="00785831">
        <w:rPr>
          <w:spacing w:val="-2"/>
          <w:sz w:val="24"/>
          <w:szCs w:val="24"/>
        </w:rPr>
        <w:t>a</w:t>
      </w:r>
      <w:r w:rsidRPr="00785831">
        <w:rPr>
          <w:spacing w:val="-3"/>
          <w:sz w:val="24"/>
          <w:szCs w:val="24"/>
        </w:rPr>
        <w:t>l</w:t>
      </w:r>
      <w:r w:rsidRPr="00785831">
        <w:rPr>
          <w:spacing w:val="-2"/>
          <w:sz w:val="24"/>
          <w:szCs w:val="24"/>
        </w:rPr>
        <w:t>g</w:t>
      </w:r>
      <w:r w:rsidRPr="00785831">
        <w:rPr>
          <w:sz w:val="24"/>
          <w:szCs w:val="24"/>
        </w:rPr>
        <w:t>e</w:t>
      </w:r>
      <w:r w:rsidRPr="00785831">
        <w:rPr>
          <w:spacing w:val="-3"/>
          <w:sz w:val="24"/>
          <w:szCs w:val="24"/>
        </w:rPr>
        <w:t>t</w:t>
      </w:r>
      <w:r w:rsidRPr="00785831">
        <w:rPr>
          <w:sz w:val="24"/>
          <w:szCs w:val="24"/>
        </w:rPr>
        <w:t>i</w:t>
      </w:r>
      <w:r w:rsidRPr="00785831">
        <w:rPr>
          <w:spacing w:val="-2"/>
          <w:sz w:val="24"/>
          <w:szCs w:val="24"/>
        </w:rPr>
        <w:t>k</w:t>
      </w:r>
      <w:r w:rsidRPr="00785831">
        <w:rPr>
          <w:sz w:val="24"/>
          <w:szCs w:val="24"/>
        </w:rPr>
        <w:t>a (m</w:t>
      </w:r>
      <w:r w:rsidRPr="00785831">
        <w:rPr>
          <w:spacing w:val="-3"/>
          <w:sz w:val="24"/>
          <w:szCs w:val="24"/>
        </w:rPr>
        <w:t>o</w:t>
      </w:r>
      <w:r w:rsidRPr="00785831">
        <w:rPr>
          <w:spacing w:val="-1"/>
          <w:sz w:val="24"/>
          <w:szCs w:val="24"/>
        </w:rPr>
        <w:t>t</w:t>
      </w:r>
      <w:r w:rsidRPr="00785831">
        <w:rPr>
          <w:spacing w:val="-6"/>
          <w:sz w:val="24"/>
          <w:szCs w:val="24"/>
        </w:rPr>
        <w:t>v</w:t>
      </w:r>
      <w:r w:rsidRPr="00785831">
        <w:rPr>
          <w:sz w:val="24"/>
          <w:szCs w:val="24"/>
        </w:rPr>
        <w:t>e</w:t>
      </w:r>
      <w:r w:rsidRPr="00785831">
        <w:rPr>
          <w:spacing w:val="-1"/>
          <w:sz w:val="24"/>
          <w:szCs w:val="24"/>
        </w:rPr>
        <w:t>r</w:t>
      </w:r>
      <w:r w:rsidRPr="00785831">
        <w:rPr>
          <w:sz w:val="24"/>
          <w:szCs w:val="24"/>
        </w:rPr>
        <w:t xml:space="preserve">kar </w:t>
      </w:r>
      <w:r w:rsidRPr="00785831">
        <w:rPr>
          <w:spacing w:val="-3"/>
          <w:sz w:val="24"/>
          <w:szCs w:val="24"/>
        </w:rPr>
        <w:t>d</w:t>
      </w:r>
      <w:r w:rsidRPr="00785831">
        <w:rPr>
          <w:sz w:val="24"/>
          <w:szCs w:val="24"/>
        </w:rPr>
        <w:t xml:space="preserve">en </w:t>
      </w:r>
      <w:r w:rsidRPr="00785831">
        <w:rPr>
          <w:spacing w:val="-2"/>
          <w:sz w:val="24"/>
          <w:szCs w:val="24"/>
        </w:rPr>
        <w:t>s</w:t>
      </w:r>
      <w:r w:rsidRPr="00785831">
        <w:rPr>
          <w:sz w:val="24"/>
          <w:szCs w:val="24"/>
        </w:rPr>
        <w:t>mä</w:t>
      </w:r>
      <w:r w:rsidRPr="00785831">
        <w:rPr>
          <w:spacing w:val="-1"/>
          <w:sz w:val="24"/>
          <w:szCs w:val="24"/>
        </w:rPr>
        <w:t>rt</w:t>
      </w:r>
      <w:r w:rsidRPr="00785831">
        <w:rPr>
          <w:spacing w:val="-3"/>
          <w:sz w:val="24"/>
          <w:szCs w:val="24"/>
        </w:rPr>
        <w:t>l</w:t>
      </w:r>
      <w:r w:rsidRPr="00785831">
        <w:rPr>
          <w:sz w:val="24"/>
          <w:szCs w:val="24"/>
        </w:rPr>
        <w:t>ind</w:t>
      </w:r>
      <w:r w:rsidRPr="00785831">
        <w:rPr>
          <w:spacing w:val="-4"/>
          <w:sz w:val="24"/>
          <w:szCs w:val="24"/>
        </w:rPr>
        <w:t>r</w:t>
      </w:r>
      <w:r w:rsidRPr="00785831">
        <w:rPr>
          <w:spacing w:val="-2"/>
          <w:sz w:val="24"/>
          <w:szCs w:val="24"/>
        </w:rPr>
        <w:t>a</w:t>
      </w:r>
      <w:r w:rsidRPr="00785831">
        <w:rPr>
          <w:sz w:val="24"/>
          <w:szCs w:val="24"/>
        </w:rPr>
        <w:t xml:space="preserve">nde </w:t>
      </w:r>
      <w:r w:rsidRPr="00785831">
        <w:rPr>
          <w:spacing w:val="-2"/>
          <w:sz w:val="24"/>
          <w:szCs w:val="24"/>
        </w:rPr>
        <w:t>e</w:t>
      </w:r>
      <w:r w:rsidRPr="00785831">
        <w:rPr>
          <w:spacing w:val="-1"/>
          <w:sz w:val="24"/>
          <w:szCs w:val="24"/>
        </w:rPr>
        <w:t>ff</w:t>
      </w:r>
      <w:r w:rsidRPr="00785831">
        <w:rPr>
          <w:sz w:val="24"/>
          <w:szCs w:val="24"/>
        </w:rPr>
        <w:t>e</w:t>
      </w:r>
      <w:r w:rsidRPr="00785831">
        <w:rPr>
          <w:spacing w:val="-2"/>
          <w:sz w:val="24"/>
          <w:szCs w:val="24"/>
        </w:rPr>
        <w:t>k</w:t>
      </w:r>
      <w:r w:rsidRPr="00785831">
        <w:rPr>
          <w:spacing w:val="-1"/>
          <w:sz w:val="24"/>
          <w:szCs w:val="24"/>
        </w:rPr>
        <w:t>t</w:t>
      </w:r>
      <w:r w:rsidRPr="00785831">
        <w:rPr>
          <w:spacing w:val="-2"/>
          <w:sz w:val="24"/>
          <w:szCs w:val="24"/>
        </w:rPr>
        <w:t>e</w:t>
      </w:r>
      <w:r w:rsidRPr="00785831">
        <w:rPr>
          <w:sz w:val="24"/>
          <w:szCs w:val="24"/>
        </w:rPr>
        <w:t xml:space="preserve">n) </w:t>
      </w:r>
      <w:r w:rsidRPr="00785831">
        <w:rPr>
          <w:spacing w:val="-5"/>
          <w:sz w:val="24"/>
          <w:szCs w:val="24"/>
        </w:rPr>
        <w:t>e</w:t>
      </w:r>
      <w:r w:rsidRPr="00785831">
        <w:rPr>
          <w:sz w:val="24"/>
          <w:szCs w:val="24"/>
        </w:rPr>
        <w:t>ll</w:t>
      </w:r>
      <w:r w:rsidRPr="00785831">
        <w:rPr>
          <w:spacing w:val="1"/>
          <w:sz w:val="24"/>
          <w:szCs w:val="24"/>
        </w:rPr>
        <w:t>e</w:t>
      </w:r>
      <w:r w:rsidRPr="00785831">
        <w:rPr>
          <w:sz w:val="24"/>
          <w:szCs w:val="24"/>
        </w:rPr>
        <w:t>r pa</w:t>
      </w:r>
      <w:r w:rsidRPr="00785831">
        <w:rPr>
          <w:spacing w:val="-3"/>
          <w:sz w:val="24"/>
          <w:szCs w:val="24"/>
        </w:rPr>
        <w:t>t</w:t>
      </w:r>
      <w:r w:rsidRPr="00785831">
        <w:rPr>
          <w:sz w:val="24"/>
          <w:szCs w:val="24"/>
        </w:rPr>
        <w:t>i</w:t>
      </w:r>
      <w:r w:rsidRPr="00785831">
        <w:rPr>
          <w:spacing w:val="-2"/>
          <w:sz w:val="24"/>
          <w:szCs w:val="24"/>
        </w:rPr>
        <w:t>e</w:t>
      </w:r>
      <w:r w:rsidRPr="00785831">
        <w:rPr>
          <w:sz w:val="24"/>
          <w:szCs w:val="24"/>
        </w:rPr>
        <w:t xml:space="preserve">nter </w:t>
      </w:r>
      <w:r w:rsidRPr="00785831">
        <w:rPr>
          <w:spacing w:val="-2"/>
          <w:sz w:val="24"/>
          <w:szCs w:val="24"/>
        </w:rPr>
        <w:t>s</w:t>
      </w:r>
      <w:r w:rsidRPr="00785831">
        <w:rPr>
          <w:spacing w:val="-3"/>
          <w:sz w:val="24"/>
          <w:szCs w:val="24"/>
        </w:rPr>
        <w:t>o</w:t>
      </w:r>
      <w:r w:rsidRPr="00785831">
        <w:rPr>
          <w:sz w:val="24"/>
          <w:szCs w:val="24"/>
        </w:rPr>
        <w:t xml:space="preserve">m </w:t>
      </w:r>
      <w:r w:rsidRPr="00785831">
        <w:rPr>
          <w:spacing w:val="-1"/>
          <w:sz w:val="24"/>
          <w:szCs w:val="24"/>
        </w:rPr>
        <w:t>h</w:t>
      </w:r>
      <w:r w:rsidRPr="00785831">
        <w:rPr>
          <w:sz w:val="24"/>
          <w:szCs w:val="24"/>
        </w:rPr>
        <w:t xml:space="preserve">ar </w:t>
      </w:r>
      <w:r w:rsidRPr="00785831">
        <w:rPr>
          <w:spacing w:val="-2"/>
          <w:sz w:val="24"/>
          <w:szCs w:val="24"/>
        </w:rPr>
        <w:t>e</w:t>
      </w:r>
      <w:r w:rsidRPr="00785831">
        <w:rPr>
          <w:spacing w:val="-1"/>
          <w:sz w:val="24"/>
          <w:szCs w:val="24"/>
        </w:rPr>
        <w:t>t</w:t>
      </w:r>
      <w:r w:rsidRPr="00785831">
        <w:rPr>
          <w:sz w:val="24"/>
          <w:szCs w:val="24"/>
        </w:rPr>
        <w:t xml:space="preserve">t </w:t>
      </w:r>
      <w:r w:rsidRPr="00785831">
        <w:rPr>
          <w:spacing w:val="-5"/>
          <w:sz w:val="24"/>
          <w:szCs w:val="24"/>
        </w:rPr>
        <w:t>p</w:t>
      </w:r>
      <w:r w:rsidRPr="00785831">
        <w:rPr>
          <w:sz w:val="24"/>
          <w:szCs w:val="24"/>
        </w:rPr>
        <w:t>å</w:t>
      </w:r>
      <w:r w:rsidRPr="00785831">
        <w:rPr>
          <w:spacing w:val="-2"/>
          <w:sz w:val="24"/>
          <w:szCs w:val="24"/>
        </w:rPr>
        <w:t>g</w:t>
      </w:r>
      <w:r w:rsidRPr="00785831">
        <w:rPr>
          <w:sz w:val="24"/>
          <w:szCs w:val="24"/>
        </w:rPr>
        <w:t>åe</w:t>
      </w:r>
      <w:r w:rsidRPr="00785831">
        <w:rPr>
          <w:spacing w:val="-1"/>
          <w:sz w:val="24"/>
          <w:szCs w:val="24"/>
        </w:rPr>
        <w:t>n</w:t>
      </w:r>
      <w:r w:rsidRPr="00785831">
        <w:rPr>
          <w:spacing w:val="-2"/>
          <w:sz w:val="24"/>
          <w:szCs w:val="24"/>
        </w:rPr>
        <w:t>d</w:t>
      </w:r>
      <w:r w:rsidRPr="00785831">
        <w:rPr>
          <w:sz w:val="24"/>
          <w:szCs w:val="24"/>
        </w:rPr>
        <w:t xml:space="preserve">e </w:t>
      </w:r>
      <w:r w:rsidRPr="00785831">
        <w:rPr>
          <w:spacing w:val="-3"/>
          <w:sz w:val="24"/>
          <w:szCs w:val="24"/>
        </w:rPr>
        <w:t>o</w:t>
      </w:r>
      <w:r w:rsidRPr="00785831">
        <w:rPr>
          <w:spacing w:val="-1"/>
          <w:sz w:val="24"/>
          <w:szCs w:val="24"/>
        </w:rPr>
        <w:t>p</w:t>
      </w:r>
      <w:r w:rsidRPr="00785831">
        <w:rPr>
          <w:sz w:val="24"/>
          <w:szCs w:val="24"/>
        </w:rPr>
        <w:t>i</w:t>
      </w:r>
      <w:r w:rsidRPr="00785831">
        <w:rPr>
          <w:spacing w:val="-5"/>
          <w:sz w:val="24"/>
          <w:szCs w:val="24"/>
        </w:rPr>
        <w:t>o</w:t>
      </w:r>
      <w:r w:rsidRPr="00785831">
        <w:rPr>
          <w:sz w:val="24"/>
          <w:szCs w:val="24"/>
        </w:rPr>
        <w:t>i</w:t>
      </w:r>
      <w:r w:rsidRPr="00785831">
        <w:rPr>
          <w:spacing w:val="-3"/>
          <w:sz w:val="24"/>
          <w:szCs w:val="24"/>
        </w:rPr>
        <w:t>d</w:t>
      </w:r>
      <w:r w:rsidRPr="00785831">
        <w:rPr>
          <w:spacing w:val="-1"/>
          <w:sz w:val="24"/>
          <w:szCs w:val="24"/>
        </w:rPr>
        <w:t>m</w:t>
      </w:r>
      <w:r w:rsidRPr="00785831">
        <w:rPr>
          <w:sz w:val="24"/>
          <w:szCs w:val="24"/>
        </w:rPr>
        <w:t>i</w:t>
      </w:r>
      <w:r w:rsidRPr="00785831">
        <w:rPr>
          <w:spacing w:val="-5"/>
          <w:sz w:val="24"/>
          <w:szCs w:val="24"/>
        </w:rPr>
        <w:t>s</w:t>
      </w:r>
      <w:r w:rsidRPr="00785831">
        <w:rPr>
          <w:spacing w:val="-2"/>
          <w:sz w:val="24"/>
          <w:szCs w:val="24"/>
        </w:rPr>
        <w:t>s</w:t>
      </w:r>
      <w:r w:rsidRPr="00785831">
        <w:rPr>
          <w:spacing w:val="-1"/>
          <w:sz w:val="24"/>
          <w:szCs w:val="24"/>
        </w:rPr>
        <w:t>b</w:t>
      </w:r>
      <w:r w:rsidRPr="00785831">
        <w:rPr>
          <w:spacing w:val="-9"/>
          <w:sz w:val="24"/>
          <w:szCs w:val="24"/>
        </w:rPr>
        <w:t>r</w:t>
      </w:r>
      <w:r w:rsidRPr="00785831">
        <w:rPr>
          <w:sz w:val="24"/>
          <w:szCs w:val="24"/>
        </w:rPr>
        <w:t>uk (kan u</w:t>
      </w:r>
      <w:r w:rsidRPr="00785831">
        <w:rPr>
          <w:spacing w:val="-1"/>
          <w:sz w:val="24"/>
          <w:szCs w:val="24"/>
        </w:rPr>
        <w:t>t</w:t>
      </w:r>
      <w:r w:rsidRPr="00785831">
        <w:rPr>
          <w:sz w:val="24"/>
          <w:szCs w:val="24"/>
        </w:rPr>
        <w:t>l</w:t>
      </w:r>
      <w:r w:rsidRPr="00785831">
        <w:rPr>
          <w:spacing w:val="-3"/>
          <w:sz w:val="24"/>
          <w:szCs w:val="24"/>
        </w:rPr>
        <w:t>ö</w:t>
      </w:r>
      <w:r w:rsidRPr="00785831">
        <w:rPr>
          <w:spacing w:val="-2"/>
          <w:sz w:val="24"/>
          <w:szCs w:val="24"/>
        </w:rPr>
        <w:t>s</w:t>
      </w:r>
      <w:r w:rsidRPr="00785831">
        <w:rPr>
          <w:sz w:val="24"/>
          <w:szCs w:val="24"/>
        </w:rPr>
        <w:t>a ak</w:t>
      </w:r>
      <w:r w:rsidRPr="00785831">
        <w:rPr>
          <w:spacing w:val="-3"/>
          <w:sz w:val="24"/>
          <w:szCs w:val="24"/>
        </w:rPr>
        <w:t>u</w:t>
      </w:r>
      <w:r w:rsidRPr="00785831">
        <w:rPr>
          <w:sz w:val="24"/>
          <w:szCs w:val="24"/>
        </w:rPr>
        <w:t xml:space="preserve">t </w:t>
      </w:r>
      <w:r w:rsidRPr="00785831">
        <w:rPr>
          <w:spacing w:val="-2"/>
          <w:sz w:val="24"/>
          <w:szCs w:val="24"/>
        </w:rPr>
        <w:t>a</w:t>
      </w:r>
      <w:r w:rsidRPr="00785831">
        <w:rPr>
          <w:spacing w:val="-3"/>
          <w:sz w:val="24"/>
          <w:szCs w:val="24"/>
        </w:rPr>
        <w:t>b</w:t>
      </w:r>
      <w:r w:rsidRPr="00785831">
        <w:rPr>
          <w:spacing w:val="-2"/>
          <w:sz w:val="24"/>
          <w:szCs w:val="24"/>
        </w:rPr>
        <w:t>s</w:t>
      </w:r>
      <w:r w:rsidRPr="00785831">
        <w:rPr>
          <w:spacing w:val="-1"/>
          <w:sz w:val="24"/>
          <w:szCs w:val="24"/>
        </w:rPr>
        <w:t>t</w:t>
      </w:r>
      <w:r w:rsidRPr="00785831">
        <w:rPr>
          <w:sz w:val="24"/>
          <w:szCs w:val="24"/>
        </w:rPr>
        <w:t>in</w:t>
      </w:r>
      <w:r w:rsidRPr="00785831">
        <w:rPr>
          <w:spacing w:val="1"/>
          <w:sz w:val="24"/>
          <w:szCs w:val="24"/>
        </w:rPr>
        <w:t>e</w:t>
      </w:r>
      <w:r w:rsidRPr="00785831">
        <w:rPr>
          <w:spacing w:val="-3"/>
          <w:sz w:val="24"/>
          <w:szCs w:val="24"/>
        </w:rPr>
        <w:t>n</w:t>
      </w:r>
      <w:r w:rsidRPr="00785831">
        <w:rPr>
          <w:spacing w:val="-2"/>
          <w:sz w:val="24"/>
          <w:szCs w:val="24"/>
        </w:rPr>
        <w:t>ssyn</w:t>
      </w:r>
      <w:r w:rsidRPr="00785831">
        <w:rPr>
          <w:sz w:val="24"/>
          <w:szCs w:val="24"/>
        </w:rPr>
        <w:t>dro</w:t>
      </w:r>
      <w:r w:rsidRPr="00785831">
        <w:rPr>
          <w:spacing w:val="-2"/>
          <w:sz w:val="24"/>
          <w:szCs w:val="24"/>
        </w:rPr>
        <w:t>m</w:t>
      </w:r>
      <w:r w:rsidRPr="00785831">
        <w:rPr>
          <w:sz w:val="24"/>
          <w:szCs w:val="24"/>
        </w:rPr>
        <w:t>). Vid å</w:t>
      </w:r>
      <w:r w:rsidRPr="00785831">
        <w:rPr>
          <w:spacing w:val="-1"/>
          <w:sz w:val="24"/>
          <w:szCs w:val="24"/>
        </w:rPr>
        <w:t>t</w:t>
      </w:r>
      <w:r w:rsidRPr="00785831">
        <w:rPr>
          <w:spacing w:val="-2"/>
          <w:sz w:val="24"/>
          <w:szCs w:val="24"/>
        </w:rPr>
        <w:t>e</w:t>
      </w:r>
      <w:r w:rsidRPr="00785831">
        <w:rPr>
          <w:spacing w:val="-9"/>
          <w:sz w:val="24"/>
          <w:szCs w:val="24"/>
        </w:rPr>
        <w:t>r</w:t>
      </w:r>
      <w:r w:rsidRPr="00785831">
        <w:rPr>
          <w:spacing w:val="-1"/>
          <w:sz w:val="24"/>
          <w:szCs w:val="24"/>
        </w:rPr>
        <w:t>f</w:t>
      </w:r>
      <w:r w:rsidRPr="00785831">
        <w:rPr>
          <w:sz w:val="24"/>
          <w:szCs w:val="24"/>
        </w:rPr>
        <w:t xml:space="preserve">all </w:t>
      </w:r>
      <w:r w:rsidRPr="00785831">
        <w:rPr>
          <w:spacing w:val="-3"/>
          <w:sz w:val="24"/>
          <w:szCs w:val="24"/>
        </w:rPr>
        <w:t>b</w:t>
      </w:r>
      <w:r w:rsidRPr="00785831">
        <w:rPr>
          <w:sz w:val="24"/>
          <w:szCs w:val="24"/>
        </w:rPr>
        <w:t xml:space="preserve">ör </w:t>
      </w:r>
      <w:r w:rsidRPr="00785831">
        <w:rPr>
          <w:spacing w:val="-3"/>
          <w:sz w:val="24"/>
          <w:szCs w:val="24"/>
        </w:rPr>
        <w:t>b</w:t>
      </w:r>
      <w:r w:rsidRPr="00785831">
        <w:rPr>
          <w:sz w:val="24"/>
          <w:szCs w:val="24"/>
        </w:rPr>
        <w:t>eh</w:t>
      </w:r>
      <w:r w:rsidRPr="00785831">
        <w:rPr>
          <w:spacing w:val="-2"/>
          <w:sz w:val="24"/>
          <w:szCs w:val="24"/>
        </w:rPr>
        <w:t>a</w:t>
      </w:r>
      <w:r w:rsidRPr="00785831">
        <w:rPr>
          <w:spacing w:val="-1"/>
          <w:sz w:val="24"/>
          <w:szCs w:val="24"/>
        </w:rPr>
        <w:t>n</w:t>
      </w:r>
      <w:r w:rsidRPr="00785831">
        <w:rPr>
          <w:sz w:val="24"/>
          <w:szCs w:val="24"/>
        </w:rPr>
        <w:t>dli</w:t>
      </w:r>
      <w:r w:rsidRPr="00785831">
        <w:rPr>
          <w:spacing w:val="-1"/>
          <w:sz w:val="24"/>
          <w:szCs w:val="24"/>
        </w:rPr>
        <w:t>n</w:t>
      </w:r>
      <w:r w:rsidRPr="00785831">
        <w:rPr>
          <w:spacing w:val="-8"/>
          <w:sz w:val="24"/>
          <w:szCs w:val="24"/>
        </w:rPr>
        <w:t>g</w:t>
      </w:r>
      <w:r w:rsidRPr="00785831">
        <w:rPr>
          <w:sz w:val="24"/>
          <w:szCs w:val="24"/>
        </w:rPr>
        <w:t xml:space="preserve">en </w:t>
      </w:r>
      <w:r w:rsidRPr="00785831">
        <w:rPr>
          <w:spacing w:val="-1"/>
          <w:sz w:val="24"/>
          <w:szCs w:val="24"/>
        </w:rPr>
        <w:t>for</w:t>
      </w:r>
      <w:r w:rsidRPr="00785831">
        <w:rPr>
          <w:spacing w:val="-3"/>
          <w:sz w:val="24"/>
          <w:szCs w:val="24"/>
        </w:rPr>
        <w:t>t</w:t>
      </w:r>
      <w:r w:rsidRPr="00785831">
        <w:rPr>
          <w:spacing w:val="-2"/>
          <w:sz w:val="24"/>
          <w:szCs w:val="24"/>
        </w:rPr>
        <w:t>s</w:t>
      </w:r>
      <w:r w:rsidRPr="00785831">
        <w:rPr>
          <w:sz w:val="24"/>
          <w:szCs w:val="24"/>
        </w:rPr>
        <w:t>ä</w:t>
      </w:r>
      <w:r w:rsidRPr="00785831">
        <w:rPr>
          <w:spacing w:val="-1"/>
          <w:sz w:val="24"/>
          <w:szCs w:val="24"/>
        </w:rPr>
        <w:t>t</w:t>
      </w:r>
      <w:r w:rsidRPr="00785831">
        <w:rPr>
          <w:spacing w:val="-3"/>
          <w:sz w:val="24"/>
          <w:szCs w:val="24"/>
        </w:rPr>
        <w:t>t</w:t>
      </w:r>
      <w:r w:rsidRPr="00785831">
        <w:rPr>
          <w:sz w:val="24"/>
          <w:szCs w:val="24"/>
        </w:rPr>
        <w:t xml:space="preserve">a. </w:t>
      </w:r>
      <w:r>
        <w:rPr>
          <w:sz w:val="24"/>
          <w:szCs w:val="24"/>
        </w:rPr>
        <w:br/>
      </w:r>
      <w:r w:rsidRPr="00785831">
        <w:rPr>
          <w:spacing w:val="-4"/>
          <w:sz w:val="24"/>
          <w:szCs w:val="24"/>
        </w:rPr>
        <w:t>V</w:t>
      </w:r>
      <w:r w:rsidRPr="00785831">
        <w:rPr>
          <w:sz w:val="24"/>
          <w:szCs w:val="24"/>
        </w:rPr>
        <w:t>a</w:t>
      </w:r>
      <w:r w:rsidRPr="00785831">
        <w:rPr>
          <w:spacing w:val="-3"/>
          <w:sz w:val="24"/>
          <w:szCs w:val="24"/>
        </w:rPr>
        <w:t>n</w:t>
      </w:r>
      <w:r w:rsidRPr="00785831">
        <w:rPr>
          <w:sz w:val="24"/>
          <w:szCs w:val="24"/>
        </w:rPr>
        <w:t>li</w:t>
      </w:r>
      <w:r w:rsidRPr="00785831">
        <w:rPr>
          <w:spacing w:val="-8"/>
          <w:sz w:val="24"/>
          <w:szCs w:val="24"/>
        </w:rPr>
        <w:t>g</w:t>
      </w:r>
      <w:r w:rsidRPr="00785831">
        <w:rPr>
          <w:sz w:val="24"/>
          <w:szCs w:val="24"/>
        </w:rPr>
        <w:t xml:space="preserve">a </w:t>
      </w:r>
      <w:r w:rsidRPr="00785831">
        <w:rPr>
          <w:spacing w:val="-1"/>
          <w:sz w:val="24"/>
          <w:szCs w:val="24"/>
        </w:rPr>
        <w:t>b</w:t>
      </w:r>
      <w:r w:rsidRPr="00785831">
        <w:rPr>
          <w:spacing w:val="-6"/>
          <w:sz w:val="24"/>
          <w:szCs w:val="24"/>
        </w:rPr>
        <w:t>i</w:t>
      </w:r>
      <w:r w:rsidRPr="00785831">
        <w:rPr>
          <w:spacing w:val="-3"/>
          <w:sz w:val="24"/>
          <w:szCs w:val="24"/>
        </w:rPr>
        <w:t>v</w:t>
      </w:r>
      <w:r w:rsidRPr="00785831">
        <w:rPr>
          <w:spacing w:val="-2"/>
          <w:sz w:val="24"/>
          <w:szCs w:val="24"/>
        </w:rPr>
        <w:t>e</w:t>
      </w:r>
      <w:r w:rsidRPr="00785831">
        <w:rPr>
          <w:spacing w:val="-1"/>
          <w:sz w:val="24"/>
          <w:szCs w:val="24"/>
        </w:rPr>
        <w:t>r</w:t>
      </w:r>
      <w:r w:rsidRPr="00785831">
        <w:rPr>
          <w:sz w:val="24"/>
          <w:szCs w:val="24"/>
        </w:rPr>
        <w:t>kn</w:t>
      </w:r>
      <w:r w:rsidRPr="00785831">
        <w:rPr>
          <w:spacing w:val="-2"/>
          <w:sz w:val="24"/>
          <w:szCs w:val="24"/>
        </w:rPr>
        <w:t>i</w:t>
      </w:r>
      <w:r w:rsidRPr="00785831">
        <w:rPr>
          <w:spacing w:val="-1"/>
          <w:sz w:val="24"/>
          <w:szCs w:val="24"/>
        </w:rPr>
        <w:t>n</w:t>
      </w:r>
      <w:r w:rsidRPr="00785831">
        <w:rPr>
          <w:spacing w:val="-8"/>
          <w:sz w:val="24"/>
          <w:szCs w:val="24"/>
        </w:rPr>
        <w:t>g</w:t>
      </w:r>
      <w:r w:rsidRPr="00785831">
        <w:rPr>
          <w:sz w:val="24"/>
          <w:szCs w:val="24"/>
        </w:rPr>
        <w:t>ar är hu</w:t>
      </w:r>
      <w:r w:rsidRPr="00785831">
        <w:rPr>
          <w:spacing w:val="-3"/>
          <w:sz w:val="24"/>
          <w:szCs w:val="24"/>
        </w:rPr>
        <w:t>v</w:t>
      </w:r>
      <w:r w:rsidRPr="00785831">
        <w:rPr>
          <w:sz w:val="24"/>
          <w:szCs w:val="24"/>
        </w:rPr>
        <w:t>u</w:t>
      </w:r>
      <w:r w:rsidRPr="00785831">
        <w:rPr>
          <w:spacing w:val="-3"/>
          <w:sz w:val="24"/>
          <w:szCs w:val="24"/>
        </w:rPr>
        <w:t>d</w:t>
      </w:r>
      <w:r w:rsidRPr="00785831">
        <w:rPr>
          <w:spacing w:val="-2"/>
          <w:sz w:val="24"/>
          <w:szCs w:val="24"/>
        </w:rPr>
        <w:t>v</w:t>
      </w:r>
      <w:r w:rsidRPr="00785831">
        <w:rPr>
          <w:sz w:val="24"/>
          <w:szCs w:val="24"/>
        </w:rPr>
        <w:t>ä</w:t>
      </w:r>
      <w:r w:rsidRPr="00785831">
        <w:rPr>
          <w:spacing w:val="-1"/>
          <w:sz w:val="24"/>
          <w:szCs w:val="24"/>
        </w:rPr>
        <w:t>r</w:t>
      </w:r>
      <w:r w:rsidRPr="00785831">
        <w:rPr>
          <w:sz w:val="24"/>
          <w:szCs w:val="24"/>
        </w:rPr>
        <w:t>k (</w:t>
      </w:r>
      <w:r w:rsidRPr="00785831">
        <w:rPr>
          <w:spacing w:val="-3"/>
          <w:sz w:val="24"/>
          <w:szCs w:val="24"/>
        </w:rPr>
        <w:t>de</w:t>
      </w:r>
      <w:r w:rsidRPr="00785831">
        <w:rPr>
          <w:sz w:val="24"/>
          <w:szCs w:val="24"/>
        </w:rPr>
        <w:t xml:space="preserve"> </w:t>
      </w:r>
      <w:r w:rsidRPr="00785831">
        <w:rPr>
          <w:spacing w:val="2"/>
          <w:sz w:val="24"/>
          <w:szCs w:val="24"/>
        </w:rPr>
        <w:t>f</w:t>
      </w:r>
      <w:r w:rsidRPr="00785831">
        <w:rPr>
          <w:sz w:val="24"/>
          <w:szCs w:val="24"/>
        </w:rPr>
        <w:t>ö</w:t>
      </w:r>
      <w:r w:rsidRPr="00785831">
        <w:rPr>
          <w:spacing w:val="-1"/>
          <w:sz w:val="24"/>
          <w:szCs w:val="24"/>
        </w:rPr>
        <w:t>r</w:t>
      </w:r>
      <w:r w:rsidRPr="00785831">
        <w:rPr>
          <w:spacing w:val="-2"/>
          <w:sz w:val="24"/>
          <w:szCs w:val="24"/>
        </w:rPr>
        <w:t>s</w:t>
      </w:r>
      <w:r w:rsidRPr="00785831">
        <w:rPr>
          <w:spacing w:val="-3"/>
          <w:sz w:val="24"/>
          <w:szCs w:val="24"/>
        </w:rPr>
        <w:t>t</w:t>
      </w:r>
      <w:r w:rsidRPr="00785831">
        <w:rPr>
          <w:sz w:val="24"/>
          <w:szCs w:val="24"/>
        </w:rPr>
        <w:t>a da</w:t>
      </w:r>
      <w:r w:rsidRPr="00785831">
        <w:rPr>
          <w:spacing w:val="-2"/>
          <w:sz w:val="24"/>
          <w:szCs w:val="24"/>
        </w:rPr>
        <w:t>g</w:t>
      </w:r>
      <w:r w:rsidRPr="00785831">
        <w:rPr>
          <w:sz w:val="24"/>
          <w:szCs w:val="24"/>
        </w:rPr>
        <w:t>a</w:t>
      </w:r>
      <w:r w:rsidRPr="00785831">
        <w:rPr>
          <w:spacing w:val="-1"/>
          <w:sz w:val="24"/>
          <w:szCs w:val="24"/>
        </w:rPr>
        <w:t>r</w:t>
      </w:r>
      <w:r w:rsidRPr="00785831">
        <w:rPr>
          <w:spacing w:val="-3"/>
          <w:sz w:val="24"/>
          <w:szCs w:val="24"/>
        </w:rPr>
        <w:t>n</w:t>
      </w:r>
      <w:r w:rsidRPr="00785831">
        <w:rPr>
          <w:sz w:val="24"/>
          <w:szCs w:val="24"/>
        </w:rPr>
        <w:t xml:space="preserve">a) </w:t>
      </w:r>
      <w:r w:rsidRPr="00785831">
        <w:rPr>
          <w:spacing w:val="-3"/>
          <w:sz w:val="24"/>
          <w:szCs w:val="24"/>
        </w:rPr>
        <w:t>o</w:t>
      </w:r>
      <w:r w:rsidRPr="00785831">
        <w:rPr>
          <w:spacing w:val="-2"/>
          <w:sz w:val="24"/>
          <w:szCs w:val="24"/>
        </w:rPr>
        <w:t>c</w:t>
      </w:r>
      <w:r w:rsidRPr="00785831">
        <w:rPr>
          <w:sz w:val="24"/>
          <w:szCs w:val="24"/>
        </w:rPr>
        <w:t xml:space="preserve">h </w:t>
      </w:r>
      <w:r w:rsidRPr="00785831">
        <w:rPr>
          <w:spacing w:val="-1"/>
          <w:sz w:val="24"/>
          <w:szCs w:val="24"/>
        </w:rPr>
        <w:t>m</w:t>
      </w:r>
      <w:r w:rsidRPr="00785831">
        <w:rPr>
          <w:sz w:val="24"/>
          <w:szCs w:val="24"/>
        </w:rPr>
        <w:t>i</w:t>
      </w:r>
      <w:r w:rsidRPr="00785831">
        <w:rPr>
          <w:spacing w:val="-1"/>
          <w:sz w:val="24"/>
          <w:szCs w:val="24"/>
        </w:rPr>
        <w:t>n</w:t>
      </w:r>
      <w:r w:rsidRPr="00785831">
        <w:rPr>
          <w:spacing w:val="-5"/>
          <w:sz w:val="24"/>
          <w:szCs w:val="24"/>
        </w:rPr>
        <w:t>s</w:t>
      </w:r>
      <w:r w:rsidRPr="00785831">
        <w:rPr>
          <w:spacing w:val="-6"/>
          <w:sz w:val="24"/>
          <w:szCs w:val="24"/>
        </w:rPr>
        <w:t>k</w:t>
      </w:r>
      <w:r w:rsidRPr="00785831">
        <w:rPr>
          <w:spacing w:val="-2"/>
          <w:sz w:val="24"/>
          <w:szCs w:val="24"/>
        </w:rPr>
        <w:t>a</w:t>
      </w:r>
      <w:r w:rsidRPr="00785831">
        <w:rPr>
          <w:sz w:val="24"/>
          <w:szCs w:val="24"/>
        </w:rPr>
        <w:t xml:space="preserve">d </w:t>
      </w:r>
      <w:r w:rsidRPr="00785831">
        <w:rPr>
          <w:spacing w:val="-3"/>
          <w:sz w:val="24"/>
          <w:szCs w:val="24"/>
        </w:rPr>
        <w:t>l</w:t>
      </w:r>
      <w:r w:rsidRPr="00785831">
        <w:rPr>
          <w:sz w:val="24"/>
          <w:szCs w:val="24"/>
        </w:rPr>
        <w:t>i</w:t>
      </w:r>
      <w:r w:rsidRPr="00785831">
        <w:rPr>
          <w:spacing w:val="-1"/>
          <w:sz w:val="24"/>
          <w:szCs w:val="24"/>
        </w:rPr>
        <w:t>b</w:t>
      </w:r>
      <w:r w:rsidRPr="00785831">
        <w:rPr>
          <w:sz w:val="24"/>
          <w:szCs w:val="24"/>
        </w:rPr>
        <w:t xml:space="preserve">ido. </w:t>
      </w:r>
      <w:r w:rsidRPr="00785831">
        <w:rPr>
          <w:spacing w:val="-6"/>
          <w:sz w:val="24"/>
          <w:szCs w:val="24"/>
        </w:rPr>
        <w:t>I</w:t>
      </w:r>
      <w:r w:rsidRPr="00785831">
        <w:rPr>
          <w:spacing w:val="-1"/>
          <w:sz w:val="24"/>
          <w:szCs w:val="24"/>
        </w:rPr>
        <w:t>n</w:t>
      </w:r>
      <w:r w:rsidRPr="00785831">
        <w:rPr>
          <w:spacing w:val="-2"/>
          <w:sz w:val="24"/>
          <w:szCs w:val="24"/>
        </w:rPr>
        <w:t>g</w:t>
      </w:r>
      <w:r w:rsidRPr="00785831">
        <w:rPr>
          <w:sz w:val="24"/>
          <w:szCs w:val="24"/>
        </w:rPr>
        <w:t xml:space="preserve">en </w:t>
      </w:r>
      <w:r w:rsidRPr="00785831">
        <w:rPr>
          <w:spacing w:val="-3"/>
          <w:sz w:val="24"/>
          <w:szCs w:val="24"/>
        </w:rPr>
        <w:t>t</w:t>
      </w:r>
      <w:r w:rsidRPr="00785831">
        <w:rPr>
          <w:spacing w:val="-1"/>
          <w:sz w:val="24"/>
          <w:szCs w:val="24"/>
        </w:rPr>
        <w:t>o</w:t>
      </w:r>
      <w:r w:rsidRPr="00785831">
        <w:rPr>
          <w:spacing w:val="-3"/>
          <w:sz w:val="24"/>
          <w:szCs w:val="24"/>
        </w:rPr>
        <w:t>l</w:t>
      </w:r>
      <w:r w:rsidRPr="00785831">
        <w:rPr>
          <w:sz w:val="24"/>
          <w:szCs w:val="24"/>
        </w:rPr>
        <w:t>e</w:t>
      </w:r>
      <w:r w:rsidRPr="00785831">
        <w:rPr>
          <w:spacing w:val="-6"/>
          <w:sz w:val="24"/>
          <w:szCs w:val="24"/>
        </w:rPr>
        <w:t>r</w:t>
      </w:r>
      <w:r w:rsidRPr="00785831">
        <w:rPr>
          <w:sz w:val="24"/>
          <w:szCs w:val="24"/>
        </w:rPr>
        <w:t>a</w:t>
      </w:r>
      <w:r w:rsidRPr="00785831">
        <w:rPr>
          <w:spacing w:val="-1"/>
          <w:sz w:val="24"/>
          <w:szCs w:val="24"/>
        </w:rPr>
        <w:t>n</w:t>
      </w:r>
      <w:r w:rsidRPr="00785831">
        <w:rPr>
          <w:spacing w:val="-5"/>
          <w:sz w:val="24"/>
          <w:szCs w:val="24"/>
        </w:rPr>
        <w:t>s</w:t>
      </w:r>
      <w:r w:rsidRPr="00785831">
        <w:rPr>
          <w:sz w:val="24"/>
          <w:szCs w:val="24"/>
        </w:rPr>
        <w:t>u</w:t>
      </w:r>
      <w:r w:rsidRPr="00785831">
        <w:rPr>
          <w:spacing w:val="-9"/>
          <w:sz w:val="24"/>
          <w:szCs w:val="24"/>
        </w:rPr>
        <w:t>t</w:t>
      </w:r>
      <w:r w:rsidRPr="00785831">
        <w:rPr>
          <w:spacing w:val="-3"/>
          <w:sz w:val="24"/>
          <w:szCs w:val="24"/>
        </w:rPr>
        <w:t>v</w:t>
      </w:r>
      <w:r w:rsidRPr="00785831">
        <w:rPr>
          <w:sz w:val="24"/>
          <w:szCs w:val="24"/>
        </w:rPr>
        <w:t>ec</w:t>
      </w:r>
      <w:r w:rsidRPr="00785831">
        <w:rPr>
          <w:spacing w:val="-3"/>
          <w:sz w:val="24"/>
          <w:szCs w:val="24"/>
        </w:rPr>
        <w:t>k</w:t>
      </w:r>
      <w:r w:rsidRPr="00785831">
        <w:rPr>
          <w:sz w:val="24"/>
          <w:szCs w:val="24"/>
        </w:rPr>
        <w:t xml:space="preserve">ling </w:t>
      </w:r>
      <w:r w:rsidRPr="00785831">
        <w:rPr>
          <w:spacing w:val="-1"/>
          <w:sz w:val="24"/>
          <w:szCs w:val="24"/>
        </w:rPr>
        <w:t>f</w:t>
      </w:r>
      <w:r w:rsidRPr="00785831">
        <w:rPr>
          <w:sz w:val="24"/>
          <w:szCs w:val="24"/>
        </w:rPr>
        <w:t>ö</w:t>
      </w:r>
      <w:r w:rsidRPr="00785831">
        <w:rPr>
          <w:spacing w:val="-1"/>
          <w:sz w:val="24"/>
          <w:szCs w:val="24"/>
        </w:rPr>
        <w:t>r</w:t>
      </w:r>
      <w:r w:rsidRPr="00785831">
        <w:rPr>
          <w:sz w:val="24"/>
          <w:szCs w:val="24"/>
        </w:rPr>
        <w:t>ek</w:t>
      </w:r>
      <w:r w:rsidRPr="00785831">
        <w:rPr>
          <w:spacing w:val="-3"/>
          <w:sz w:val="24"/>
          <w:szCs w:val="24"/>
        </w:rPr>
        <w:t>om</w:t>
      </w:r>
      <w:r w:rsidRPr="00785831">
        <w:rPr>
          <w:spacing w:val="-1"/>
          <w:sz w:val="24"/>
          <w:szCs w:val="24"/>
        </w:rPr>
        <w:t>m</w:t>
      </w:r>
      <w:r w:rsidRPr="00785831">
        <w:rPr>
          <w:sz w:val="24"/>
          <w:szCs w:val="24"/>
        </w:rPr>
        <w:t>e</w:t>
      </w:r>
      <w:r w:rsidRPr="00785831">
        <w:rPr>
          <w:spacing w:val="-1"/>
          <w:sz w:val="24"/>
          <w:szCs w:val="24"/>
        </w:rPr>
        <w:t>r</w:t>
      </w:r>
      <w:r w:rsidRPr="00785831">
        <w:rPr>
          <w:sz w:val="24"/>
          <w:szCs w:val="24"/>
        </w:rPr>
        <w:t xml:space="preserve">. </w:t>
      </w:r>
      <w:r w:rsidRPr="00785831">
        <w:rPr>
          <w:spacing w:val="-1"/>
          <w:sz w:val="24"/>
          <w:szCs w:val="24"/>
        </w:rPr>
        <w:t>L</w:t>
      </w:r>
      <w:r w:rsidRPr="00785831">
        <w:rPr>
          <w:spacing w:val="-2"/>
          <w:sz w:val="24"/>
          <w:szCs w:val="24"/>
        </w:rPr>
        <w:t>e</w:t>
      </w:r>
      <w:r w:rsidRPr="00785831">
        <w:rPr>
          <w:spacing w:val="-8"/>
          <w:sz w:val="24"/>
          <w:szCs w:val="24"/>
        </w:rPr>
        <w:t>v</w:t>
      </w:r>
      <w:r w:rsidRPr="00785831">
        <w:rPr>
          <w:sz w:val="24"/>
          <w:szCs w:val="24"/>
        </w:rPr>
        <w:t>e</w:t>
      </w:r>
      <w:r w:rsidRPr="00785831">
        <w:rPr>
          <w:spacing w:val="-1"/>
          <w:sz w:val="24"/>
          <w:szCs w:val="24"/>
        </w:rPr>
        <w:t>rf</w:t>
      </w:r>
      <w:r w:rsidRPr="00785831">
        <w:rPr>
          <w:spacing w:val="-3"/>
          <w:sz w:val="24"/>
          <w:szCs w:val="24"/>
        </w:rPr>
        <w:t>u</w:t>
      </w:r>
      <w:r w:rsidRPr="00785831">
        <w:rPr>
          <w:sz w:val="24"/>
          <w:szCs w:val="24"/>
        </w:rPr>
        <w:t>nk</w:t>
      </w:r>
      <w:r w:rsidRPr="00785831">
        <w:rPr>
          <w:spacing w:val="-1"/>
          <w:sz w:val="24"/>
          <w:szCs w:val="24"/>
        </w:rPr>
        <w:t>t</w:t>
      </w:r>
      <w:r w:rsidRPr="00785831">
        <w:rPr>
          <w:sz w:val="24"/>
          <w:szCs w:val="24"/>
        </w:rPr>
        <w:t>i</w:t>
      </w:r>
      <w:r w:rsidRPr="00785831">
        <w:rPr>
          <w:spacing w:val="-3"/>
          <w:sz w:val="24"/>
          <w:szCs w:val="24"/>
        </w:rPr>
        <w:t>o</w:t>
      </w:r>
      <w:r w:rsidRPr="00785831">
        <w:rPr>
          <w:sz w:val="24"/>
          <w:szCs w:val="24"/>
        </w:rPr>
        <w:t>n</w:t>
      </w:r>
      <w:r w:rsidRPr="00785831">
        <w:rPr>
          <w:spacing w:val="-2"/>
          <w:sz w:val="24"/>
          <w:szCs w:val="24"/>
        </w:rPr>
        <w:t>s</w:t>
      </w:r>
      <w:r w:rsidRPr="00785831">
        <w:rPr>
          <w:sz w:val="24"/>
          <w:szCs w:val="24"/>
        </w:rPr>
        <w:t>t</w:t>
      </w:r>
      <w:r w:rsidRPr="00785831">
        <w:rPr>
          <w:spacing w:val="-2"/>
          <w:sz w:val="24"/>
          <w:szCs w:val="24"/>
        </w:rPr>
        <w:t>es</w:t>
      </w:r>
      <w:r w:rsidRPr="00785831">
        <w:rPr>
          <w:sz w:val="24"/>
          <w:szCs w:val="24"/>
        </w:rPr>
        <w:t xml:space="preserve">t bör </w:t>
      </w:r>
      <w:r w:rsidRPr="00785831">
        <w:rPr>
          <w:spacing w:val="-2"/>
          <w:sz w:val="24"/>
          <w:szCs w:val="24"/>
        </w:rPr>
        <w:t>g</w:t>
      </w:r>
      <w:r w:rsidRPr="00785831">
        <w:rPr>
          <w:sz w:val="24"/>
          <w:szCs w:val="24"/>
        </w:rPr>
        <w:t>ö</w:t>
      </w:r>
      <w:r w:rsidRPr="00785831">
        <w:rPr>
          <w:spacing w:val="-1"/>
          <w:sz w:val="24"/>
          <w:szCs w:val="24"/>
        </w:rPr>
        <w:t>r</w:t>
      </w:r>
      <w:r w:rsidRPr="00785831">
        <w:rPr>
          <w:sz w:val="24"/>
          <w:szCs w:val="24"/>
        </w:rPr>
        <w:t xml:space="preserve">as </w:t>
      </w:r>
      <w:r w:rsidRPr="00785831">
        <w:rPr>
          <w:spacing w:val="-1"/>
          <w:sz w:val="24"/>
          <w:szCs w:val="24"/>
        </w:rPr>
        <w:t>f</w:t>
      </w:r>
      <w:r w:rsidRPr="00785831">
        <w:rPr>
          <w:sz w:val="24"/>
          <w:szCs w:val="24"/>
        </w:rPr>
        <w:t>ö</w:t>
      </w:r>
      <w:r w:rsidRPr="00785831">
        <w:rPr>
          <w:spacing w:val="-1"/>
          <w:sz w:val="24"/>
          <w:szCs w:val="24"/>
        </w:rPr>
        <w:t>r</w:t>
      </w:r>
      <w:r w:rsidRPr="00785831">
        <w:rPr>
          <w:sz w:val="24"/>
          <w:szCs w:val="24"/>
        </w:rPr>
        <w:t>e och u</w:t>
      </w:r>
      <w:r w:rsidRPr="00785831">
        <w:rPr>
          <w:spacing w:val="-3"/>
          <w:sz w:val="24"/>
          <w:szCs w:val="24"/>
        </w:rPr>
        <w:t>nd</w:t>
      </w:r>
      <w:r w:rsidRPr="00785831">
        <w:rPr>
          <w:sz w:val="24"/>
          <w:szCs w:val="24"/>
        </w:rPr>
        <w:t xml:space="preserve">er </w:t>
      </w:r>
      <w:r w:rsidRPr="00785831">
        <w:rPr>
          <w:spacing w:val="-3"/>
          <w:sz w:val="24"/>
          <w:szCs w:val="24"/>
        </w:rPr>
        <w:t>b</w:t>
      </w:r>
      <w:r w:rsidRPr="00785831">
        <w:rPr>
          <w:sz w:val="24"/>
          <w:szCs w:val="24"/>
        </w:rPr>
        <w:t>e</w:t>
      </w:r>
      <w:r w:rsidRPr="00785831">
        <w:rPr>
          <w:spacing w:val="-5"/>
          <w:sz w:val="24"/>
          <w:szCs w:val="24"/>
        </w:rPr>
        <w:t>h</w:t>
      </w:r>
      <w:r w:rsidRPr="00785831">
        <w:rPr>
          <w:spacing w:val="-4"/>
          <w:sz w:val="24"/>
          <w:szCs w:val="24"/>
        </w:rPr>
        <w:t>a</w:t>
      </w:r>
      <w:r w:rsidRPr="00785831">
        <w:rPr>
          <w:spacing w:val="-3"/>
          <w:sz w:val="24"/>
          <w:szCs w:val="24"/>
        </w:rPr>
        <w:t>n</w:t>
      </w:r>
      <w:r w:rsidRPr="00785831">
        <w:rPr>
          <w:sz w:val="24"/>
          <w:szCs w:val="24"/>
        </w:rPr>
        <w:t xml:space="preserve">dling </w:t>
      </w:r>
      <w:r w:rsidRPr="00785831">
        <w:rPr>
          <w:spacing w:val="-3"/>
          <w:sz w:val="24"/>
          <w:szCs w:val="24"/>
        </w:rPr>
        <w:t>o</w:t>
      </w:r>
      <w:r w:rsidRPr="00785831">
        <w:rPr>
          <w:sz w:val="24"/>
          <w:szCs w:val="24"/>
        </w:rPr>
        <w:t xml:space="preserve">ch </w:t>
      </w:r>
      <w:r w:rsidRPr="00785831">
        <w:rPr>
          <w:spacing w:val="-1"/>
          <w:sz w:val="24"/>
          <w:szCs w:val="24"/>
        </w:rPr>
        <w:t>för</w:t>
      </w:r>
      <w:r w:rsidRPr="00785831">
        <w:rPr>
          <w:spacing w:val="-5"/>
          <w:sz w:val="24"/>
          <w:szCs w:val="24"/>
        </w:rPr>
        <w:t>s</w:t>
      </w:r>
      <w:r w:rsidRPr="00785831">
        <w:rPr>
          <w:sz w:val="24"/>
          <w:szCs w:val="24"/>
        </w:rPr>
        <w:t>ik</w:t>
      </w:r>
      <w:r w:rsidRPr="00785831">
        <w:rPr>
          <w:spacing w:val="-1"/>
          <w:sz w:val="24"/>
          <w:szCs w:val="24"/>
        </w:rPr>
        <w:t>t</w:t>
      </w:r>
      <w:r w:rsidRPr="00785831">
        <w:rPr>
          <w:sz w:val="24"/>
          <w:szCs w:val="24"/>
        </w:rPr>
        <w:t>i</w:t>
      </w:r>
      <w:r w:rsidRPr="00785831">
        <w:rPr>
          <w:spacing w:val="-6"/>
          <w:sz w:val="24"/>
          <w:szCs w:val="24"/>
        </w:rPr>
        <w:t>g</w:t>
      </w:r>
      <w:r w:rsidRPr="00785831">
        <w:rPr>
          <w:spacing w:val="-3"/>
          <w:sz w:val="24"/>
          <w:szCs w:val="24"/>
        </w:rPr>
        <w:t>h</w:t>
      </w:r>
      <w:r w:rsidRPr="00785831">
        <w:rPr>
          <w:sz w:val="24"/>
          <w:szCs w:val="24"/>
        </w:rPr>
        <w:t xml:space="preserve">et </w:t>
      </w:r>
      <w:r w:rsidRPr="00785831">
        <w:rPr>
          <w:spacing w:val="-1"/>
          <w:sz w:val="24"/>
          <w:szCs w:val="24"/>
        </w:rPr>
        <w:t>b</w:t>
      </w:r>
      <w:r w:rsidRPr="00785831">
        <w:rPr>
          <w:spacing w:val="-5"/>
          <w:sz w:val="24"/>
          <w:szCs w:val="24"/>
        </w:rPr>
        <w:t>ö</w:t>
      </w:r>
      <w:r w:rsidRPr="00785831">
        <w:rPr>
          <w:sz w:val="24"/>
          <w:szCs w:val="24"/>
        </w:rPr>
        <w:t>r ia</w:t>
      </w:r>
      <w:r w:rsidRPr="00785831">
        <w:rPr>
          <w:spacing w:val="-3"/>
          <w:sz w:val="24"/>
          <w:szCs w:val="24"/>
        </w:rPr>
        <w:t>k</w:t>
      </w:r>
      <w:r w:rsidRPr="00785831">
        <w:rPr>
          <w:spacing w:val="-1"/>
          <w:sz w:val="24"/>
          <w:szCs w:val="24"/>
        </w:rPr>
        <w:t>tt</w:t>
      </w:r>
      <w:r w:rsidRPr="00785831">
        <w:rPr>
          <w:spacing w:val="-2"/>
          <w:sz w:val="24"/>
          <w:szCs w:val="24"/>
        </w:rPr>
        <w:t>a</w:t>
      </w:r>
      <w:r w:rsidRPr="00785831">
        <w:rPr>
          <w:sz w:val="24"/>
          <w:szCs w:val="24"/>
        </w:rPr>
        <w:t xml:space="preserve">s </w:t>
      </w:r>
      <w:r w:rsidRPr="00785831">
        <w:rPr>
          <w:spacing w:val="-8"/>
          <w:sz w:val="24"/>
          <w:szCs w:val="24"/>
        </w:rPr>
        <w:t>v</w:t>
      </w:r>
      <w:r w:rsidRPr="00785831">
        <w:rPr>
          <w:sz w:val="24"/>
          <w:szCs w:val="24"/>
        </w:rPr>
        <w:t xml:space="preserve">id </w:t>
      </w:r>
      <w:r w:rsidRPr="00785831">
        <w:rPr>
          <w:spacing w:val="-3"/>
          <w:sz w:val="24"/>
          <w:szCs w:val="24"/>
        </w:rPr>
        <w:t>l</w:t>
      </w:r>
      <w:r w:rsidRPr="00785831">
        <w:rPr>
          <w:sz w:val="24"/>
          <w:szCs w:val="24"/>
        </w:rPr>
        <w:t>e</w:t>
      </w:r>
      <w:r w:rsidRPr="00785831">
        <w:rPr>
          <w:spacing w:val="-8"/>
          <w:sz w:val="24"/>
          <w:szCs w:val="24"/>
        </w:rPr>
        <w:t>v</w:t>
      </w:r>
      <w:r w:rsidRPr="00785831">
        <w:rPr>
          <w:sz w:val="24"/>
          <w:szCs w:val="24"/>
        </w:rPr>
        <w:t>e</w:t>
      </w:r>
      <w:r w:rsidRPr="00785831">
        <w:rPr>
          <w:spacing w:val="-1"/>
          <w:sz w:val="24"/>
          <w:szCs w:val="24"/>
        </w:rPr>
        <w:t>r</w:t>
      </w:r>
      <w:r w:rsidRPr="00785831">
        <w:rPr>
          <w:spacing w:val="-3"/>
          <w:sz w:val="24"/>
          <w:szCs w:val="24"/>
        </w:rPr>
        <w:t>v</w:t>
      </w:r>
      <w:r w:rsidRPr="00785831">
        <w:rPr>
          <w:sz w:val="24"/>
          <w:szCs w:val="24"/>
        </w:rPr>
        <w:t>ä</w:t>
      </w:r>
      <w:r w:rsidRPr="00785831">
        <w:rPr>
          <w:spacing w:val="-1"/>
          <w:sz w:val="24"/>
          <w:szCs w:val="24"/>
        </w:rPr>
        <w:t>r</w:t>
      </w:r>
      <w:r w:rsidRPr="00785831">
        <w:rPr>
          <w:spacing w:val="-3"/>
          <w:sz w:val="24"/>
          <w:szCs w:val="24"/>
        </w:rPr>
        <w:t>d</w:t>
      </w:r>
      <w:r w:rsidRPr="00785831">
        <w:rPr>
          <w:sz w:val="24"/>
          <w:szCs w:val="24"/>
        </w:rPr>
        <w:t>en&gt; 3 </w:t>
      </w:r>
      <w:r w:rsidRPr="00785831">
        <w:rPr>
          <w:spacing w:val="-2"/>
          <w:sz w:val="24"/>
          <w:szCs w:val="24"/>
        </w:rPr>
        <w:t>g</w:t>
      </w:r>
      <w:r w:rsidRPr="00785831">
        <w:rPr>
          <w:sz w:val="24"/>
          <w:szCs w:val="24"/>
        </w:rPr>
        <w:t>å</w:t>
      </w:r>
      <w:r w:rsidRPr="00785831">
        <w:rPr>
          <w:spacing w:val="-1"/>
          <w:sz w:val="24"/>
          <w:szCs w:val="24"/>
        </w:rPr>
        <w:t>n</w:t>
      </w:r>
      <w:r w:rsidRPr="00785831">
        <w:rPr>
          <w:spacing w:val="-2"/>
          <w:sz w:val="24"/>
          <w:szCs w:val="24"/>
        </w:rPr>
        <w:t>g</w:t>
      </w:r>
      <w:r w:rsidRPr="00785831">
        <w:rPr>
          <w:sz w:val="24"/>
          <w:szCs w:val="24"/>
        </w:rPr>
        <w:t xml:space="preserve">er </w:t>
      </w:r>
      <w:r w:rsidRPr="00785831">
        <w:rPr>
          <w:spacing w:val="-5"/>
          <w:sz w:val="24"/>
          <w:szCs w:val="24"/>
        </w:rPr>
        <w:t>d</w:t>
      </w:r>
      <w:r w:rsidRPr="00785831">
        <w:rPr>
          <w:sz w:val="24"/>
          <w:szCs w:val="24"/>
        </w:rPr>
        <w:t xml:space="preserve">et </w:t>
      </w:r>
      <w:r w:rsidRPr="00785831">
        <w:rPr>
          <w:spacing w:val="-3"/>
          <w:sz w:val="24"/>
          <w:szCs w:val="24"/>
        </w:rPr>
        <w:t>n</w:t>
      </w:r>
      <w:r w:rsidRPr="00785831">
        <w:rPr>
          <w:sz w:val="24"/>
          <w:szCs w:val="24"/>
        </w:rPr>
        <w:t>o</w:t>
      </w:r>
      <w:r w:rsidRPr="00785831">
        <w:rPr>
          <w:spacing w:val="-1"/>
          <w:sz w:val="24"/>
          <w:szCs w:val="24"/>
        </w:rPr>
        <w:t>r</w:t>
      </w:r>
      <w:r w:rsidRPr="00785831">
        <w:rPr>
          <w:spacing w:val="-3"/>
          <w:sz w:val="24"/>
          <w:szCs w:val="24"/>
        </w:rPr>
        <w:t>m</w:t>
      </w:r>
      <w:r w:rsidRPr="00785831">
        <w:rPr>
          <w:spacing w:val="-2"/>
          <w:sz w:val="24"/>
          <w:szCs w:val="24"/>
        </w:rPr>
        <w:t>a</w:t>
      </w:r>
      <w:r w:rsidRPr="00785831">
        <w:rPr>
          <w:sz w:val="24"/>
          <w:szCs w:val="24"/>
        </w:rPr>
        <w:t>la. Effekten av naltrexon blir betydligt bättre om läkemedelsbehandlingen kompletteras med psykosociala insatser (se ovan).</w:t>
      </w:r>
    </w:p>
    <w:p w14:paraId="23A4252D" w14:textId="77777777" w:rsidR="00702564" w:rsidRPr="00785831" w:rsidRDefault="00702564" w:rsidP="00702564">
      <w:pPr>
        <w:rPr>
          <w:sz w:val="24"/>
          <w:szCs w:val="24"/>
        </w:rPr>
      </w:pPr>
    </w:p>
    <w:p w14:paraId="6B32F375" w14:textId="77777777" w:rsidR="00702564" w:rsidRPr="0071138D" w:rsidRDefault="00702564" w:rsidP="00702564">
      <w:pPr>
        <w:spacing w:before="120"/>
      </w:pPr>
      <w:r w:rsidRPr="00785831">
        <w:rPr>
          <w:rFonts w:cs="Garamond"/>
          <w:b/>
          <w:bCs/>
          <w:color w:val="211F1A"/>
          <w:spacing w:val="-6"/>
          <w:sz w:val="24"/>
          <w:szCs w:val="24"/>
        </w:rPr>
        <w:lastRenderedPageBreak/>
        <w:t xml:space="preserve">Disulfiram </w:t>
      </w:r>
      <w:r w:rsidRPr="00785831">
        <w:rPr>
          <w:rFonts w:cs="Garamond"/>
          <w:color w:val="211F1A"/>
          <w:spacing w:val="-6"/>
          <w:sz w:val="24"/>
          <w:szCs w:val="24"/>
        </w:rPr>
        <w:t>(A</w:t>
      </w:r>
      <w:r w:rsidRPr="00785831">
        <w:rPr>
          <w:rFonts w:cs="Garamond"/>
          <w:color w:val="211F1A"/>
          <w:spacing w:val="-1"/>
          <w:sz w:val="24"/>
          <w:szCs w:val="24"/>
        </w:rPr>
        <w:t>nt</w:t>
      </w:r>
      <w:r w:rsidRPr="00785831">
        <w:rPr>
          <w:rFonts w:cs="Garamond"/>
          <w:color w:val="211F1A"/>
          <w:sz w:val="24"/>
          <w:szCs w:val="24"/>
        </w:rPr>
        <w:t>a</w:t>
      </w:r>
      <w:r w:rsidRPr="00785831">
        <w:rPr>
          <w:rFonts w:cs="Garamond"/>
          <w:color w:val="211F1A"/>
          <w:spacing w:val="-1"/>
          <w:sz w:val="24"/>
          <w:szCs w:val="24"/>
        </w:rPr>
        <w:t>bu</w:t>
      </w:r>
      <w:r w:rsidRPr="00785831">
        <w:rPr>
          <w:rFonts w:cs="Garamond"/>
          <w:color w:val="211F1A"/>
          <w:sz w:val="24"/>
          <w:szCs w:val="24"/>
        </w:rPr>
        <w:t>s)</w:t>
      </w:r>
      <w:r w:rsidRPr="00785831">
        <w:rPr>
          <w:sz w:val="24"/>
          <w:szCs w:val="24"/>
        </w:rPr>
        <w:t xml:space="preserve"> är ett kliniskt välbeprövat preparat. Disulfiram hämmar ned</w:t>
      </w:r>
      <w:r w:rsidRPr="00785831">
        <w:rPr>
          <w:sz w:val="24"/>
          <w:szCs w:val="24"/>
        </w:rPr>
        <w:softHyphen/>
        <w:t>brytningen av acetaldehyd och leder till kroppsliga obehag som t.ex. hjärtklappning, pulserande huvudvärk och illamående i samband med alkoholintag. Behandling med disulfiram kräver en motiverad patient med helnykterhet som målsättning. Patienten måste noga informeras om verkningsmekanismen och riskerna vid samtidigt alkoholintag. Behandling kan påbörjas så snart patienten uppnått nollpromillenivå och tablettintag bör kontrollers av sjukvårdspersonal. Behandlingstiden är minst tre månader, helst ett år. Innan behandling och efter fyra veckors behandling bör koagulationsfaktorer, transaminaser och alkaliska fosfater kontrolleras. Om ASAT och ALAT stiger tre gånger det övre referensvärdet ska disulfiram sättas ut. Vanliga biverkningar är ospecifika symtom såsom dåsighet, huvudvärk, gastrointestinala symtom, mani och depression. I sällsynta fall kan disulfiram orsaka hepatocellulär leverskada och ska då omedelbart sättas ut. Patienten bör informeras om vikten av att kontakta sjukvården om ikterussymtom uppstår. Disulfiram kan kombineras med naltrexon och/eller akamprosat</w:t>
      </w:r>
      <w:r w:rsidRPr="00785831">
        <w:rPr>
          <w:sz w:val="24"/>
          <w:szCs w:val="24"/>
        </w:rPr>
        <w:softHyphen/>
        <w:t xml:space="preserve">. </w:t>
      </w:r>
    </w:p>
    <w:p w14:paraId="1CB2AD9E" w14:textId="77777777" w:rsidR="00702564" w:rsidRPr="00785831" w:rsidRDefault="00702564" w:rsidP="00702564">
      <w:pPr>
        <w:spacing w:before="120"/>
        <w:rPr>
          <w:sz w:val="24"/>
          <w:szCs w:val="24"/>
        </w:rPr>
      </w:pPr>
      <w:r w:rsidRPr="00785831">
        <w:rPr>
          <w:rFonts w:cs="Garamond"/>
          <w:b/>
          <w:bCs/>
          <w:sz w:val="24"/>
          <w:szCs w:val="24"/>
        </w:rPr>
        <w:t>Beviplex forte</w:t>
      </w:r>
      <w:r w:rsidRPr="00785831">
        <w:rPr>
          <w:rFonts w:cs="Garamond"/>
          <w:b/>
          <w:bCs/>
          <w:spacing w:val="-9"/>
          <w:sz w:val="24"/>
          <w:szCs w:val="24"/>
        </w:rPr>
        <w:t xml:space="preserve"> </w:t>
      </w:r>
      <w:r w:rsidRPr="00785831">
        <w:rPr>
          <w:sz w:val="24"/>
          <w:szCs w:val="24"/>
        </w:rPr>
        <w:t>(</w:t>
      </w:r>
      <w:r w:rsidRPr="00785831">
        <w:rPr>
          <w:spacing w:val="-2"/>
          <w:sz w:val="24"/>
          <w:szCs w:val="24"/>
        </w:rPr>
        <w:t>innehåller tiamin (B1), riboflavin (B2), nikotinamid(B3), pyridoxin (B6)</w:t>
      </w:r>
      <w:r w:rsidRPr="00785831">
        <w:rPr>
          <w:sz w:val="24"/>
          <w:szCs w:val="24"/>
        </w:rPr>
        <w:t xml:space="preserve">): </w:t>
      </w:r>
      <w:r w:rsidRPr="00785831">
        <w:rPr>
          <w:spacing w:val="1"/>
          <w:sz w:val="24"/>
          <w:szCs w:val="24"/>
        </w:rPr>
        <w:t>T</w:t>
      </w:r>
      <w:r w:rsidRPr="00785831">
        <w:rPr>
          <w:spacing w:val="-3"/>
          <w:sz w:val="24"/>
          <w:szCs w:val="24"/>
        </w:rPr>
        <w:t>i</w:t>
      </w:r>
      <w:r w:rsidRPr="00785831">
        <w:rPr>
          <w:spacing w:val="-2"/>
          <w:sz w:val="24"/>
          <w:szCs w:val="24"/>
        </w:rPr>
        <w:t>a</w:t>
      </w:r>
      <w:r w:rsidRPr="00785831">
        <w:rPr>
          <w:spacing w:val="-1"/>
          <w:sz w:val="24"/>
          <w:szCs w:val="24"/>
        </w:rPr>
        <w:t>m</w:t>
      </w:r>
      <w:r w:rsidRPr="00785831">
        <w:rPr>
          <w:sz w:val="24"/>
          <w:szCs w:val="24"/>
        </w:rPr>
        <w:t>i</w:t>
      </w:r>
      <w:r w:rsidRPr="00785831">
        <w:rPr>
          <w:spacing w:val="-3"/>
          <w:sz w:val="24"/>
          <w:szCs w:val="24"/>
        </w:rPr>
        <w:t>n</w:t>
      </w:r>
      <w:r w:rsidRPr="00785831">
        <w:rPr>
          <w:sz w:val="24"/>
          <w:szCs w:val="24"/>
        </w:rPr>
        <w:t>b</w:t>
      </w:r>
      <w:r w:rsidRPr="00785831">
        <w:rPr>
          <w:spacing w:val="-1"/>
          <w:sz w:val="24"/>
          <w:szCs w:val="24"/>
        </w:rPr>
        <w:t>r</w:t>
      </w:r>
      <w:r w:rsidRPr="00785831">
        <w:rPr>
          <w:sz w:val="24"/>
          <w:szCs w:val="24"/>
        </w:rPr>
        <w:t>i</w:t>
      </w:r>
      <w:r w:rsidRPr="00785831">
        <w:rPr>
          <w:spacing w:val="-2"/>
          <w:sz w:val="24"/>
          <w:szCs w:val="24"/>
        </w:rPr>
        <w:t>s</w:t>
      </w:r>
      <w:r w:rsidRPr="00785831">
        <w:rPr>
          <w:sz w:val="24"/>
          <w:szCs w:val="24"/>
        </w:rPr>
        <w:t xml:space="preserve">t är </w:t>
      </w:r>
      <w:r w:rsidRPr="00785831">
        <w:rPr>
          <w:spacing w:val="-3"/>
          <w:sz w:val="24"/>
          <w:szCs w:val="24"/>
        </w:rPr>
        <w:t>o</w:t>
      </w:r>
      <w:r w:rsidRPr="00785831">
        <w:rPr>
          <w:spacing w:val="-1"/>
          <w:sz w:val="24"/>
          <w:szCs w:val="24"/>
        </w:rPr>
        <w:t>f</w:t>
      </w:r>
      <w:r w:rsidRPr="00785831">
        <w:rPr>
          <w:spacing w:val="-3"/>
          <w:sz w:val="24"/>
          <w:szCs w:val="24"/>
        </w:rPr>
        <w:t>t</w:t>
      </w:r>
      <w:r w:rsidRPr="00785831">
        <w:rPr>
          <w:sz w:val="24"/>
          <w:szCs w:val="24"/>
        </w:rPr>
        <w:t xml:space="preserve">a </w:t>
      </w:r>
      <w:r w:rsidRPr="00785831">
        <w:rPr>
          <w:spacing w:val="-3"/>
          <w:sz w:val="24"/>
          <w:szCs w:val="24"/>
        </w:rPr>
        <w:t>u</w:t>
      </w:r>
      <w:r w:rsidRPr="00785831">
        <w:rPr>
          <w:sz w:val="24"/>
          <w:szCs w:val="24"/>
        </w:rPr>
        <w:t>n</w:t>
      </w:r>
      <w:r w:rsidRPr="00785831">
        <w:rPr>
          <w:spacing w:val="-3"/>
          <w:sz w:val="24"/>
          <w:szCs w:val="24"/>
        </w:rPr>
        <w:t>d</w:t>
      </w:r>
      <w:r w:rsidRPr="00785831">
        <w:rPr>
          <w:sz w:val="24"/>
          <w:szCs w:val="24"/>
        </w:rPr>
        <w:t>e</w:t>
      </w:r>
      <w:r w:rsidRPr="00785831">
        <w:rPr>
          <w:spacing w:val="-4"/>
          <w:sz w:val="24"/>
          <w:szCs w:val="24"/>
        </w:rPr>
        <w:t>r</w:t>
      </w:r>
      <w:r w:rsidRPr="00785831">
        <w:rPr>
          <w:spacing w:val="-1"/>
          <w:sz w:val="24"/>
          <w:szCs w:val="24"/>
        </w:rPr>
        <w:t>b</w:t>
      </w:r>
      <w:r w:rsidRPr="00785831">
        <w:rPr>
          <w:spacing w:val="-2"/>
          <w:sz w:val="24"/>
          <w:szCs w:val="24"/>
        </w:rPr>
        <w:t>e</w:t>
      </w:r>
      <w:r w:rsidRPr="00785831">
        <w:rPr>
          <w:sz w:val="24"/>
          <w:szCs w:val="24"/>
        </w:rPr>
        <w:t>ha</w:t>
      </w:r>
      <w:r w:rsidRPr="00785831">
        <w:rPr>
          <w:spacing w:val="-5"/>
          <w:sz w:val="24"/>
          <w:szCs w:val="24"/>
        </w:rPr>
        <w:t>n</w:t>
      </w:r>
      <w:r w:rsidRPr="00785831">
        <w:rPr>
          <w:spacing w:val="-3"/>
          <w:sz w:val="24"/>
          <w:szCs w:val="24"/>
        </w:rPr>
        <w:t>d</w:t>
      </w:r>
      <w:r w:rsidRPr="00785831">
        <w:rPr>
          <w:sz w:val="24"/>
          <w:szCs w:val="24"/>
        </w:rPr>
        <w:t>lat</w:t>
      </w:r>
      <w:r w:rsidRPr="00785831">
        <w:rPr>
          <w:spacing w:val="-8"/>
          <w:sz w:val="24"/>
          <w:szCs w:val="24"/>
        </w:rPr>
        <w:t xml:space="preserve"> v</w:t>
      </w:r>
      <w:r w:rsidRPr="00785831">
        <w:rPr>
          <w:sz w:val="24"/>
          <w:szCs w:val="24"/>
        </w:rPr>
        <w:t xml:space="preserve">id </w:t>
      </w:r>
      <w:r w:rsidRPr="00785831">
        <w:rPr>
          <w:spacing w:val="-2"/>
          <w:sz w:val="24"/>
          <w:szCs w:val="24"/>
        </w:rPr>
        <w:t>a</w:t>
      </w:r>
      <w:r w:rsidRPr="00785831">
        <w:rPr>
          <w:sz w:val="24"/>
          <w:szCs w:val="24"/>
        </w:rPr>
        <w:t>lkoho</w:t>
      </w:r>
      <w:r w:rsidRPr="00785831">
        <w:rPr>
          <w:spacing w:val="-3"/>
          <w:sz w:val="24"/>
          <w:szCs w:val="24"/>
        </w:rPr>
        <w:t>l</w:t>
      </w:r>
      <w:r w:rsidRPr="00785831">
        <w:rPr>
          <w:sz w:val="24"/>
          <w:szCs w:val="24"/>
        </w:rPr>
        <w:t>be</w:t>
      </w:r>
      <w:r w:rsidRPr="00785831">
        <w:rPr>
          <w:spacing w:val="-1"/>
          <w:sz w:val="24"/>
          <w:szCs w:val="24"/>
        </w:rPr>
        <w:t>r</w:t>
      </w:r>
      <w:r w:rsidRPr="00785831">
        <w:rPr>
          <w:sz w:val="24"/>
          <w:szCs w:val="24"/>
        </w:rPr>
        <w:t>o</w:t>
      </w:r>
      <w:r w:rsidRPr="00785831">
        <w:rPr>
          <w:spacing w:val="-2"/>
          <w:sz w:val="24"/>
          <w:szCs w:val="24"/>
        </w:rPr>
        <w:t>e</w:t>
      </w:r>
      <w:r w:rsidRPr="00785831">
        <w:rPr>
          <w:spacing w:val="-1"/>
          <w:sz w:val="24"/>
          <w:szCs w:val="24"/>
        </w:rPr>
        <w:t>n</w:t>
      </w:r>
      <w:r w:rsidRPr="00785831">
        <w:rPr>
          <w:spacing w:val="-5"/>
          <w:sz w:val="24"/>
          <w:szCs w:val="24"/>
        </w:rPr>
        <w:t>d</w:t>
      </w:r>
      <w:r w:rsidRPr="00785831">
        <w:rPr>
          <w:sz w:val="24"/>
          <w:szCs w:val="24"/>
        </w:rPr>
        <w:t xml:space="preserve">e </w:t>
      </w:r>
      <w:r w:rsidRPr="00785831">
        <w:rPr>
          <w:spacing w:val="-1"/>
          <w:sz w:val="24"/>
          <w:szCs w:val="24"/>
        </w:rPr>
        <w:t>o</w:t>
      </w:r>
      <w:r w:rsidRPr="00785831">
        <w:rPr>
          <w:spacing w:val="-2"/>
          <w:sz w:val="24"/>
          <w:szCs w:val="24"/>
        </w:rPr>
        <w:t>c</w:t>
      </w:r>
      <w:r w:rsidRPr="00785831">
        <w:rPr>
          <w:sz w:val="24"/>
          <w:szCs w:val="24"/>
        </w:rPr>
        <w:t xml:space="preserve">h </w:t>
      </w:r>
      <w:r w:rsidRPr="00785831">
        <w:rPr>
          <w:spacing w:val="-6"/>
          <w:sz w:val="24"/>
          <w:szCs w:val="24"/>
        </w:rPr>
        <w:t>k</w:t>
      </w:r>
      <w:r w:rsidRPr="00785831">
        <w:rPr>
          <w:sz w:val="24"/>
          <w:szCs w:val="24"/>
        </w:rPr>
        <w:t>an l</w:t>
      </w:r>
      <w:r w:rsidRPr="00785831">
        <w:rPr>
          <w:spacing w:val="-2"/>
          <w:sz w:val="24"/>
          <w:szCs w:val="24"/>
        </w:rPr>
        <w:t>e</w:t>
      </w:r>
      <w:r w:rsidRPr="00785831">
        <w:rPr>
          <w:sz w:val="24"/>
          <w:szCs w:val="24"/>
        </w:rPr>
        <w:t xml:space="preserve">da </w:t>
      </w:r>
      <w:r w:rsidRPr="00785831">
        <w:rPr>
          <w:spacing w:val="-1"/>
          <w:sz w:val="24"/>
          <w:szCs w:val="24"/>
        </w:rPr>
        <w:t>t</w:t>
      </w:r>
      <w:r w:rsidRPr="00785831">
        <w:rPr>
          <w:spacing w:val="-3"/>
          <w:sz w:val="24"/>
          <w:szCs w:val="24"/>
        </w:rPr>
        <w:t>i</w:t>
      </w:r>
      <w:r w:rsidRPr="00785831">
        <w:rPr>
          <w:sz w:val="24"/>
          <w:szCs w:val="24"/>
        </w:rPr>
        <w:t>ll i</w:t>
      </w:r>
      <w:r w:rsidRPr="00785831">
        <w:rPr>
          <w:spacing w:val="-1"/>
          <w:sz w:val="24"/>
          <w:szCs w:val="24"/>
        </w:rPr>
        <w:t>r</w:t>
      </w:r>
      <w:r w:rsidRPr="00785831">
        <w:rPr>
          <w:spacing w:val="-6"/>
          <w:sz w:val="24"/>
          <w:szCs w:val="24"/>
        </w:rPr>
        <w:t>r</w:t>
      </w:r>
      <w:r w:rsidRPr="00785831">
        <w:rPr>
          <w:sz w:val="24"/>
          <w:szCs w:val="24"/>
        </w:rPr>
        <w:t>e</w:t>
      </w:r>
      <w:r w:rsidRPr="00785831">
        <w:rPr>
          <w:spacing w:val="-3"/>
          <w:sz w:val="24"/>
          <w:szCs w:val="24"/>
        </w:rPr>
        <w:t>v</w:t>
      </w:r>
      <w:r w:rsidRPr="00785831">
        <w:rPr>
          <w:sz w:val="24"/>
          <w:szCs w:val="24"/>
        </w:rPr>
        <w:t>e</w:t>
      </w:r>
      <w:r w:rsidRPr="00785831">
        <w:rPr>
          <w:spacing w:val="-6"/>
          <w:sz w:val="24"/>
          <w:szCs w:val="24"/>
        </w:rPr>
        <w:t>r</w:t>
      </w:r>
      <w:r w:rsidRPr="00785831">
        <w:rPr>
          <w:spacing w:val="-2"/>
          <w:sz w:val="24"/>
          <w:szCs w:val="24"/>
        </w:rPr>
        <w:t>s</w:t>
      </w:r>
      <w:r w:rsidRPr="00785831">
        <w:rPr>
          <w:sz w:val="24"/>
          <w:szCs w:val="24"/>
        </w:rPr>
        <w:t>i</w:t>
      </w:r>
      <w:r w:rsidRPr="00785831">
        <w:rPr>
          <w:spacing w:val="-3"/>
          <w:sz w:val="24"/>
          <w:szCs w:val="24"/>
        </w:rPr>
        <w:t>b</w:t>
      </w:r>
      <w:r w:rsidRPr="00785831">
        <w:rPr>
          <w:sz w:val="24"/>
          <w:szCs w:val="24"/>
        </w:rPr>
        <w:t>la neu</w:t>
      </w:r>
      <w:r w:rsidRPr="00785831">
        <w:rPr>
          <w:spacing w:val="-4"/>
          <w:sz w:val="24"/>
          <w:szCs w:val="24"/>
        </w:rPr>
        <w:t>r</w:t>
      </w:r>
      <w:r w:rsidRPr="00785831">
        <w:rPr>
          <w:spacing w:val="-3"/>
          <w:sz w:val="24"/>
          <w:szCs w:val="24"/>
        </w:rPr>
        <w:t>o</w:t>
      </w:r>
      <w:r w:rsidRPr="00785831">
        <w:rPr>
          <w:spacing w:val="-5"/>
          <w:sz w:val="24"/>
          <w:szCs w:val="24"/>
        </w:rPr>
        <w:t>l</w:t>
      </w:r>
      <w:r w:rsidRPr="00785831">
        <w:rPr>
          <w:spacing w:val="-1"/>
          <w:sz w:val="24"/>
          <w:szCs w:val="24"/>
        </w:rPr>
        <w:t>o</w:t>
      </w:r>
      <w:r w:rsidRPr="00785831">
        <w:rPr>
          <w:spacing w:val="-2"/>
          <w:sz w:val="24"/>
          <w:szCs w:val="24"/>
        </w:rPr>
        <w:t>g</w:t>
      </w:r>
      <w:r w:rsidRPr="00785831">
        <w:rPr>
          <w:sz w:val="24"/>
          <w:szCs w:val="24"/>
        </w:rPr>
        <w:t>i</w:t>
      </w:r>
      <w:r w:rsidRPr="00785831">
        <w:rPr>
          <w:spacing w:val="-1"/>
          <w:sz w:val="24"/>
          <w:szCs w:val="24"/>
        </w:rPr>
        <w:t>s</w:t>
      </w:r>
      <w:r w:rsidRPr="00785831">
        <w:rPr>
          <w:spacing w:val="-3"/>
          <w:sz w:val="24"/>
          <w:szCs w:val="24"/>
        </w:rPr>
        <w:t>k</w:t>
      </w:r>
      <w:r w:rsidRPr="00785831">
        <w:rPr>
          <w:sz w:val="24"/>
          <w:szCs w:val="24"/>
        </w:rPr>
        <w:t xml:space="preserve">a </w:t>
      </w:r>
      <w:r w:rsidRPr="00785831">
        <w:rPr>
          <w:spacing w:val="-2"/>
          <w:sz w:val="24"/>
          <w:szCs w:val="24"/>
        </w:rPr>
        <w:t>s</w:t>
      </w:r>
      <w:r w:rsidRPr="00785831">
        <w:rPr>
          <w:spacing w:val="-3"/>
          <w:sz w:val="24"/>
          <w:szCs w:val="24"/>
        </w:rPr>
        <w:t>k</w:t>
      </w:r>
      <w:r w:rsidRPr="00785831">
        <w:rPr>
          <w:sz w:val="24"/>
          <w:szCs w:val="24"/>
        </w:rPr>
        <w:t xml:space="preserve">ador </w:t>
      </w:r>
      <w:r w:rsidRPr="00785831">
        <w:rPr>
          <w:spacing w:val="-7"/>
          <w:sz w:val="24"/>
          <w:szCs w:val="24"/>
        </w:rPr>
        <w:t>s</w:t>
      </w:r>
      <w:r w:rsidRPr="00785831">
        <w:rPr>
          <w:sz w:val="24"/>
          <w:szCs w:val="24"/>
        </w:rPr>
        <w:t>å</w:t>
      </w:r>
      <w:r w:rsidRPr="00785831">
        <w:rPr>
          <w:spacing w:val="-2"/>
          <w:sz w:val="24"/>
          <w:szCs w:val="24"/>
        </w:rPr>
        <w:t>s</w:t>
      </w:r>
      <w:r w:rsidRPr="00785831">
        <w:rPr>
          <w:sz w:val="24"/>
          <w:szCs w:val="24"/>
        </w:rPr>
        <w:t xml:space="preserve">om </w:t>
      </w:r>
      <w:r w:rsidRPr="00785831">
        <w:rPr>
          <w:spacing w:val="-3"/>
          <w:sz w:val="24"/>
          <w:szCs w:val="24"/>
        </w:rPr>
        <w:t>n</w:t>
      </w:r>
      <w:r w:rsidRPr="00785831">
        <w:rPr>
          <w:spacing w:val="-2"/>
          <w:sz w:val="24"/>
          <w:szCs w:val="24"/>
        </w:rPr>
        <w:t>e</w:t>
      </w:r>
      <w:r w:rsidRPr="00785831">
        <w:rPr>
          <w:sz w:val="24"/>
          <w:szCs w:val="24"/>
        </w:rPr>
        <w:t>u</w:t>
      </w:r>
      <w:r w:rsidRPr="00785831">
        <w:rPr>
          <w:spacing w:val="-4"/>
          <w:sz w:val="24"/>
          <w:szCs w:val="24"/>
        </w:rPr>
        <w:t>r</w:t>
      </w:r>
      <w:r w:rsidRPr="00785831">
        <w:rPr>
          <w:spacing w:val="-1"/>
          <w:sz w:val="24"/>
          <w:szCs w:val="24"/>
        </w:rPr>
        <w:t>o</w:t>
      </w:r>
      <w:r w:rsidRPr="00785831">
        <w:rPr>
          <w:spacing w:val="-3"/>
          <w:sz w:val="24"/>
          <w:szCs w:val="24"/>
        </w:rPr>
        <w:t>p</w:t>
      </w:r>
      <w:r w:rsidRPr="00785831">
        <w:rPr>
          <w:sz w:val="24"/>
          <w:szCs w:val="24"/>
        </w:rPr>
        <w:t xml:space="preserve">ati </w:t>
      </w:r>
      <w:r w:rsidRPr="00785831">
        <w:rPr>
          <w:spacing w:val="-1"/>
          <w:sz w:val="24"/>
          <w:szCs w:val="24"/>
        </w:rPr>
        <w:t>o</w:t>
      </w:r>
      <w:r w:rsidRPr="00785831">
        <w:rPr>
          <w:spacing w:val="-2"/>
          <w:sz w:val="24"/>
          <w:szCs w:val="24"/>
        </w:rPr>
        <w:t>c</w:t>
      </w:r>
      <w:r w:rsidRPr="00785831">
        <w:rPr>
          <w:sz w:val="24"/>
          <w:szCs w:val="24"/>
        </w:rPr>
        <w:t xml:space="preserve">h </w:t>
      </w:r>
      <w:r w:rsidRPr="00785831">
        <w:rPr>
          <w:spacing w:val="5"/>
          <w:sz w:val="24"/>
          <w:szCs w:val="24"/>
        </w:rPr>
        <w:t>W</w:t>
      </w:r>
      <w:r w:rsidRPr="00785831">
        <w:rPr>
          <w:spacing w:val="-2"/>
          <w:sz w:val="24"/>
          <w:szCs w:val="24"/>
        </w:rPr>
        <w:t>e</w:t>
      </w:r>
      <w:r w:rsidRPr="00785831">
        <w:rPr>
          <w:spacing w:val="-9"/>
          <w:sz w:val="24"/>
          <w:szCs w:val="24"/>
        </w:rPr>
        <w:t>r</w:t>
      </w:r>
      <w:r w:rsidRPr="00785831">
        <w:rPr>
          <w:spacing w:val="-1"/>
          <w:sz w:val="24"/>
          <w:szCs w:val="24"/>
        </w:rPr>
        <w:t>n</w:t>
      </w:r>
      <w:r w:rsidRPr="00785831">
        <w:rPr>
          <w:sz w:val="24"/>
          <w:szCs w:val="24"/>
        </w:rPr>
        <w:t>ick</w:t>
      </w:r>
      <w:r w:rsidRPr="00785831">
        <w:rPr>
          <w:spacing w:val="-2"/>
          <w:sz w:val="24"/>
          <w:szCs w:val="24"/>
        </w:rPr>
        <w:t>e</w:t>
      </w:r>
      <w:r w:rsidRPr="00785831">
        <w:rPr>
          <w:spacing w:val="-3"/>
          <w:sz w:val="24"/>
          <w:szCs w:val="24"/>
        </w:rPr>
        <w:t>-K</w:t>
      </w:r>
      <w:r w:rsidRPr="00785831">
        <w:rPr>
          <w:sz w:val="24"/>
          <w:szCs w:val="24"/>
        </w:rPr>
        <w:t>o</w:t>
      </w:r>
      <w:r w:rsidRPr="00785831">
        <w:rPr>
          <w:spacing w:val="-1"/>
          <w:sz w:val="24"/>
          <w:szCs w:val="24"/>
        </w:rPr>
        <w:t>r</w:t>
      </w:r>
      <w:r w:rsidRPr="00785831">
        <w:rPr>
          <w:spacing w:val="-2"/>
          <w:sz w:val="24"/>
          <w:szCs w:val="24"/>
        </w:rPr>
        <w:t>sa</w:t>
      </w:r>
      <w:r w:rsidRPr="00785831">
        <w:rPr>
          <w:sz w:val="24"/>
          <w:szCs w:val="24"/>
        </w:rPr>
        <w:t>k</w:t>
      </w:r>
      <w:r w:rsidRPr="00785831">
        <w:rPr>
          <w:spacing w:val="-3"/>
          <w:sz w:val="24"/>
          <w:szCs w:val="24"/>
        </w:rPr>
        <w:t>o</w:t>
      </w:r>
      <w:r w:rsidRPr="00785831">
        <w:rPr>
          <w:spacing w:val="-1"/>
          <w:sz w:val="24"/>
          <w:szCs w:val="24"/>
        </w:rPr>
        <w:t>ff</w:t>
      </w:r>
      <w:r w:rsidRPr="00785831">
        <w:rPr>
          <w:sz w:val="24"/>
          <w:szCs w:val="24"/>
        </w:rPr>
        <w:t xml:space="preserve">. </w:t>
      </w:r>
      <w:r w:rsidRPr="00785831">
        <w:rPr>
          <w:spacing w:val="-3"/>
          <w:sz w:val="24"/>
          <w:szCs w:val="24"/>
        </w:rPr>
        <w:t>Beviplex forte</w:t>
      </w:r>
      <w:r w:rsidRPr="00785831">
        <w:rPr>
          <w:sz w:val="24"/>
          <w:szCs w:val="24"/>
        </w:rPr>
        <w:t xml:space="preserve"> har ett hö</w:t>
      </w:r>
      <w:r w:rsidRPr="00785831">
        <w:rPr>
          <w:spacing w:val="-2"/>
          <w:sz w:val="24"/>
          <w:szCs w:val="24"/>
        </w:rPr>
        <w:t>g</w:t>
      </w:r>
      <w:r w:rsidRPr="00785831">
        <w:rPr>
          <w:sz w:val="24"/>
          <w:szCs w:val="24"/>
        </w:rPr>
        <w:t xml:space="preserve">t </w:t>
      </w:r>
      <w:r w:rsidRPr="00785831">
        <w:rPr>
          <w:spacing w:val="-1"/>
          <w:sz w:val="24"/>
          <w:szCs w:val="24"/>
        </w:rPr>
        <w:t>t</w:t>
      </w:r>
      <w:r w:rsidRPr="00785831">
        <w:rPr>
          <w:spacing w:val="-3"/>
          <w:sz w:val="24"/>
          <w:szCs w:val="24"/>
        </w:rPr>
        <w:t>i</w:t>
      </w:r>
      <w:r w:rsidRPr="00785831">
        <w:rPr>
          <w:spacing w:val="-2"/>
          <w:sz w:val="24"/>
          <w:szCs w:val="24"/>
        </w:rPr>
        <w:t>a</w:t>
      </w:r>
      <w:r w:rsidRPr="00785831">
        <w:rPr>
          <w:spacing w:val="-1"/>
          <w:sz w:val="24"/>
          <w:szCs w:val="24"/>
        </w:rPr>
        <w:t>m</w:t>
      </w:r>
      <w:r w:rsidRPr="00785831">
        <w:rPr>
          <w:sz w:val="24"/>
          <w:szCs w:val="24"/>
        </w:rPr>
        <w:t>i</w:t>
      </w:r>
      <w:r w:rsidRPr="00785831">
        <w:rPr>
          <w:spacing w:val="-1"/>
          <w:sz w:val="24"/>
          <w:szCs w:val="24"/>
        </w:rPr>
        <w:t>n</w:t>
      </w:r>
      <w:r w:rsidRPr="00785831">
        <w:rPr>
          <w:spacing w:val="-3"/>
          <w:sz w:val="24"/>
          <w:szCs w:val="24"/>
        </w:rPr>
        <w:t>i</w:t>
      </w:r>
      <w:r w:rsidRPr="00785831">
        <w:rPr>
          <w:spacing w:val="-1"/>
          <w:sz w:val="24"/>
          <w:szCs w:val="24"/>
        </w:rPr>
        <w:t>n</w:t>
      </w:r>
      <w:r w:rsidRPr="00785831">
        <w:rPr>
          <w:spacing w:val="-3"/>
          <w:sz w:val="24"/>
          <w:szCs w:val="24"/>
        </w:rPr>
        <w:t>n</w:t>
      </w:r>
      <w:r w:rsidRPr="00785831">
        <w:rPr>
          <w:sz w:val="24"/>
          <w:szCs w:val="24"/>
        </w:rPr>
        <w:t>e</w:t>
      </w:r>
      <w:r w:rsidRPr="00785831">
        <w:rPr>
          <w:spacing w:val="-5"/>
          <w:sz w:val="24"/>
          <w:szCs w:val="24"/>
        </w:rPr>
        <w:t>h</w:t>
      </w:r>
      <w:r w:rsidRPr="00785831">
        <w:rPr>
          <w:spacing w:val="-2"/>
          <w:sz w:val="24"/>
          <w:szCs w:val="24"/>
        </w:rPr>
        <w:t>å</w:t>
      </w:r>
      <w:r w:rsidRPr="00785831">
        <w:rPr>
          <w:sz w:val="24"/>
          <w:szCs w:val="24"/>
        </w:rPr>
        <w:t xml:space="preserve">ll </w:t>
      </w:r>
      <w:r w:rsidRPr="00785831">
        <w:rPr>
          <w:spacing w:val="-3"/>
          <w:sz w:val="24"/>
          <w:szCs w:val="24"/>
        </w:rPr>
        <w:t>m</w:t>
      </w:r>
      <w:r w:rsidRPr="00785831">
        <w:rPr>
          <w:sz w:val="24"/>
          <w:szCs w:val="24"/>
        </w:rPr>
        <w:t xml:space="preserve">en </w:t>
      </w:r>
      <w:r w:rsidRPr="00785831">
        <w:rPr>
          <w:spacing w:val="-5"/>
          <w:sz w:val="24"/>
          <w:szCs w:val="24"/>
        </w:rPr>
        <w:t>i</w:t>
      </w:r>
      <w:r w:rsidRPr="00785831">
        <w:rPr>
          <w:spacing w:val="-3"/>
          <w:sz w:val="24"/>
          <w:szCs w:val="24"/>
        </w:rPr>
        <w:t>n</w:t>
      </w:r>
      <w:r w:rsidRPr="00785831">
        <w:rPr>
          <w:spacing w:val="-1"/>
          <w:sz w:val="24"/>
          <w:szCs w:val="24"/>
        </w:rPr>
        <w:t>n</w:t>
      </w:r>
      <w:r w:rsidRPr="00785831">
        <w:rPr>
          <w:spacing w:val="-2"/>
          <w:sz w:val="24"/>
          <w:szCs w:val="24"/>
        </w:rPr>
        <w:t>eh</w:t>
      </w:r>
      <w:r w:rsidRPr="00785831">
        <w:rPr>
          <w:sz w:val="24"/>
          <w:szCs w:val="24"/>
        </w:rPr>
        <w:t>ål</w:t>
      </w:r>
      <w:r w:rsidRPr="00785831">
        <w:rPr>
          <w:spacing w:val="-5"/>
          <w:sz w:val="24"/>
          <w:szCs w:val="24"/>
        </w:rPr>
        <w:t>l</w:t>
      </w:r>
      <w:r w:rsidRPr="00785831">
        <w:rPr>
          <w:sz w:val="24"/>
          <w:szCs w:val="24"/>
        </w:rPr>
        <w:t xml:space="preserve">er ej </w:t>
      </w:r>
      <w:r w:rsidRPr="00785831">
        <w:rPr>
          <w:spacing w:val="-1"/>
          <w:sz w:val="24"/>
          <w:szCs w:val="24"/>
        </w:rPr>
        <w:t>f</w:t>
      </w:r>
      <w:r w:rsidRPr="00785831">
        <w:rPr>
          <w:spacing w:val="-3"/>
          <w:sz w:val="24"/>
          <w:szCs w:val="24"/>
        </w:rPr>
        <w:t>o</w:t>
      </w:r>
      <w:r w:rsidRPr="00785831">
        <w:rPr>
          <w:sz w:val="24"/>
          <w:szCs w:val="24"/>
        </w:rPr>
        <w:t>l</w:t>
      </w:r>
      <w:r w:rsidRPr="00785831">
        <w:rPr>
          <w:spacing w:val="-5"/>
          <w:sz w:val="24"/>
          <w:szCs w:val="24"/>
        </w:rPr>
        <w:t>s</w:t>
      </w:r>
      <w:r w:rsidRPr="00785831">
        <w:rPr>
          <w:spacing w:val="-2"/>
          <w:sz w:val="24"/>
          <w:szCs w:val="24"/>
        </w:rPr>
        <w:t>y</w:t>
      </w:r>
      <w:r w:rsidRPr="00785831">
        <w:rPr>
          <w:spacing w:val="-1"/>
          <w:sz w:val="24"/>
          <w:szCs w:val="24"/>
        </w:rPr>
        <w:t>r</w:t>
      </w:r>
      <w:r w:rsidRPr="00785831">
        <w:rPr>
          <w:sz w:val="24"/>
          <w:szCs w:val="24"/>
        </w:rPr>
        <w:t xml:space="preserve">a </w:t>
      </w:r>
      <w:r w:rsidRPr="00785831">
        <w:rPr>
          <w:spacing w:val="-2"/>
          <w:sz w:val="24"/>
          <w:szCs w:val="24"/>
        </w:rPr>
        <w:t>e</w:t>
      </w:r>
      <w:r w:rsidRPr="00785831">
        <w:rPr>
          <w:sz w:val="24"/>
          <w:szCs w:val="24"/>
        </w:rPr>
        <w:t>ll</w:t>
      </w:r>
      <w:r w:rsidRPr="00785831">
        <w:rPr>
          <w:spacing w:val="1"/>
          <w:sz w:val="24"/>
          <w:szCs w:val="24"/>
        </w:rPr>
        <w:t>e</w:t>
      </w:r>
      <w:r w:rsidRPr="00785831">
        <w:rPr>
          <w:sz w:val="24"/>
          <w:szCs w:val="24"/>
        </w:rPr>
        <w:t xml:space="preserve">r </w:t>
      </w:r>
      <w:r w:rsidRPr="00785831">
        <w:rPr>
          <w:spacing w:val="-2"/>
          <w:sz w:val="24"/>
          <w:szCs w:val="24"/>
        </w:rPr>
        <w:t>B</w:t>
      </w:r>
      <w:r w:rsidRPr="00785831">
        <w:rPr>
          <w:sz w:val="24"/>
          <w:szCs w:val="24"/>
        </w:rPr>
        <w:t xml:space="preserve">12. </w:t>
      </w:r>
      <w:r w:rsidRPr="00785831">
        <w:rPr>
          <w:spacing w:val="-2"/>
          <w:sz w:val="24"/>
          <w:szCs w:val="24"/>
        </w:rPr>
        <w:t>Re</w:t>
      </w:r>
      <w:r w:rsidRPr="00785831">
        <w:rPr>
          <w:sz w:val="24"/>
          <w:szCs w:val="24"/>
        </w:rPr>
        <w:t>k</w:t>
      </w:r>
      <w:r w:rsidRPr="00785831">
        <w:rPr>
          <w:spacing w:val="-3"/>
          <w:sz w:val="24"/>
          <w:szCs w:val="24"/>
        </w:rPr>
        <w:t>om</w:t>
      </w:r>
      <w:r w:rsidRPr="00785831">
        <w:rPr>
          <w:spacing w:val="-1"/>
          <w:sz w:val="24"/>
          <w:szCs w:val="24"/>
        </w:rPr>
        <w:t>m</w:t>
      </w:r>
      <w:r w:rsidRPr="00785831">
        <w:rPr>
          <w:sz w:val="24"/>
          <w:szCs w:val="24"/>
        </w:rPr>
        <w:t>e</w:t>
      </w:r>
      <w:r w:rsidRPr="00785831">
        <w:rPr>
          <w:spacing w:val="-3"/>
          <w:sz w:val="24"/>
          <w:szCs w:val="24"/>
        </w:rPr>
        <w:t>n</w:t>
      </w:r>
      <w:r w:rsidRPr="00785831">
        <w:rPr>
          <w:sz w:val="24"/>
          <w:szCs w:val="24"/>
        </w:rPr>
        <w:t>de</w:t>
      </w:r>
      <w:r w:rsidRPr="00785831">
        <w:rPr>
          <w:spacing w:val="-4"/>
          <w:sz w:val="24"/>
          <w:szCs w:val="24"/>
        </w:rPr>
        <w:t>r</w:t>
      </w:r>
      <w:r w:rsidRPr="00785831">
        <w:rPr>
          <w:spacing w:val="-2"/>
          <w:sz w:val="24"/>
          <w:szCs w:val="24"/>
        </w:rPr>
        <w:t>a</w:t>
      </w:r>
      <w:r w:rsidRPr="00785831">
        <w:rPr>
          <w:sz w:val="24"/>
          <w:szCs w:val="24"/>
        </w:rPr>
        <w:t>d d</w:t>
      </w:r>
      <w:r w:rsidRPr="00785831">
        <w:rPr>
          <w:spacing w:val="-3"/>
          <w:sz w:val="24"/>
          <w:szCs w:val="24"/>
        </w:rPr>
        <w:t>o</w:t>
      </w:r>
      <w:r w:rsidRPr="00785831">
        <w:rPr>
          <w:sz w:val="24"/>
          <w:szCs w:val="24"/>
        </w:rPr>
        <w:t xml:space="preserve">s </w:t>
      </w:r>
      <w:r w:rsidRPr="00785831">
        <w:rPr>
          <w:spacing w:val="-2"/>
          <w:sz w:val="24"/>
          <w:szCs w:val="24"/>
        </w:rPr>
        <w:t>ä</w:t>
      </w:r>
      <w:r w:rsidRPr="00785831">
        <w:rPr>
          <w:sz w:val="24"/>
          <w:szCs w:val="24"/>
        </w:rPr>
        <w:t>r 1+</w:t>
      </w:r>
      <w:r w:rsidRPr="00785831">
        <w:rPr>
          <w:spacing w:val="-3"/>
          <w:sz w:val="24"/>
          <w:szCs w:val="24"/>
        </w:rPr>
        <w:t>1</w:t>
      </w:r>
      <w:r w:rsidRPr="00785831">
        <w:rPr>
          <w:sz w:val="24"/>
          <w:szCs w:val="24"/>
        </w:rPr>
        <w:t>+1</w:t>
      </w:r>
      <w:r w:rsidRPr="00785831">
        <w:rPr>
          <w:spacing w:val="-6"/>
          <w:sz w:val="24"/>
          <w:szCs w:val="24"/>
        </w:rPr>
        <w:t xml:space="preserve"> v</w:t>
      </w:r>
      <w:r w:rsidRPr="00785831">
        <w:rPr>
          <w:sz w:val="24"/>
          <w:szCs w:val="24"/>
        </w:rPr>
        <w:t>id u</w:t>
      </w:r>
      <w:r w:rsidRPr="00785831">
        <w:rPr>
          <w:spacing w:val="-3"/>
          <w:sz w:val="24"/>
          <w:szCs w:val="24"/>
        </w:rPr>
        <w:t>n</w:t>
      </w:r>
      <w:r w:rsidRPr="00785831">
        <w:rPr>
          <w:sz w:val="24"/>
          <w:szCs w:val="24"/>
        </w:rPr>
        <w:t>d</w:t>
      </w:r>
      <w:r w:rsidRPr="00785831">
        <w:rPr>
          <w:spacing w:val="-2"/>
          <w:sz w:val="24"/>
          <w:szCs w:val="24"/>
        </w:rPr>
        <w:t>e</w:t>
      </w:r>
      <w:r w:rsidRPr="00785831">
        <w:rPr>
          <w:spacing w:val="-1"/>
          <w:sz w:val="24"/>
          <w:szCs w:val="24"/>
        </w:rPr>
        <w:t>r</w:t>
      </w:r>
      <w:r w:rsidRPr="00785831">
        <w:rPr>
          <w:sz w:val="24"/>
          <w:szCs w:val="24"/>
        </w:rPr>
        <w:t>hål</w:t>
      </w:r>
      <w:r w:rsidRPr="00785831">
        <w:rPr>
          <w:spacing w:val="-3"/>
          <w:sz w:val="24"/>
          <w:szCs w:val="24"/>
        </w:rPr>
        <w:t>l</w:t>
      </w:r>
      <w:r w:rsidRPr="00785831">
        <w:rPr>
          <w:spacing w:val="-2"/>
          <w:sz w:val="24"/>
          <w:szCs w:val="24"/>
        </w:rPr>
        <w:t>s</w:t>
      </w:r>
      <w:r w:rsidRPr="00785831">
        <w:rPr>
          <w:spacing w:val="-1"/>
          <w:sz w:val="24"/>
          <w:szCs w:val="24"/>
        </w:rPr>
        <w:t>b</w:t>
      </w:r>
      <w:r w:rsidRPr="00785831">
        <w:rPr>
          <w:sz w:val="24"/>
          <w:szCs w:val="24"/>
        </w:rPr>
        <w:t>e</w:t>
      </w:r>
      <w:r w:rsidRPr="00785831">
        <w:rPr>
          <w:spacing w:val="-3"/>
          <w:sz w:val="24"/>
          <w:szCs w:val="24"/>
        </w:rPr>
        <w:t>h</w:t>
      </w:r>
      <w:r w:rsidRPr="00785831">
        <w:rPr>
          <w:sz w:val="24"/>
          <w:szCs w:val="24"/>
        </w:rPr>
        <w:t>a</w:t>
      </w:r>
      <w:r w:rsidRPr="00785831">
        <w:rPr>
          <w:spacing w:val="-1"/>
          <w:sz w:val="24"/>
          <w:szCs w:val="24"/>
        </w:rPr>
        <w:t>n</w:t>
      </w:r>
      <w:r w:rsidRPr="00785831">
        <w:rPr>
          <w:spacing w:val="-3"/>
          <w:sz w:val="24"/>
          <w:szCs w:val="24"/>
        </w:rPr>
        <w:t>d</w:t>
      </w:r>
      <w:r w:rsidRPr="00785831">
        <w:rPr>
          <w:sz w:val="24"/>
          <w:szCs w:val="24"/>
        </w:rPr>
        <w:t>li</w:t>
      </w:r>
      <w:r w:rsidRPr="00785831">
        <w:rPr>
          <w:spacing w:val="-3"/>
          <w:sz w:val="24"/>
          <w:szCs w:val="24"/>
        </w:rPr>
        <w:t>n</w:t>
      </w:r>
      <w:r w:rsidRPr="00785831">
        <w:rPr>
          <w:spacing w:val="-6"/>
          <w:sz w:val="24"/>
          <w:szCs w:val="24"/>
        </w:rPr>
        <w:t>g</w:t>
      </w:r>
      <w:r w:rsidRPr="00785831">
        <w:rPr>
          <w:sz w:val="24"/>
          <w:szCs w:val="24"/>
        </w:rPr>
        <w:t>.</w:t>
      </w:r>
      <w:r w:rsidRPr="00785831">
        <w:rPr>
          <w:spacing w:val="-6"/>
          <w:sz w:val="24"/>
          <w:szCs w:val="24"/>
        </w:rPr>
        <w:t xml:space="preserve"> Denna dos får inte överskridas pga</w:t>
      </w:r>
      <w:r w:rsidRPr="00785831">
        <w:rPr>
          <w:sz w:val="24"/>
          <w:szCs w:val="24"/>
        </w:rPr>
        <w:t>.</w:t>
      </w:r>
      <w:r w:rsidRPr="00785831">
        <w:rPr>
          <w:spacing w:val="-6"/>
          <w:sz w:val="24"/>
          <w:szCs w:val="24"/>
        </w:rPr>
        <w:t xml:space="preserve"> risk för toxicitet (pyridoxin). </w:t>
      </w:r>
      <w:r w:rsidRPr="00785831">
        <w:rPr>
          <w:sz w:val="24"/>
          <w:szCs w:val="24"/>
        </w:rPr>
        <w:t xml:space="preserve">I </w:t>
      </w:r>
      <w:r w:rsidRPr="00785831">
        <w:rPr>
          <w:spacing w:val="-2"/>
          <w:sz w:val="24"/>
          <w:szCs w:val="24"/>
        </w:rPr>
        <w:t>s</w:t>
      </w:r>
      <w:r w:rsidRPr="00785831">
        <w:rPr>
          <w:spacing w:val="-4"/>
          <w:sz w:val="24"/>
          <w:szCs w:val="24"/>
        </w:rPr>
        <w:t>a</w:t>
      </w:r>
      <w:r w:rsidRPr="00785831">
        <w:rPr>
          <w:spacing w:val="-1"/>
          <w:sz w:val="24"/>
          <w:szCs w:val="24"/>
        </w:rPr>
        <w:t>mb</w:t>
      </w:r>
      <w:r w:rsidRPr="00785831">
        <w:rPr>
          <w:spacing w:val="1"/>
          <w:sz w:val="24"/>
          <w:szCs w:val="24"/>
        </w:rPr>
        <w:t>a</w:t>
      </w:r>
      <w:r w:rsidRPr="00785831">
        <w:rPr>
          <w:sz w:val="24"/>
          <w:szCs w:val="24"/>
        </w:rPr>
        <w:t xml:space="preserve">nd </w:t>
      </w:r>
      <w:r w:rsidRPr="00785831">
        <w:rPr>
          <w:spacing w:val="-1"/>
          <w:sz w:val="24"/>
          <w:szCs w:val="24"/>
        </w:rPr>
        <w:t>m</w:t>
      </w:r>
      <w:r w:rsidRPr="00785831">
        <w:rPr>
          <w:sz w:val="24"/>
          <w:szCs w:val="24"/>
        </w:rPr>
        <w:t>ed a</w:t>
      </w:r>
      <w:r w:rsidRPr="00785831">
        <w:rPr>
          <w:spacing w:val="-3"/>
          <w:sz w:val="24"/>
          <w:szCs w:val="24"/>
        </w:rPr>
        <w:t>v</w:t>
      </w:r>
      <w:r w:rsidRPr="00785831">
        <w:rPr>
          <w:spacing w:val="-8"/>
          <w:sz w:val="24"/>
          <w:szCs w:val="24"/>
        </w:rPr>
        <w:t>g</w:t>
      </w:r>
      <w:r w:rsidRPr="00785831">
        <w:rPr>
          <w:sz w:val="24"/>
          <w:szCs w:val="24"/>
        </w:rPr>
        <w:t>i</w:t>
      </w:r>
      <w:r w:rsidRPr="00785831">
        <w:rPr>
          <w:spacing w:val="-1"/>
          <w:sz w:val="24"/>
          <w:szCs w:val="24"/>
        </w:rPr>
        <w:t>ft</w:t>
      </w:r>
      <w:r w:rsidRPr="00785831">
        <w:rPr>
          <w:sz w:val="24"/>
          <w:szCs w:val="24"/>
        </w:rPr>
        <w:t xml:space="preserve">ning </w:t>
      </w:r>
      <w:r w:rsidRPr="00785831">
        <w:rPr>
          <w:spacing w:val="-1"/>
          <w:sz w:val="24"/>
          <w:szCs w:val="24"/>
        </w:rPr>
        <w:t>b</w:t>
      </w:r>
      <w:r w:rsidRPr="00785831">
        <w:rPr>
          <w:spacing w:val="-3"/>
          <w:sz w:val="24"/>
          <w:szCs w:val="24"/>
        </w:rPr>
        <w:t>ö</w:t>
      </w:r>
      <w:r w:rsidRPr="00785831">
        <w:rPr>
          <w:sz w:val="24"/>
          <w:szCs w:val="24"/>
        </w:rPr>
        <w:t xml:space="preserve">r </w:t>
      </w:r>
      <w:r w:rsidRPr="00785831">
        <w:rPr>
          <w:spacing w:val="-1"/>
          <w:sz w:val="24"/>
          <w:szCs w:val="24"/>
        </w:rPr>
        <w:t>t</w:t>
      </w:r>
      <w:r w:rsidRPr="00785831">
        <w:rPr>
          <w:sz w:val="24"/>
          <w:szCs w:val="24"/>
        </w:rPr>
        <w:t>i</w:t>
      </w:r>
      <w:r w:rsidRPr="00785831">
        <w:rPr>
          <w:spacing w:val="-2"/>
          <w:sz w:val="24"/>
          <w:szCs w:val="24"/>
        </w:rPr>
        <w:t>a</w:t>
      </w:r>
      <w:r w:rsidRPr="00785831">
        <w:rPr>
          <w:spacing w:val="-1"/>
          <w:sz w:val="24"/>
          <w:szCs w:val="24"/>
        </w:rPr>
        <w:t>m</w:t>
      </w:r>
      <w:r w:rsidRPr="00785831">
        <w:rPr>
          <w:sz w:val="24"/>
          <w:szCs w:val="24"/>
        </w:rPr>
        <w:t xml:space="preserve">in </w:t>
      </w:r>
      <w:r w:rsidRPr="00785831">
        <w:rPr>
          <w:spacing w:val="-8"/>
          <w:sz w:val="24"/>
          <w:szCs w:val="24"/>
        </w:rPr>
        <w:t>g</w:t>
      </w:r>
      <w:r w:rsidRPr="00785831">
        <w:rPr>
          <w:sz w:val="24"/>
          <w:szCs w:val="24"/>
        </w:rPr>
        <w:t>es i i</w:t>
      </w:r>
      <w:r w:rsidRPr="00785831">
        <w:rPr>
          <w:spacing w:val="-1"/>
          <w:sz w:val="24"/>
          <w:szCs w:val="24"/>
        </w:rPr>
        <w:t>n</w:t>
      </w:r>
      <w:r w:rsidRPr="00785831">
        <w:rPr>
          <w:sz w:val="24"/>
          <w:szCs w:val="24"/>
        </w:rPr>
        <w:t>jek</w:t>
      </w:r>
      <w:r w:rsidRPr="00785831">
        <w:rPr>
          <w:spacing w:val="-3"/>
          <w:sz w:val="24"/>
          <w:szCs w:val="24"/>
        </w:rPr>
        <w:t>tio</w:t>
      </w:r>
      <w:r w:rsidRPr="00785831">
        <w:rPr>
          <w:spacing w:val="-1"/>
          <w:sz w:val="24"/>
          <w:szCs w:val="24"/>
        </w:rPr>
        <w:t>n</w:t>
      </w:r>
      <w:r w:rsidRPr="00785831">
        <w:rPr>
          <w:spacing w:val="-5"/>
          <w:sz w:val="24"/>
          <w:szCs w:val="24"/>
        </w:rPr>
        <w:t>s</w:t>
      </w:r>
      <w:r w:rsidRPr="00785831">
        <w:rPr>
          <w:spacing w:val="-1"/>
          <w:sz w:val="24"/>
          <w:szCs w:val="24"/>
        </w:rPr>
        <w:t>fo</w:t>
      </w:r>
      <w:r w:rsidRPr="00785831">
        <w:rPr>
          <w:spacing w:val="-9"/>
          <w:sz w:val="24"/>
          <w:szCs w:val="24"/>
        </w:rPr>
        <w:t>r</w:t>
      </w:r>
      <w:r w:rsidRPr="00785831">
        <w:rPr>
          <w:sz w:val="24"/>
          <w:szCs w:val="24"/>
        </w:rPr>
        <w:t xml:space="preserve">m </w:t>
      </w:r>
      <w:r w:rsidRPr="00785831">
        <w:rPr>
          <w:spacing w:val="-1"/>
          <w:sz w:val="24"/>
          <w:szCs w:val="24"/>
        </w:rPr>
        <w:t>p</w:t>
      </w:r>
      <w:r w:rsidRPr="00785831">
        <w:rPr>
          <w:spacing w:val="-2"/>
          <w:sz w:val="24"/>
          <w:szCs w:val="24"/>
        </w:rPr>
        <w:t>g</w:t>
      </w:r>
      <w:r w:rsidRPr="00785831">
        <w:rPr>
          <w:sz w:val="24"/>
          <w:szCs w:val="24"/>
        </w:rPr>
        <w:t>a. d</w:t>
      </w:r>
      <w:r w:rsidRPr="00785831">
        <w:rPr>
          <w:spacing w:val="-2"/>
          <w:sz w:val="24"/>
          <w:szCs w:val="24"/>
        </w:rPr>
        <w:t>å</w:t>
      </w:r>
      <w:r w:rsidRPr="00785831">
        <w:rPr>
          <w:spacing w:val="-3"/>
          <w:sz w:val="24"/>
          <w:szCs w:val="24"/>
        </w:rPr>
        <w:t>l</w:t>
      </w:r>
      <w:r w:rsidRPr="00785831">
        <w:rPr>
          <w:sz w:val="24"/>
          <w:szCs w:val="24"/>
        </w:rPr>
        <w:t>i</w:t>
      </w:r>
      <w:r w:rsidRPr="00785831">
        <w:rPr>
          <w:spacing w:val="-2"/>
          <w:sz w:val="24"/>
          <w:szCs w:val="24"/>
        </w:rPr>
        <w:t>g</w:t>
      </w:r>
      <w:r w:rsidRPr="00785831">
        <w:rPr>
          <w:sz w:val="24"/>
          <w:szCs w:val="24"/>
        </w:rPr>
        <w:t xml:space="preserve">t </w:t>
      </w:r>
      <w:r w:rsidRPr="00785831">
        <w:rPr>
          <w:spacing w:val="-3"/>
          <w:sz w:val="24"/>
          <w:szCs w:val="24"/>
        </w:rPr>
        <w:t>up</w:t>
      </w:r>
      <w:r w:rsidRPr="00785831">
        <w:rPr>
          <w:sz w:val="24"/>
          <w:szCs w:val="24"/>
        </w:rPr>
        <w:t xml:space="preserve">ptag </w:t>
      </w:r>
      <w:r w:rsidRPr="00785831">
        <w:rPr>
          <w:spacing w:val="-3"/>
          <w:sz w:val="24"/>
          <w:szCs w:val="24"/>
        </w:rPr>
        <w:t>v</w:t>
      </w:r>
      <w:r w:rsidRPr="00785831">
        <w:rPr>
          <w:sz w:val="24"/>
          <w:szCs w:val="24"/>
        </w:rPr>
        <w:t>id pe</w:t>
      </w:r>
      <w:r w:rsidRPr="00785831">
        <w:rPr>
          <w:spacing w:val="-1"/>
          <w:sz w:val="24"/>
          <w:szCs w:val="24"/>
        </w:rPr>
        <w:t>ro</w:t>
      </w:r>
      <w:r w:rsidRPr="00785831">
        <w:rPr>
          <w:spacing w:val="-9"/>
          <w:sz w:val="24"/>
          <w:szCs w:val="24"/>
        </w:rPr>
        <w:t>r</w:t>
      </w:r>
      <w:r w:rsidRPr="00785831">
        <w:rPr>
          <w:sz w:val="24"/>
          <w:szCs w:val="24"/>
        </w:rPr>
        <w:t xml:space="preserve">al </w:t>
      </w:r>
      <w:r w:rsidRPr="00785831">
        <w:rPr>
          <w:spacing w:val="-1"/>
          <w:sz w:val="24"/>
          <w:szCs w:val="24"/>
        </w:rPr>
        <w:t>t</w:t>
      </w:r>
      <w:r w:rsidRPr="00785831">
        <w:rPr>
          <w:sz w:val="24"/>
          <w:szCs w:val="24"/>
        </w:rPr>
        <w:t>i</w:t>
      </w:r>
      <w:r w:rsidRPr="00785831">
        <w:rPr>
          <w:spacing w:val="-3"/>
          <w:sz w:val="24"/>
          <w:szCs w:val="24"/>
        </w:rPr>
        <w:t>l</w:t>
      </w:r>
      <w:r w:rsidRPr="00785831">
        <w:rPr>
          <w:sz w:val="24"/>
          <w:szCs w:val="24"/>
        </w:rPr>
        <w:t>l</w:t>
      </w:r>
      <w:r w:rsidRPr="00785831">
        <w:rPr>
          <w:spacing w:val="-1"/>
          <w:sz w:val="24"/>
          <w:szCs w:val="24"/>
        </w:rPr>
        <w:t>för</w:t>
      </w:r>
      <w:r w:rsidRPr="00785831">
        <w:rPr>
          <w:spacing w:val="-2"/>
          <w:sz w:val="24"/>
          <w:szCs w:val="24"/>
        </w:rPr>
        <w:t>se</w:t>
      </w:r>
      <w:r w:rsidRPr="00785831">
        <w:rPr>
          <w:sz w:val="24"/>
          <w:szCs w:val="24"/>
        </w:rPr>
        <w:t>l.</w:t>
      </w:r>
      <w:r w:rsidRPr="00785831">
        <w:rPr>
          <w:spacing w:val="-1"/>
          <w:sz w:val="24"/>
          <w:szCs w:val="24"/>
        </w:rPr>
        <w:t xml:space="preserve"> Vid restsituation välj extempore-beredning Tiamin APL 50</w:t>
      </w:r>
      <w:r w:rsidRPr="00785831">
        <w:rPr>
          <w:sz w:val="24"/>
          <w:szCs w:val="24"/>
        </w:rPr>
        <w:t xml:space="preserve"> </w:t>
      </w:r>
      <w:r w:rsidRPr="00785831">
        <w:rPr>
          <w:spacing w:val="-1"/>
          <w:sz w:val="24"/>
          <w:szCs w:val="24"/>
        </w:rPr>
        <w:t>mg.</w:t>
      </w:r>
      <w:r w:rsidRPr="00785831">
        <w:rPr>
          <w:sz w:val="24"/>
          <w:szCs w:val="24"/>
        </w:rPr>
        <w:t xml:space="preserve"> </w:t>
      </w:r>
      <w:r w:rsidRPr="00785831">
        <w:rPr>
          <w:spacing w:val="-2"/>
          <w:sz w:val="24"/>
          <w:szCs w:val="24"/>
        </w:rPr>
        <w:t>V</w:t>
      </w:r>
      <w:r w:rsidRPr="00785831">
        <w:rPr>
          <w:sz w:val="24"/>
          <w:szCs w:val="24"/>
        </w:rPr>
        <w:t>id d</w:t>
      </w:r>
      <w:r w:rsidRPr="00785831">
        <w:rPr>
          <w:spacing w:val="-2"/>
          <w:sz w:val="24"/>
          <w:szCs w:val="24"/>
        </w:rPr>
        <w:t>å</w:t>
      </w:r>
      <w:r w:rsidRPr="00785831">
        <w:rPr>
          <w:sz w:val="24"/>
          <w:szCs w:val="24"/>
        </w:rPr>
        <w:t>l</w:t>
      </w:r>
      <w:r w:rsidRPr="00785831">
        <w:rPr>
          <w:spacing w:val="-3"/>
          <w:sz w:val="24"/>
          <w:szCs w:val="24"/>
        </w:rPr>
        <w:t>i</w:t>
      </w:r>
      <w:r w:rsidRPr="00785831">
        <w:rPr>
          <w:sz w:val="24"/>
          <w:szCs w:val="24"/>
        </w:rPr>
        <w:t>g nut</w:t>
      </w:r>
      <w:r w:rsidRPr="00785831">
        <w:rPr>
          <w:spacing w:val="-1"/>
          <w:sz w:val="24"/>
          <w:szCs w:val="24"/>
        </w:rPr>
        <w:t>r</w:t>
      </w:r>
      <w:r w:rsidRPr="00785831">
        <w:rPr>
          <w:sz w:val="24"/>
          <w:szCs w:val="24"/>
        </w:rPr>
        <w:t>i</w:t>
      </w:r>
      <w:r w:rsidRPr="00785831">
        <w:rPr>
          <w:spacing w:val="-1"/>
          <w:sz w:val="24"/>
          <w:szCs w:val="24"/>
        </w:rPr>
        <w:t>t</w:t>
      </w:r>
      <w:r w:rsidRPr="00785831">
        <w:rPr>
          <w:sz w:val="24"/>
          <w:szCs w:val="24"/>
        </w:rPr>
        <w:t>ion</w:t>
      </w:r>
      <w:r w:rsidRPr="00785831">
        <w:rPr>
          <w:spacing w:val="-5"/>
          <w:sz w:val="24"/>
          <w:szCs w:val="24"/>
        </w:rPr>
        <w:t>s</w:t>
      </w:r>
      <w:r w:rsidRPr="00785831">
        <w:rPr>
          <w:spacing w:val="-2"/>
          <w:sz w:val="24"/>
          <w:szCs w:val="24"/>
        </w:rPr>
        <w:t>s</w:t>
      </w:r>
      <w:r w:rsidRPr="00785831">
        <w:rPr>
          <w:spacing w:val="-3"/>
          <w:sz w:val="24"/>
          <w:szCs w:val="24"/>
        </w:rPr>
        <w:t>t</w:t>
      </w:r>
      <w:r w:rsidRPr="00785831">
        <w:rPr>
          <w:sz w:val="24"/>
          <w:szCs w:val="24"/>
        </w:rPr>
        <w:t xml:space="preserve">atus </w:t>
      </w:r>
      <w:r w:rsidRPr="00785831">
        <w:rPr>
          <w:spacing w:val="-2"/>
          <w:sz w:val="24"/>
          <w:szCs w:val="24"/>
        </w:rPr>
        <w:t>k</w:t>
      </w:r>
      <w:r w:rsidRPr="00785831">
        <w:rPr>
          <w:sz w:val="24"/>
          <w:szCs w:val="24"/>
        </w:rPr>
        <w:t>an d</w:t>
      </w:r>
      <w:r w:rsidRPr="00785831">
        <w:rPr>
          <w:spacing w:val="-2"/>
          <w:sz w:val="24"/>
          <w:szCs w:val="24"/>
        </w:rPr>
        <w:t>e</w:t>
      </w:r>
      <w:r w:rsidRPr="00785831">
        <w:rPr>
          <w:sz w:val="24"/>
          <w:szCs w:val="24"/>
        </w:rPr>
        <w:t xml:space="preserve">t </w:t>
      </w:r>
      <w:r w:rsidRPr="00785831">
        <w:rPr>
          <w:spacing w:val="-1"/>
          <w:sz w:val="24"/>
          <w:szCs w:val="24"/>
        </w:rPr>
        <w:t>f</w:t>
      </w:r>
      <w:r w:rsidRPr="00785831">
        <w:rPr>
          <w:spacing w:val="-3"/>
          <w:sz w:val="24"/>
          <w:szCs w:val="24"/>
        </w:rPr>
        <w:t>i</w:t>
      </w:r>
      <w:r w:rsidRPr="00785831">
        <w:rPr>
          <w:spacing w:val="-1"/>
          <w:sz w:val="24"/>
          <w:szCs w:val="24"/>
        </w:rPr>
        <w:t>n</w:t>
      </w:r>
      <w:r w:rsidRPr="00785831">
        <w:rPr>
          <w:spacing w:val="-3"/>
          <w:sz w:val="24"/>
          <w:szCs w:val="24"/>
        </w:rPr>
        <w:t>n</w:t>
      </w:r>
      <w:r w:rsidRPr="00785831">
        <w:rPr>
          <w:sz w:val="24"/>
          <w:szCs w:val="24"/>
        </w:rPr>
        <w:t xml:space="preserve">as </w:t>
      </w:r>
      <w:r w:rsidRPr="00785831">
        <w:rPr>
          <w:spacing w:val="-2"/>
          <w:sz w:val="24"/>
          <w:szCs w:val="24"/>
        </w:rPr>
        <w:t>sk</w:t>
      </w:r>
      <w:r w:rsidRPr="00785831">
        <w:rPr>
          <w:sz w:val="24"/>
          <w:szCs w:val="24"/>
        </w:rPr>
        <w:t xml:space="preserve">äl att </w:t>
      </w:r>
      <w:r w:rsidRPr="00785831">
        <w:rPr>
          <w:spacing w:val="-3"/>
          <w:sz w:val="24"/>
          <w:szCs w:val="24"/>
        </w:rPr>
        <w:t>ko</w:t>
      </w:r>
      <w:r w:rsidRPr="00785831">
        <w:rPr>
          <w:spacing w:val="-1"/>
          <w:sz w:val="24"/>
          <w:szCs w:val="24"/>
        </w:rPr>
        <w:t>mb</w:t>
      </w:r>
      <w:r w:rsidRPr="00785831">
        <w:rPr>
          <w:sz w:val="24"/>
          <w:szCs w:val="24"/>
        </w:rPr>
        <w:t>i</w:t>
      </w:r>
      <w:r w:rsidRPr="00785831">
        <w:rPr>
          <w:spacing w:val="-5"/>
          <w:sz w:val="24"/>
          <w:szCs w:val="24"/>
        </w:rPr>
        <w:t>n</w:t>
      </w:r>
      <w:r w:rsidRPr="00785831">
        <w:rPr>
          <w:sz w:val="24"/>
          <w:szCs w:val="24"/>
        </w:rPr>
        <w:t>e</w:t>
      </w:r>
      <w:r w:rsidRPr="00785831">
        <w:rPr>
          <w:spacing w:val="-6"/>
          <w:sz w:val="24"/>
          <w:szCs w:val="24"/>
        </w:rPr>
        <w:t>r</w:t>
      </w:r>
      <w:r w:rsidRPr="00785831">
        <w:rPr>
          <w:sz w:val="24"/>
          <w:szCs w:val="24"/>
        </w:rPr>
        <w:t xml:space="preserve">a </w:t>
      </w:r>
      <w:r w:rsidRPr="00785831">
        <w:rPr>
          <w:spacing w:val="-7"/>
          <w:sz w:val="24"/>
          <w:szCs w:val="24"/>
        </w:rPr>
        <w:t>m</w:t>
      </w:r>
      <w:r w:rsidRPr="00785831">
        <w:rPr>
          <w:sz w:val="24"/>
          <w:szCs w:val="24"/>
        </w:rPr>
        <w:t xml:space="preserve">ed </w:t>
      </w:r>
      <w:r w:rsidRPr="00D55F90">
        <w:rPr>
          <w:spacing w:val="-5"/>
          <w:sz w:val="24"/>
          <w:szCs w:val="24"/>
        </w:rPr>
        <w:t>folsyra</w:t>
      </w:r>
      <w:r w:rsidRPr="00785831">
        <w:rPr>
          <w:sz w:val="24"/>
          <w:szCs w:val="24"/>
        </w:rPr>
        <w:t xml:space="preserve"> (</w:t>
      </w:r>
      <w:r w:rsidRPr="00785831">
        <w:rPr>
          <w:rFonts w:cs="Garamond"/>
          <w:spacing w:val="-5"/>
          <w:sz w:val="24"/>
          <w:szCs w:val="24"/>
        </w:rPr>
        <w:t>F</w:t>
      </w:r>
      <w:r w:rsidRPr="00785831">
        <w:rPr>
          <w:rFonts w:cs="Garamond"/>
          <w:spacing w:val="-1"/>
          <w:sz w:val="24"/>
          <w:szCs w:val="24"/>
        </w:rPr>
        <w:t>o</w:t>
      </w:r>
      <w:r w:rsidRPr="00785831">
        <w:rPr>
          <w:rFonts w:cs="Garamond"/>
          <w:spacing w:val="-3"/>
          <w:sz w:val="24"/>
          <w:szCs w:val="24"/>
        </w:rPr>
        <w:t>l</w:t>
      </w:r>
      <w:r w:rsidRPr="00785831">
        <w:rPr>
          <w:rFonts w:cs="Garamond"/>
          <w:sz w:val="24"/>
          <w:szCs w:val="24"/>
        </w:rPr>
        <w:t>acin)</w:t>
      </w:r>
      <w:r w:rsidRPr="00785831">
        <w:rPr>
          <w:sz w:val="24"/>
          <w:szCs w:val="24"/>
        </w:rPr>
        <w:t xml:space="preserve">. </w:t>
      </w:r>
    </w:p>
    <w:p w14:paraId="0DBB3F46" w14:textId="77777777" w:rsidR="00702564" w:rsidRPr="0071138D" w:rsidRDefault="00702564" w:rsidP="00702564">
      <w:pPr>
        <w:pStyle w:val="Rubrik3"/>
      </w:pPr>
      <w:r>
        <w:t>Byte av läkemedel</w:t>
      </w:r>
    </w:p>
    <w:p w14:paraId="63770EBC" w14:textId="77777777" w:rsidR="00702564" w:rsidRPr="00785831" w:rsidRDefault="00702564" w:rsidP="00702564">
      <w:pPr>
        <w:spacing w:before="120"/>
        <w:rPr>
          <w:sz w:val="24"/>
          <w:szCs w:val="24"/>
        </w:rPr>
      </w:pPr>
      <w:r w:rsidRPr="3A20558F">
        <w:rPr>
          <w:sz w:val="24"/>
          <w:szCs w:val="24"/>
        </w:rPr>
        <w:t xml:space="preserve">Om behandling med naltrexon och/eller disulfiram orsakar för besvärande biverkningar eller påverkar levern negativt, kan dessa läkemedel bytas till akamprosat. </w:t>
      </w:r>
    </w:p>
    <w:p w14:paraId="697D25E0" w14:textId="77777777" w:rsidR="00702564" w:rsidRPr="0071138D" w:rsidRDefault="00702564" w:rsidP="00702564">
      <w:pPr>
        <w:pStyle w:val="Rubrik3"/>
      </w:pPr>
      <w:r>
        <w:t>Utsättning av läkemedel</w:t>
      </w:r>
    </w:p>
    <w:p w14:paraId="0122EB94" w14:textId="77777777" w:rsidR="00702564" w:rsidRDefault="00702564" w:rsidP="00702564">
      <w:pPr>
        <w:spacing w:before="120"/>
      </w:pPr>
      <w:r w:rsidRPr="3A20558F">
        <w:rPr>
          <w:sz w:val="24"/>
          <w:szCs w:val="24"/>
        </w:rPr>
        <w:t>Akamprosat, naltrexon och disulfiram kan sättas ut utan nedtrappning.</w:t>
      </w:r>
    </w:p>
    <w:p w14:paraId="33B44124" w14:textId="77777777" w:rsidR="00702564" w:rsidRPr="0007589F" w:rsidRDefault="00702564" w:rsidP="00702564">
      <w:pPr>
        <w:pStyle w:val="Rubrik3"/>
      </w:pPr>
      <w:r>
        <w:t>Länkar och referenser</w:t>
      </w:r>
    </w:p>
    <w:p w14:paraId="2533DAA6" w14:textId="77777777" w:rsidR="00702564" w:rsidRPr="0086709B" w:rsidRDefault="00702564" w:rsidP="00702564">
      <w:pPr>
        <w:spacing w:before="120"/>
        <w:rPr>
          <w:color w:val="0070C0"/>
        </w:rPr>
      </w:pPr>
      <w:hyperlink r:id="rId143" w:history="1">
        <w:r w:rsidRPr="0086709B">
          <w:rPr>
            <w:color w:val="0070C0"/>
            <w:u w:val="single"/>
          </w:rPr>
          <w:t>Nationella riktlinjer för vård och stöd vid missbruk och beroende - Socialstyrelsen</w:t>
        </w:r>
      </w:hyperlink>
      <w:r w:rsidRPr="0086709B">
        <w:rPr>
          <w:color w:val="0070C0"/>
        </w:rPr>
        <w:t>, 2019</w:t>
      </w:r>
      <w:r w:rsidRPr="0086709B">
        <w:rPr>
          <w:color w:val="0070C0"/>
        </w:rPr>
        <w:br/>
      </w:r>
      <w:hyperlink r:id="rId144" w:history="1">
        <w:r w:rsidRPr="0086709B">
          <w:rPr>
            <w:rStyle w:val="Hyperlnk"/>
            <w:color w:val="0070C0"/>
            <w:spacing w:val="-1"/>
          </w:rPr>
          <w:t>L</w:t>
        </w:r>
        <w:r w:rsidRPr="0086709B">
          <w:rPr>
            <w:rStyle w:val="Hyperlnk"/>
            <w:color w:val="0070C0"/>
          </w:rPr>
          <w:t>äk</w:t>
        </w:r>
        <w:r w:rsidRPr="0086709B">
          <w:rPr>
            <w:rStyle w:val="Hyperlnk"/>
            <w:color w:val="0070C0"/>
            <w:spacing w:val="-2"/>
          </w:rPr>
          <w:t>e</w:t>
        </w:r>
        <w:r w:rsidRPr="0086709B">
          <w:rPr>
            <w:rStyle w:val="Hyperlnk"/>
            <w:color w:val="0070C0"/>
            <w:spacing w:val="-1"/>
          </w:rPr>
          <w:t>m</w:t>
        </w:r>
        <w:r w:rsidRPr="0086709B">
          <w:rPr>
            <w:rStyle w:val="Hyperlnk"/>
            <w:color w:val="0070C0"/>
            <w:spacing w:val="-2"/>
          </w:rPr>
          <w:t>e</w:t>
        </w:r>
        <w:r w:rsidRPr="0086709B">
          <w:rPr>
            <w:rStyle w:val="Hyperlnk"/>
            <w:color w:val="0070C0"/>
          </w:rPr>
          <w:t>d</w:t>
        </w:r>
        <w:r w:rsidRPr="0086709B">
          <w:rPr>
            <w:rStyle w:val="Hyperlnk"/>
            <w:color w:val="0070C0"/>
            <w:spacing w:val="-2"/>
          </w:rPr>
          <w:t>e</w:t>
        </w:r>
        <w:r w:rsidRPr="0086709B">
          <w:rPr>
            <w:rStyle w:val="Hyperlnk"/>
            <w:color w:val="0070C0"/>
          </w:rPr>
          <w:t>l</w:t>
        </w:r>
        <w:r w:rsidRPr="0086709B">
          <w:rPr>
            <w:rStyle w:val="Hyperlnk"/>
            <w:color w:val="0070C0"/>
            <w:spacing w:val="-2"/>
          </w:rPr>
          <w:t>s</w:t>
        </w:r>
        <w:r w:rsidRPr="0086709B">
          <w:rPr>
            <w:rStyle w:val="Hyperlnk"/>
            <w:color w:val="0070C0"/>
            <w:spacing w:val="-3"/>
          </w:rPr>
          <w:t>b</w:t>
        </w:r>
        <w:r w:rsidRPr="0086709B">
          <w:rPr>
            <w:rStyle w:val="Hyperlnk"/>
            <w:color w:val="0070C0"/>
            <w:spacing w:val="-1"/>
          </w:rPr>
          <w:t>o</w:t>
        </w:r>
        <w:r w:rsidRPr="0086709B">
          <w:rPr>
            <w:rStyle w:val="Hyperlnk"/>
            <w:color w:val="0070C0"/>
            <w:spacing w:val="-3"/>
          </w:rPr>
          <w:t>k</w:t>
        </w:r>
        <w:r w:rsidRPr="0086709B">
          <w:rPr>
            <w:rStyle w:val="Hyperlnk"/>
            <w:color w:val="0070C0"/>
          </w:rPr>
          <w:t>en</w:t>
        </w:r>
        <w:r w:rsidRPr="0086709B">
          <w:rPr>
            <w:rStyle w:val="Hyperlnk"/>
            <w:color w:val="0070C0"/>
            <w:spacing w:val="-15"/>
          </w:rPr>
          <w:t xml:space="preserve"> </w:t>
        </w:r>
        <w:r w:rsidRPr="0086709B">
          <w:rPr>
            <w:rStyle w:val="Hyperlnk"/>
            <w:color w:val="0070C0"/>
          </w:rPr>
          <w:t>2</w:t>
        </w:r>
        <w:r w:rsidRPr="0086709B">
          <w:rPr>
            <w:rStyle w:val="Hyperlnk"/>
            <w:color w:val="0070C0"/>
            <w:spacing w:val="-6"/>
          </w:rPr>
          <w:t>018</w:t>
        </w:r>
        <w:r w:rsidRPr="0086709B">
          <w:rPr>
            <w:rStyle w:val="Hyperlnk"/>
            <w:color w:val="0070C0"/>
          </w:rPr>
          <w:t>,</w:t>
        </w:r>
        <w:r w:rsidRPr="0086709B">
          <w:rPr>
            <w:rStyle w:val="Hyperlnk"/>
            <w:color w:val="0070C0"/>
            <w:spacing w:val="-13"/>
          </w:rPr>
          <w:t xml:space="preserve"> </w:t>
        </w:r>
        <w:r w:rsidRPr="0086709B">
          <w:rPr>
            <w:rStyle w:val="Hyperlnk"/>
            <w:color w:val="0070C0"/>
            <w:spacing w:val="-5"/>
          </w:rPr>
          <w:t>B</w:t>
        </w:r>
        <w:r w:rsidRPr="0086709B">
          <w:rPr>
            <w:rStyle w:val="Hyperlnk"/>
            <w:color w:val="0070C0"/>
          </w:rPr>
          <w:t>e</w:t>
        </w:r>
        <w:r w:rsidRPr="0086709B">
          <w:rPr>
            <w:rStyle w:val="Hyperlnk"/>
            <w:color w:val="0070C0"/>
            <w:spacing w:val="-1"/>
          </w:rPr>
          <w:t>ro</w:t>
        </w:r>
        <w:r w:rsidRPr="0086709B">
          <w:rPr>
            <w:rStyle w:val="Hyperlnk"/>
            <w:color w:val="0070C0"/>
            <w:spacing w:val="-2"/>
          </w:rPr>
          <w:t>e</w:t>
        </w:r>
        <w:r w:rsidRPr="0086709B">
          <w:rPr>
            <w:rStyle w:val="Hyperlnk"/>
            <w:color w:val="0070C0"/>
            <w:spacing w:val="-1"/>
          </w:rPr>
          <w:t>n</w:t>
        </w:r>
        <w:r w:rsidRPr="0086709B">
          <w:rPr>
            <w:rStyle w:val="Hyperlnk"/>
            <w:color w:val="0070C0"/>
          </w:rPr>
          <w:t>d</w:t>
        </w:r>
        <w:r w:rsidRPr="0086709B">
          <w:rPr>
            <w:rStyle w:val="Hyperlnk"/>
            <w:color w:val="0070C0"/>
            <w:spacing w:val="-5"/>
          </w:rPr>
          <w:t>e</w:t>
        </w:r>
        <w:r w:rsidRPr="0086709B">
          <w:rPr>
            <w:rStyle w:val="Hyperlnk"/>
            <w:color w:val="0070C0"/>
            <w:spacing w:val="-3"/>
          </w:rPr>
          <w:t>t</w:t>
        </w:r>
        <w:r w:rsidRPr="0086709B">
          <w:rPr>
            <w:rStyle w:val="Hyperlnk"/>
            <w:color w:val="0070C0"/>
          </w:rPr>
          <w:t>i</w:t>
        </w:r>
        <w:r w:rsidRPr="0086709B">
          <w:rPr>
            <w:rStyle w:val="Hyperlnk"/>
            <w:color w:val="0070C0"/>
            <w:spacing w:val="-3"/>
          </w:rPr>
          <w:t>l</w:t>
        </w:r>
        <w:r w:rsidRPr="0086709B">
          <w:rPr>
            <w:rStyle w:val="Hyperlnk"/>
            <w:color w:val="0070C0"/>
          </w:rPr>
          <w:t>l</w:t>
        </w:r>
        <w:r w:rsidRPr="0086709B">
          <w:rPr>
            <w:rStyle w:val="Hyperlnk"/>
            <w:color w:val="0070C0"/>
            <w:spacing w:val="-2"/>
          </w:rPr>
          <w:t>s</w:t>
        </w:r>
        <w:r w:rsidRPr="0086709B">
          <w:rPr>
            <w:rStyle w:val="Hyperlnk"/>
            <w:color w:val="0070C0"/>
            <w:spacing w:val="-3"/>
          </w:rPr>
          <w:t>t</w:t>
        </w:r>
        <w:r w:rsidRPr="0086709B">
          <w:rPr>
            <w:rStyle w:val="Hyperlnk"/>
            <w:color w:val="0070C0"/>
          </w:rPr>
          <w:t>ånd;</w:t>
        </w:r>
        <w:r w:rsidRPr="0086709B">
          <w:rPr>
            <w:rStyle w:val="Hyperlnk"/>
            <w:color w:val="0070C0"/>
            <w:spacing w:val="-16"/>
          </w:rPr>
          <w:t xml:space="preserve"> </w:t>
        </w:r>
        <w:r w:rsidRPr="0086709B">
          <w:rPr>
            <w:rStyle w:val="Hyperlnk"/>
            <w:color w:val="0070C0"/>
          </w:rPr>
          <w:t>A</w:t>
        </w:r>
        <w:r w:rsidRPr="0086709B">
          <w:rPr>
            <w:rStyle w:val="Hyperlnk"/>
            <w:color w:val="0070C0"/>
            <w:spacing w:val="-3"/>
          </w:rPr>
          <w:t>lk</w:t>
        </w:r>
        <w:r w:rsidRPr="0086709B">
          <w:rPr>
            <w:rStyle w:val="Hyperlnk"/>
            <w:color w:val="0070C0"/>
          </w:rPr>
          <w:t>o</w:t>
        </w:r>
        <w:r w:rsidRPr="0086709B">
          <w:rPr>
            <w:rStyle w:val="Hyperlnk"/>
            <w:color w:val="0070C0"/>
            <w:spacing w:val="-3"/>
          </w:rPr>
          <w:t>h</w:t>
        </w:r>
        <w:r w:rsidRPr="0086709B">
          <w:rPr>
            <w:rStyle w:val="Hyperlnk"/>
            <w:color w:val="0070C0"/>
            <w:spacing w:val="-1"/>
          </w:rPr>
          <w:t>o</w:t>
        </w:r>
        <w:r w:rsidRPr="0086709B">
          <w:rPr>
            <w:rStyle w:val="Hyperlnk"/>
            <w:color w:val="0070C0"/>
          </w:rPr>
          <w:t>l-</w:t>
        </w:r>
        <w:r w:rsidRPr="0086709B">
          <w:rPr>
            <w:rStyle w:val="Hyperlnk"/>
            <w:color w:val="0070C0"/>
            <w:spacing w:val="-14"/>
          </w:rPr>
          <w:t xml:space="preserve"> </w:t>
        </w:r>
        <w:r w:rsidRPr="0086709B">
          <w:rPr>
            <w:rStyle w:val="Hyperlnk"/>
            <w:color w:val="0070C0"/>
            <w:spacing w:val="-1"/>
          </w:rPr>
          <w:t>r</w:t>
        </w:r>
        <w:r w:rsidRPr="0086709B">
          <w:rPr>
            <w:rStyle w:val="Hyperlnk"/>
            <w:color w:val="0070C0"/>
            <w:spacing w:val="-3"/>
          </w:rPr>
          <w:t>i</w:t>
        </w:r>
        <w:r w:rsidRPr="0086709B">
          <w:rPr>
            <w:rStyle w:val="Hyperlnk"/>
            <w:color w:val="0070C0"/>
            <w:spacing w:val="-2"/>
          </w:rPr>
          <w:t>s</w:t>
        </w:r>
        <w:r w:rsidRPr="0086709B">
          <w:rPr>
            <w:rStyle w:val="Hyperlnk"/>
            <w:color w:val="0070C0"/>
          </w:rPr>
          <w:t>kb</w:t>
        </w:r>
        <w:r w:rsidRPr="0086709B">
          <w:rPr>
            <w:rStyle w:val="Hyperlnk"/>
            <w:color w:val="0070C0"/>
            <w:spacing w:val="-1"/>
          </w:rPr>
          <w:t>r</w:t>
        </w:r>
        <w:r w:rsidRPr="0086709B">
          <w:rPr>
            <w:rStyle w:val="Hyperlnk"/>
            <w:color w:val="0070C0"/>
          </w:rPr>
          <w:t>uk,</w:t>
        </w:r>
        <w:r w:rsidRPr="0086709B">
          <w:rPr>
            <w:rStyle w:val="Hyperlnk"/>
            <w:color w:val="0070C0"/>
            <w:spacing w:val="-14"/>
          </w:rPr>
          <w:t xml:space="preserve"> </w:t>
        </w:r>
        <w:r w:rsidRPr="0086709B">
          <w:rPr>
            <w:rStyle w:val="Hyperlnk"/>
            <w:color w:val="0070C0"/>
            <w:spacing w:val="-1"/>
          </w:rPr>
          <w:t>skadligt bruk</w:t>
        </w:r>
        <w:r w:rsidRPr="0086709B">
          <w:rPr>
            <w:rStyle w:val="Hyperlnk"/>
            <w:color w:val="0070C0"/>
            <w:spacing w:val="-17"/>
          </w:rPr>
          <w:t xml:space="preserve"> </w:t>
        </w:r>
        <w:r w:rsidRPr="0086709B">
          <w:rPr>
            <w:rStyle w:val="Hyperlnk"/>
            <w:color w:val="0070C0"/>
          </w:rPr>
          <w:t>och</w:t>
        </w:r>
        <w:r w:rsidRPr="0086709B">
          <w:rPr>
            <w:rStyle w:val="Hyperlnk"/>
            <w:color w:val="0070C0"/>
            <w:spacing w:val="-15"/>
          </w:rPr>
          <w:t xml:space="preserve"> </w:t>
        </w:r>
        <w:r w:rsidRPr="0086709B">
          <w:rPr>
            <w:rStyle w:val="Hyperlnk"/>
            <w:color w:val="0070C0"/>
            <w:spacing w:val="-1"/>
          </w:rPr>
          <w:t>b</w:t>
        </w:r>
        <w:r w:rsidRPr="0086709B">
          <w:rPr>
            <w:rStyle w:val="Hyperlnk"/>
            <w:color w:val="0070C0"/>
          </w:rPr>
          <w:t>er</w:t>
        </w:r>
        <w:r w:rsidRPr="0086709B">
          <w:rPr>
            <w:rStyle w:val="Hyperlnk"/>
            <w:color w:val="0070C0"/>
            <w:spacing w:val="-4"/>
          </w:rPr>
          <w:t>o</w:t>
        </w:r>
        <w:r w:rsidRPr="0086709B">
          <w:rPr>
            <w:rStyle w:val="Hyperlnk"/>
            <w:color w:val="0070C0"/>
          </w:rPr>
          <w:t>ende</w:t>
        </w:r>
        <w:r w:rsidRPr="0086709B">
          <w:rPr>
            <w:rStyle w:val="Hyperlnk"/>
            <w:color w:val="0070C0"/>
          </w:rPr>
          <w:br/>
        </w:r>
      </w:hyperlink>
      <w:hyperlink r:id="rId145" w:history="1">
        <w:r w:rsidRPr="0086709B">
          <w:rPr>
            <w:rStyle w:val="Hyperlnk"/>
            <w:color w:val="0070C0"/>
            <w:spacing w:val="1"/>
          </w:rPr>
          <w:t>A</w:t>
        </w:r>
        <w:r w:rsidRPr="0086709B">
          <w:rPr>
            <w:rStyle w:val="Hyperlnk"/>
            <w:color w:val="0070C0"/>
          </w:rPr>
          <w:t>lkohol</w:t>
        </w:r>
        <w:r w:rsidRPr="0086709B">
          <w:rPr>
            <w:rStyle w:val="Hyperlnk"/>
            <w:color w:val="0070C0"/>
            <w:spacing w:val="-3"/>
          </w:rPr>
          <w:t>b</w:t>
        </w:r>
        <w:r w:rsidRPr="0086709B">
          <w:rPr>
            <w:rStyle w:val="Hyperlnk"/>
            <w:color w:val="0070C0"/>
            <w:spacing w:val="-2"/>
          </w:rPr>
          <w:t>e</w:t>
        </w:r>
        <w:r w:rsidRPr="0086709B">
          <w:rPr>
            <w:rStyle w:val="Hyperlnk"/>
            <w:color w:val="0070C0"/>
            <w:spacing w:val="-1"/>
          </w:rPr>
          <w:t>ro</w:t>
        </w:r>
        <w:r w:rsidRPr="0086709B">
          <w:rPr>
            <w:rStyle w:val="Hyperlnk"/>
            <w:color w:val="0070C0"/>
            <w:spacing w:val="-5"/>
          </w:rPr>
          <w:t>e</w:t>
        </w:r>
        <w:r w:rsidRPr="0086709B">
          <w:rPr>
            <w:rStyle w:val="Hyperlnk"/>
            <w:color w:val="0070C0"/>
            <w:spacing w:val="-1"/>
          </w:rPr>
          <w:t>n</w:t>
        </w:r>
        <w:r w:rsidRPr="0086709B">
          <w:rPr>
            <w:rStyle w:val="Hyperlnk"/>
            <w:color w:val="0070C0"/>
            <w:spacing w:val="-3"/>
          </w:rPr>
          <w:t>d</w:t>
        </w:r>
        <w:r w:rsidRPr="0086709B">
          <w:rPr>
            <w:rStyle w:val="Hyperlnk"/>
            <w:color w:val="0070C0"/>
          </w:rPr>
          <w:t>e,</w:t>
        </w:r>
        <w:r w:rsidRPr="0086709B">
          <w:rPr>
            <w:rStyle w:val="Hyperlnk"/>
            <w:color w:val="0070C0"/>
            <w:spacing w:val="-18"/>
          </w:rPr>
          <w:t xml:space="preserve"> </w:t>
        </w:r>
        <w:r w:rsidRPr="0086709B">
          <w:rPr>
            <w:rStyle w:val="Hyperlnk"/>
            <w:color w:val="0070C0"/>
          </w:rPr>
          <w:t>d</w:t>
        </w:r>
        <w:r w:rsidRPr="0086709B">
          <w:rPr>
            <w:rStyle w:val="Hyperlnk"/>
            <w:color w:val="0070C0"/>
            <w:spacing w:val="-5"/>
          </w:rPr>
          <w:t>i</w:t>
        </w:r>
        <w:r w:rsidRPr="0086709B">
          <w:rPr>
            <w:rStyle w:val="Hyperlnk"/>
            <w:color w:val="0070C0"/>
          </w:rPr>
          <w:t>a</w:t>
        </w:r>
        <w:r w:rsidRPr="0086709B">
          <w:rPr>
            <w:rStyle w:val="Hyperlnk"/>
            <w:color w:val="0070C0"/>
            <w:spacing w:val="-2"/>
          </w:rPr>
          <w:t>g</w:t>
        </w:r>
        <w:r w:rsidRPr="0086709B">
          <w:rPr>
            <w:rStyle w:val="Hyperlnk"/>
            <w:color w:val="0070C0"/>
          </w:rPr>
          <w:t>n</w:t>
        </w:r>
        <w:r w:rsidRPr="0086709B">
          <w:rPr>
            <w:rStyle w:val="Hyperlnk"/>
            <w:color w:val="0070C0"/>
            <w:spacing w:val="-1"/>
          </w:rPr>
          <w:t>o</w:t>
        </w:r>
        <w:r w:rsidRPr="0086709B">
          <w:rPr>
            <w:rStyle w:val="Hyperlnk"/>
            <w:color w:val="0070C0"/>
            <w:spacing w:val="-5"/>
          </w:rPr>
          <w:t>s</w:t>
        </w:r>
        <w:r w:rsidRPr="0086709B">
          <w:rPr>
            <w:rStyle w:val="Hyperlnk"/>
            <w:color w:val="0070C0"/>
            <w:spacing w:val="-1"/>
          </w:rPr>
          <w:t>t</w:t>
        </w:r>
        <w:r w:rsidRPr="0086709B">
          <w:rPr>
            <w:rStyle w:val="Hyperlnk"/>
            <w:color w:val="0070C0"/>
          </w:rPr>
          <w:t>ik</w:t>
        </w:r>
        <w:r w:rsidRPr="0086709B">
          <w:rPr>
            <w:rStyle w:val="Hyperlnk"/>
            <w:color w:val="0070C0"/>
            <w:spacing w:val="-14"/>
          </w:rPr>
          <w:t xml:space="preserve"> </w:t>
        </w:r>
        <w:r w:rsidRPr="0086709B">
          <w:rPr>
            <w:rStyle w:val="Hyperlnk"/>
            <w:color w:val="0070C0"/>
          </w:rPr>
          <w:t>o</w:t>
        </w:r>
        <w:r w:rsidRPr="0086709B">
          <w:rPr>
            <w:rStyle w:val="Hyperlnk"/>
            <w:color w:val="0070C0"/>
            <w:spacing w:val="-2"/>
          </w:rPr>
          <w:t>c</w:t>
        </w:r>
        <w:r w:rsidRPr="0086709B">
          <w:rPr>
            <w:rStyle w:val="Hyperlnk"/>
            <w:color w:val="0070C0"/>
          </w:rPr>
          <w:t>h</w:t>
        </w:r>
        <w:r w:rsidRPr="0086709B">
          <w:rPr>
            <w:rStyle w:val="Hyperlnk"/>
            <w:color w:val="0070C0"/>
            <w:spacing w:val="-17"/>
          </w:rPr>
          <w:t xml:space="preserve"> </w:t>
        </w:r>
        <w:r w:rsidRPr="0086709B">
          <w:rPr>
            <w:rStyle w:val="Hyperlnk"/>
            <w:color w:val="0070C0"/>
            <w:spacing w:val="-3"/>
          </w:rPr>
          <w:t>b</w:t>
        </w:r>
        <w:r w:rsidRPr="0086709B">
          <w:rPr>
            <w:rStyle w:val="Hyperlnk"/>
            <w:color w:val="0070C0"/>
          </w:rPr>
          <w:t>e</w:t>
        </w:r>
        <w:r w:rsidRPr="0086709B">
          <w:rPr>
            <w:rStyle w:val="Hyperlnk"/>
            <w:color w:val="0070C0"/>
            <w:spacing w:val="-5"/>
          </w:rPr>
          <w:t>h</w:t>
        </w:r>
        <w:r w:rsidRPr="0086709B">
          <w:rPr>
            <w:rStyle w:val="Hyperlnk"/>
            <w:color w:val="0070C0"/>
          </w:rPr>
          <w:t>and</w:t>
        </w:r>
        <w:r w:rsidRPr="0086709B">
          <w:rPr>
            <w:rStyle w:val="Hyperlnk"/>
            <w:color w:val="0070C0"/>
            <w:spacing w:val="-3"/>
          </w:rPr>
          <w:t>li</w:t>
        </w:r>
        <w:r w:rsidRPr="0086709B">
          <w:rPr>
            <w:rStyle w:val="Hyperlnk"/>
            <w:color w:val="0070C0"/>
          </w:rPr>
          <w:t>n</w:t>
        </w:r>
        <w:r w:rsidRPr="0086709B">
          <w:rPr>
            <w:rStyle w:val="Hyperlnk"/>
            <w:color w:val="0070C0"/>
            <w:spacing w:val="-2"/>
          </w:rPr>
          <w:t>g</w:t>
        </w:r>
        <w:r w:rsidRPr="0086709B">
          <w:rPr>
            <w:rStyle w:val="Hyperlnk"/>
            <w:color w:val="0070C0"/>
          </w:rPr>
          <w:t>,</w:t>
        </w:r>
        <w:r w:rsidRPr="0086709B">
          <w:rPr>
            <w:rStyle w:val="Hyperlnk"/>
            <w:color w:val="0070C0"/>
            <w:spacing w:val="-19"/>
          </w:rPr>
          <w:t xml:space="preserve"> </w:t>
        </w:r>
        <w:r w:rsidRPr="0086709B">
          <w:rPr>
            <w:rStyle w:val="Hyperlnk"/>
            <w:color w:val="0070C0"/>
            <w:spacing w:val="-1"/>
          </w:rPr>
          <w:t>I</w:t>
        </w:r>
        <w:r w:rsidRPr="0086709B">
          <w:rPr>
            <w:rStyle w:val="Hyperlnk"/>
            <w:color w:val="0070C0"/>
          </w:rPr>
          <w:t>nte</w:t>
        </w:r>
        <w:r w:rsidRPr="0086709B">
          <w:rPr>
            <w:rStyle w:val="Hyperlnk"/>
            <w:color w:val="0070C0"/>
            <w:spacing w:val="-1"/>
          </w:rPr>
          <w:t>r</w:t>
        </w:r>
        <w:r w:rsidRPr="0086709B">
          <w:rPr>
            <w:rStyle w:val="Hyperlnk"/>
            <w:color w:val="0070C0"/>
            <w:spacing w:val="-8"/>
          </w:rPr>
          <w:t>n</w:t>
        </w:r>
        <w:r w:rsidRPr="0086709B">
          <w:rPr>
            <w:rStyle w:val="Hyperlnk"/>
            <w:color w:val="0070C0"/>
          </w:rPr>
          <w:t>e</w:t>
        </w:r>
        <w:r w:rsidRPr="0086709B">
          <w:rPr>
            <w:rStyle w:val="Hyperlnk"/>
            <w:color w:val="0070C0"/>
            <w:spacing w:val="-3"/>
          </w:rPr>
          <w:t>t</w:t>
        </w:r>
        <w:r w:rsidRPr="0086709B">
          <w:rPr>
            <w:rStyle w:val="Hyperlnk"/>
            <w:color w:val="0070C0"/>
            <w:spacing w:val="-1"/>
          </w:rPr>
          <w:t>m</w:t>
        </w:r>
        <w:r w:rsidRPr="0086709B">
          <w:rPr>
            <w:rStyle w:val="Hyperlnk"/>
            <w:color w:val="0070C0"/>
          </w:rPr>
          <w:t>ed</w:t>
        </w:r>
        <w:r w:rsidRPr="0086709B">
          <w:rPr>
            <w:rStyle w:val="Hyperlnk"/>
            <w:color w:val="0070C0"/>
            <w:spacing w:val="-2"/>
          </w:rPr>
          <w:t>i</w:t>
        </w:r>
        <w:r w:rsidRPr="0086709B">
          <w:rPr>
            <w:rStyle w:val="Hyperlnk"/>
            <w:color w:val="0070C0"/>
          </w:rPr>
          <w:t>c</w:t>
        </w:r>
        <w:r w:rsidRPr="0086709B">
          <w:rPr>
            <w:rStyle w:val="Hyperlnk"/>
            <w:color w:val="0070C0"/>
            <w:spacing w:val="1"/>
          </w:rPr>
          <w:t>i</w:t>
        </w:r>
        <w:r w:rsidRPr="0086709B">
          <w:rPr>
            <w:rStyle w:val="Hyperlnk"/>
            <w:color w:val="0070C0"/>
            <w:spacing w:val="-3"/>
          </w:rPr>
          <w:t>n</w:t>
        </w:r>
        <w:r w:rsidRPr="0086709B">
          <w:rPr>
            <w:rStyle w:val="Hyperlnk"/>
            <w:color w:val="0070C0"/>
          </w:rPr>
          <w:t>,</w:t>
        </w:r>
        <w:r w:rsidRPr="0086709B">
          <w:rPr>
            <w:rStyle w:val="Hyperlnk"/>
            <w:color w:val="0070C0"/>
            <w:spacing w:val="-17"/>
          </w:rPr>
          <w:t xml:space="preserve"> </w:t>
        </w:r>
        <w:r w:rsidRPr="0086709B">
          <w:rPr>
            <w:rStyle w:val="Hyperlnk"/>
            <w:color w:val="0070C0"/>
            <w:spacing w:val="-3"/>
          </w:rPr>
          <w:t>2</w:t>
        </w:r>
        <w:r w:rsidRPr="0086709B">
          <w:rPr>
            <w:rStyle w:val="Hyperlnk"/>
            <w:color w:val="0070C0"/>
          </w:rPr>
          <w:t>024</w:t>
        </w:r>
        <w:r w:rsidRPr="0086709B">
          <w:rPr>
            <w:rStyle w:val="Hyperlnk"/>
            <w:color w:val="0070C0"/>
            <w:spacing w:val="-6"/>
          </w:rPr>
          <w:t>-01-05</w:t>
        </w:r>
      </w:hyperlink>
      <w:r w:rsidRPr="0086709B">
        <w:rPr>
          <w:color w:val="0070C0"/>
        </w:rPr>
        <w:t xml:space="preserve"> </w:t>
      </w:r>
    </w:p>
    <w:p w14:paraId="5157C5BE" w14:textId="77777777" w:rsidR="00702564" w:rsidRDefault="00702564" w:rsidP="00702564">
      <w:pPr>
        <w:tabs>
          <w:tab w:val="clear" w:pos="284"/>
        </w:tabs>
        <w:spacing w:after="120" w:line="260" w:lineRule="atLeast"/>
      </w:pPr>
      <w:r>
        <w:br w:type="page"/>
      </w:r>
    </w:p>
    <w:p w14:paraId="2F49EB65" w14:textId="77777777" w:rsidR="00702564" w:rsidRPr="0071138D" w:rsidRDefault="00702564" w:rsidP="00702564">
      <w:pPr>
        <w:pStyle w:val="Rubrik2"/>
      </w:pPr>
      <w:r>
        <w:lastRenderedPageBreak/>
        <w:t>Sömnstörning</w:t>
      </w:r>
    </w:p>
    <w:p w14:paraId="41D849EC" w14:textId="77777777" w:rsidR="00702564" w:rsidRPr="0071138D" w:rsidRDefault="00702564" w:rsidP="00702564">
      <w:pPr>
        <w:rPr>
          <w:rFonts w:asciiTheme="majorHAnsi" w:eastAsiaTheme="majorEastAsia" w:hAnsiTheme="majorHAnsi" w:cstheme="majorBidi"/>
          <w:b/>
          <w:bCs/>
        </w:rPr>
      </w:pPr>
      <w:r w:rsidRPr="3A20558F">
        <w:rPr>
          <w:rFonts w:asciiTheme="majorHAnsi" w:eastAsiaTheme="majorEastAsia" w:hAnsiTheme="majorHAnsi" w:cstheme="majorBidi"/>
          <w:b/>
          <w:bCs/>
        </w:rPr>
        <w:t>Senast uppdaterad 2023-10-03</w:t>
      </w:r>
    </w:p>
    <w:p w14:paraId="2198C079" w14:textId="77777777" w:rsidR="00702564" w:rsidRDefault="00702564" w:rsidP="00702564">
      <w:pPr>
        <w:rPr>
          <w:rFonts w:cs="Arial"/>
          <w:sz w:val="24"/>
          <w:szCs w:val="24"/>
        </w:rPr>
      </w:pPr>
    </w:p>
    <w:p w14:paraId="7C1C9E59" w14:textId="77777777" w:rsidR="00702564" w:rsidRPr="00785831" w:rsidRDefault="00702564" w:rsidP="00702564">
      <w:pPr>
        <w:spacing w:before="120"/>
        <w:rPr>
          <w:rFonts w:cs="Arial"/>
          <w:sz w:val="24"/>
          <w:szCs w:val="24"/>
        </w:rPr>
      </w:pPr>
      <w:r w:rsidRPr="3A20558F">
        <w:rPr>
          <w:rFonts w:cs="Arial"/>
          <w:b/>
          <w:bCs/>
          <w:sz w:val="24"/>
          <w:szCs w:val="24"/>
        </w:rPr>
        <w:t>OBS!</w:t>
      </w:r>
      <w:r w:rsidRPr="3A20558F">
        <w:rPr>
          <w:rFonts w:cs="Arial"/>
          <w:sz w:val="24"/>
          <w:szCs w:val="24"/>
        </w:rPr>
        <w:t xml:space="preserve"> Använd icke-farmakologiska metoder i första hand. För alternativ se ”Sov bra – utan sömnmedicin” på 1177.se.</w:t>
      </w:r>
    </w:p>
    <w:p w14:paraId="70F3A59B" w14:textId="77777777" w:rsidR="00702564" w:rsidRDefault="00702564" w:rsidP="00702564">
      <w:pPr>
        <w:rPr>
          <w:rFonts w:cs="Arial"/>
        </w:rPr>
      </w:pPr>
    </w:p>
    <w:tbl>
      <w:tblPr>
        <w:tblStyle w:val="RegionBlekinge-medlinjer"/>
        <w:tblW w:w="0" w:type="auto"/>
        <w:tblLook w:val="04A0" w:firstRow="1" w:lastRow="0" w:firstColumn="1" w:lastColumn="0" w:noHBand="0" w:noVBand="1"/>
      </w:tblPr>
      <w:tblGrid>
        <w:gridCol w:w="4556"/>
        <w:gridCol w:w="4556"/>
      </w:tblGrid>
      <w:tr w:rsidR="00702564" w:rsidRPr="008453A0" w14:paraId="44375DFE" w14:textId="77777777" w:rsidTr="00632FCC">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556" w:type="dxa"/>
          </w:tcPr>
          <w:p w14:paraId="4E250D17" w14:textId="77777777" w:rsidR="00702564" w:rsidRPr="008453A0" w:rsidRDefault="00702564" w:rsidP="00632FCC">
            <w:pPr>
              <w:rPr>
                <w:rFonts w:asciiTheme="minorHAnsi" w:hAnsiTheme="minorHAnsi"/>
                <w:sz w:val="24"/>
                <w:szCs w:val="24"/>
              </w:rPr>
            </w:pPr>
            <w:r w:rsidRPr="3A20558F">
              <w:rPr>
                <w:sz w:val="24"/>
                <w:szCs w:val="24"/>
              </w:rPr>
              <w:t>1 zopiklon</w:t>
            </w:r>
          </w:p>
        </w:tc>
        <w:tc>
          <w:tcPr>
            <w:tcW w:w="4556" w:type="dxa"/>
          </w:tcPr>
          <w:p w14:paraId="7E7406D7" w14:textId="77777777" w:rsidR="00702564" w:rsidRPr="008453A0" w:rsidRDefault="00702564" w:rsidP="00632FCC">
            <w:pP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4"/>
                <w:szCs w:val="24"/>
              </w:rPr>
            </w:pPr>
            <w:r w:rsidRPr="3A20558F">
              <w:rPr>
                <w:b w:val="0"/>
                <w:sz w:val="24"/>
                <w:szCs w:val="24"/>
              </w:rPr>
              <w:t>Zopiklon</w:t>
            </w:r>
          </w:p>
        </w:tc>
      </w:tr>
      <w:tr w:rsidR="00702564" w:rsidRPr="008453A0" w14:paraId="0C362CA4" w14:textId="77777777" w:rsidTr="00632FCC">
        <w:trPr>
          <w:trHeight w:val="316"/>
        </w:trPr>
        <w:tc>
          <w:tcPr>
            <w:cnfStyle w:val="001000000000" w:firstRow="0" w:lastRow="0" w:firstColumn="1" w:lastColumn="0" w:oddVBand="0" w:evenVBand="0" w:oddHBand="0" w:evenHBand="0" w:firstRowFirstColumn="0" w:firstRowLastColumn="0" w:lastRowFirstColumn="0" w:lastRowLastColumn="0"/>
            <w:tcW w:w="4556" w:type="dxa"/>
          </w:tcPr>
          <w:p w14:paraId="1B1DA4BB" w14:textId="77777777" w:rsidR="00702564" w:rsidRPr="008453A0" w:rsidRDefault="00702564" w:rsidP="00632FCC">
            <w:pPr>
              <w:rPr>
                <w:rFonts w:asciiTheme="minorHAnsi" w:hAnsiTheme="minorHAnsi"/>
                <w:sz w:val="24"/>
                <w:szCs w:val="24"/>
              </w:rPr>
            </w:pPr>
            <w:r w:rsidRPr="3A20558F">
              <w:rPr>
                <w:sz w:val="24"/>
                <w:szCs w:val="24"/>
              </w:rPr>
              <w:t>2 zolpidem</w:t>
            </w:r>
          </w:p>
        </w:tc>
        <w:tc>
          <w:tcPr>
            <w:tcW w:w="4556" w:type="dxa"/>
          </w:tcPr>
          <w:p w14:paraId="5B454A09"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3A20558F">
              <w:rPr>
                <w:sz w:val="24"/>
                <w:szCs w:val="24"/>
              </w:rPr>
              <w:t>Zolpidem</w:t>
            </w:r>
          </w:p>
        </w:tc>
      </w:tr>
      <w:tr w:rsidR="00702564" w:rsidRPr="008453A0" w14:paraId="1567E4D2" w14:textId="77777777" w:rsidTr="00632FCC">
        <w:trPr>
          <w:trHeight w:val="303"/>
        </w:trPr>
        <w:tc>
          <w:tcPr>
            <w:cnfStyle w:val="001000000000" w:firstRow="0" w:lastRow="0" w:firstColumn="1" w:lastColumn="0" w:oddVBand="0" w:evenVBand="0" w:oddHBand="0" w:evenHBand="0" w:firstRowFirstColumn="0" w:firstRowLastColumn="0" w:lastRowFirstColumn="0" w:lastRowLastColumn="0"/>
            <w:tcW w:w="4556" w:type="dxa"/>
          </w:tcPr>
          <w:p w14:paraId="155B3C3D" w14:textId="77777777" w:rsidR="00702564" w:rsidRPr="008453A0" w:rsidRDefault="00702564" w:rsidP="00632FCC">
            <w:pPr>
              <w:rPr>
                <w:rFonts w:asciiTheme="minorHAnsi" w:hAnsiTheme="minorHAnsi"/>
                <w:sz w:val="24"/>
                <w:szCs w:val="24"/>
              </w:rPr>
            </w:pPr>
            <w:r w:rsidRPr="3A20558F">
              <w:rPr>
                <w:sz w:val="24"/>
                <w:szCs w:val="24"/>
              </w:rPr>
              <w:t>2 propiomazin</w:t>
            </w:r>
          </w:p>
        </w:tc>
        <w:tc>
          <w:tcPr>
            <w:tcW w:w="4556" w:type="dxa"/>
          </w:tcPr>
          <w:p w14:paraId="6822AD86"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3A20558F">
              <w:rPr>
                <w:sz w:val="24"/>
                <w:szCs w:val="24"/>
              </w:rPr>
              <w:t>Propavan</w:t>
            </w:r>
          </w:p>
        </w:tc>
      </w:tr>
    </w:tbl>
    <w:p w14:paraId="4DC1F86C" w14:textId="77777777" w:rsidR="00702564" w:rsidRPr="0071138D" w:rsidRDefault="00702564" w:rsidP="00702564">
      <w:pPr>
        <w:pStyle w:val="Rubrik3"/>
      </w:pPr>
      <w:r>
        <w:t>Inledning</w:t>
      </w:r>
    </w:p>
    <w:p w14:paraId="2564208D" w14:textId="77777777" w:rsidR="00702564" w:rsidRPr="00785831" w:rsidRDefault="00702564" w:rsidP="00702564">
      <w:pPr>
        <w:spacing w:before="120"/>
        <w:rPr>
          <w:sz w:val="24"/>
          <w:szCs w:val="24"/>
        </w:rPr>
      </w:pPr>
      <w:r w:rsidRPr="3A20558F">
        <w:rPr>
          <w:sz w:val="24"/>
          <w:szCs w:val="24"/>
        </w:rPr>
        <w:t>Sömnstörningar (insomni) är vanliga och kan påverka livskvalitet, livslängd och hälsa. Därför är det angeläget att behandling av sömnstörning inte försummas och att behandlingen är effektiv och individuellt anpassad.</w:t>
      </w:r>
    </w:p>
    <w:p w14:paraId="0D41887C" w14:textId="77777777" w:rsidR="00702564" w:rsidRPr="00785831" w:rsidRDefault="00702564" w:rsidP="00702564">
      <w:pPr>
        <w:spacing w:before="120"/>
        <w:rPr>
          <w:sz w:val="24"/>
          <w:szCs w:val="24"/>
        </w:rPr>
      </w:pPr>
      <w:r w:rsidRPr="3A20558F">
        <w:rPr>
          <w:sz w:val="24"/>
          <w:szCs w:val="24"/>
        </w:rPr>
        <w:t>Vid sömnstörning har patienten svårt att somna, behålla sömnen eller att sömnen inte ger den vila som anses behövas. Sömnstörningen ska förekomma minst tre gånger per vecka under minst en månad och påverka patientens dagliga liv för att diagnostiseras som en sömnstörning. Vid sömnstörning är det inte bara antalet sömntimmar som avgör om sömnen varit god utan även sammansättningen mellan REM-sömn och djupsömn – sömnarkitekturen. Om sömnstörningen är av övergående art eller mera kronisk är också en viktig faktor i bedömningen och behandlingsstrategin. Tänk på att sömnbehovet generellt minskar med ökande ålder.</w:t>
      </w:r>
    </w:p>
    <w:p w14:paraId="261DA68F" w14:textId="77777777" w:rsidR="00702564" w:rsidRPr="0071138D" w:rsidRDefault="00702564" w:rsidP="00702564">
      <w:pPr>
        <w:pStyle w:val="Rubrik3"/>
      </w:pPr>
      <w:r>
        <w:t>Behandlingsmål</w:t>
      </w:r>
    </w:p>
    <w:p w14:paraId="5A8B878D" w14:textId="77777777" w:rsidR="00702564" w:rsidRPr="00785831" w:rsidRDefault="00702564" w:rsidP="00702564">
      <w:pPr>
        <w:spacing w:before="120"/>
        <w:rPr>
          <w:rFonts w:cs="Arial"/>
          <w:sz w:val="24"/>
          <w:szCs w:val="24"/>
        </w:rPr>
      </w:pPr>
      <w:r w:rsidRPr="3A20558F">
        <w:rPr>
          <w:rFonts w:cs="Arial"/>
          <w:sz w:val="24"/>
          <w:szCs w:val="24"/>
        </w:rPr>
        <w:t>Patienten ska uppleva förbättrad sömn och att de funktionsnedsättningar som sömnstörningen orsakar minskar.</w:t>
      </w:r>
    </w:p>
    <w:p w14:paraId="35DC10A1" w14:textId="77777777" w:rsidR="00702564" w:rsidRPr="0071138D" w:rsidRDefault="00702564" w:rsidP="00702564">
      <w:pPr>
        <w:pStyle w:val="Rubrik3"/>
        <w:rPr>
          <w:color w:val="FF0000"/>
        </w:rPr>
      </w:pPr>
      <w:r>
        <w:t>Utredning</w:t>
      </w:r>
    </w:p>
    <w:p w14:paraId="5676B340" w14:textId="77777777" w:rsidR="00702564" w:rsidRPr="00785831" w:rsidRDefault="00702564" w:rsidP="00702564">
      <w:pPr>
        <w:spacing w:before="120"/>
        <w:rPr>
          <w:sz w:val="24"/>
          <w:szCs w:val="24"/>
        </w:rPr>
      </w:pPr>
      <w:r w:rsidRPr="3A20558F">
        <w:rPr>
          <w:sz w:val="24"/>
          <w:szCs w:val="24"/>
        </w:rPr>
        <w:t>Sömndagbok! Viktigt är att försäkra sig om att patienten har haft tillräckliga möjligheter för sömn (småbarnsförälder, skiftarbetare). Identifiera möjliga bakomliggande orsaker (t.ex. psykisk ohälsa, somatisk sjukdom, läkemedelsbehandling eller användning av andra substanser som kan påverka sömnen), då det är viktigt att behandla grundorsaken.</w:t>
      </w:r>
    </w:p>
    <w:p w14:paraId="22C77206" w14:textId="77777777" w:rsidR="00702564" w:rsidRPr="0071138D" w:rsidRDefault="00702564" w:rsidP="00702564">
      <w:pPr>
        <w:pStyle w:val="Rubrik3"/>
      </w:pPr>
      <w:r>
        <w:t>Observera</w:t>
      </w:r>
    </w:p>
    <w:p w14:paraId="586E0680" w14:textId="77777777" w:rsidR="00702564" w:rsidRDefault="00702564" w:rsidP="00702564">
      <w:pPr>
        <w:spacing w:before="120"/>
        <w:rPr>
          <w:sz w:val="24"/>
          <w:szCs w:val="24"/>
        </w:rPr>
      </w:pPr>
      <w:r w:rsidRPr="3A20558F">
        <w:rPr>
          <w:sz w:val="24"/>
          <w:szCs w:val="24"/>
        </w:rPr>
        <w:t>Var försiktig vid pågående eller tidigare missbruk/beroende. Sömnapné är en kontraindikation för läkemedel som kan påverka andningen (t.ex. bensodiazepiner).</w:t>
      </w:r>
    </w:p>
    <w:p w14:paraId="0FFC50CB" w14:textId="77777777" w:rsidR="00702564" w:rsidRPr="00905F01" w:rsidRDefault="00702564" w:rsidP="00702564">
      <w:pPr>
        <w:pStyle w:val="Rubrik3"/>
      </w:pPr>
      <w:r>
        <w:lastRenderedPageBreak/>
        <w:t>Behandling</w:t>
      </w:r>
      <w:r>
        <w:br/>
        <w:t>Icke-farmakologisk behandling</w:t>
      </w:r>
    </w:p>
    <w:p w14:paraId="5DB42BA0" w14:textId="77777777" w:rsidR="00702564" w:rsidRPr="00785831" w:rsidRDefault="00702564" w:rsidP="00702564">
      <w:pPr>
        <w:spacing w:before="120"/>
        <w:rPr>
          <w:sz w:val="24"/>
          <w:szCs w:val="24"/>
        </w:rPr>
      </w:pPr>
      <w:r w:rsidRPr="3A20558F">
        <w:rPr>
          <w:sz w:val="24"/>
          <w:szCs w:val="24"/>
        </w:rPr>
        <w:t xml:space="preserve">Icke-farmakologiska åtgärder, sömnhygieniska råd etc. bör alltid föregå förskrivning av farmaka. </w:t>
      </w:r>
      <w:r>
        <w:rPr>
          <w:sz w:val="24"/>
          <w:szCs w:val="24"/>
        </w:rPr>
        <w:br/>
      </w:r>
      <w:r w:rsidRPr="3A20558F">
        <w:rPr>
          <w:sz w:val="24"/>
          <w:szCs w:val="24"/>
        </w:rPr>
        <w:t>Se broschyren Sov Bra på intranätet alternativt på 1177.se. Om du söker på intranätet så tänka på att välja ”Allt” så att sökningen inte begränsas. Den går också att beställa broschyren via Läkemedelskommittén.</w:t>
      </w:r>
    </w:p>
    <w:p w14:paraId="63FA7596" w14:textId="77777777" w:rsidR="00702564" w:rsidRPr="00785831" w:rsidRDefault="00702564" w:rsidP="00702564">
      <w:pPr>
        <w:spacing w:before="120"/>
        <w:rPr>
          <w:sz w:val="24"/>
          <w:szCs w:val="24"/>
        </w:rPr>
      </w:pPr>
      <w:r w:rsidRPr="3A20558F">
        <w:rPr>
          <w:sz w:val="24"/>
          <w:szCs w:val="24"/>
        </w:rPr>
        <w:t>Exempel på sömnhygieniska åtgärder är följande:</w:t>
      </w:r>
    </w:p>
    <w:p w14:paraId="1A7DDAE1" w14:textId="77777777" w:rsidR="00702564" w:rsidRPr="00785831" w:rsidRDefault="00702564" w:rsidP="00702564">
      <w:pPr>
        <w:pStyle w:val="Liststycke"/>
        <w:numPr>
          <w:ilvl w:val="0"/>
          <w:numId w:val="38"/>
        </w:numPr>
        <w:spacing w:before="120"/>
        <w:contextualSpacing/>
        <w:rPr>
          <w:sz w:val="24"/>
          <w:szCs w:val="24"/>
        </w:rPr>
      </w:pPr>
      <w:r w:rsidRPr="3A20558F">
        <w:rPr>
          <w:sz w:val="24"/>
          <w:szCs w:val="24"/>
        </w:rPr>
        <w:t>Dygnsrytm!</w:t>
      </w:r>
    </w:p>
    <w:p w14:paraId="6942A5FA" w14:textId="77777777" w:rsidR="00702564" w:rsidRPr="00785831" w:rsidRDefault="00702564" w:rsidP="00702564">
      <w:pPr>
        <w:pStyle w:val="Liststycke"/>
        <w:numPr>
          <w:ilvl w:val="0"/>
          <w:numId w:val="38"/>
        </w:numPr>
        <w:spacing w:before="120"/>
        <w:contextualSpacing/>
        <w:rPr>
          <w:sz w:val="24"/>
          <w:szCs w:val="24"/>
        </w:rPr>
      </w:pPr>
      <w:r w:rsidRPr="3A20558F">
        <w:rPr>
          <w:sz w:val="24"/>
          <w:szCs w:val="24"/>
        </w:rPr>
        <w:t>Stig upp i tid, minska/undvik att sova på dagen.</w:t>
      </w:r>
    </w:p>
    <w:p w14:paraId="3CE66986" w14:textId="77777777" w:rsidR="00702564" w:rsidRPr="00785831" w:rsidRDefault="00702564" w:rsidP="00702564">
      <w:pPr>
        <w:pStyle w:val="Liststycke"/>
        <w:numPr>
          <w:ilvl w:val="0"/>
          <w:numId w:val="38"/>
        </w:numPr>
        <w:spacing w:before="120"/>
        <w:contextualSpacing/>
        <w:rPr>
          <w:sz w:val="24"/>
          <w:szCs w:val="24"/>
        </w:rPr>
      </w:pPr>
      <w:r w:rsidRPr="3A20558F">
        <w:rPr>
          <w:sz w:val="24"/>
          <w:szCs w:val="24"/>
        </w:rPr>
        <w:t>Undvik koffein på kvällen.</w:t>
      </w:r>
    </w:p>
    <w:p w14:paraId="6E6AFD43" w14:textId="77777777" w:rsidR="00702564" w:rsidRPr="00785831" w:rsidRDefault="00702564" w:rsidP="00702564">
      <w:pPr>
        <w:pStyle w:val="Liststycke"/>
        <w:numPr>
          <w:ilvl w:val="0"/>
          <w:numId w:val="38"/>
        </w:numPr>
        <w:spacing w:before="120"/>
        <w:contextualSpacing/>
        <w:rPr>
          <w:sz w:val="24"/>
          <w:szCs w:val="24"/>
        </w:rPr>
      </w:pPr>
      <w:r w:rsidRPr="3A20558F">
        <w:rPr>
          <w:sz w:val="24"/>
          <w:szCs w:val="24"/>
        </w:rPr>
        <w:t>Undvik att träna och äta sent på kvällen.</w:t>
      </w:r>
    </w:p>
    <w:p w14:paraId="1982ED67" w14:textId="77777777" w:rsidR="00702564" w:rsidRPr="00785831" w:rsidRDefault="00702564" w:rsidP="00702564">
      <w:pPr>
        <w:pStyle w:val="Liststycke"/>
        <w:numPr>
          <w:ilvl w:val="0"/>
          <w:numId w:val="38"/>
        </w:numPr>
        <w:spacing w:before="120"/>
        <w:contextualSpacing/>
        <w:rPr>
          <w:sz w:val="24"/>
          <w:szCs w:val="24"/>
        </w:rPr>
      </w:pPr>
      <w:r w:rsidRPr="3A20558F">
        <w:rPr>
          <w:sz w:val="24"/>
          <w:szCs w:val="24"/>
        </w:rPr>
        <w:t>Undvik nikotin och alkohol 2 timmar före det att du går och lägger dig.</w:t>
      </w:r>
    </w:p>
    <w:p w14:paraId="4EDA37D9" w14:textId="77777777" w:rsidR="00702564" w:rsidRPr="00785831" w:rsidRDefault="00702564" w:rsidP="00702564">
      <w:pPr>
        <w:pStyle w:val="Liststycke"/>
        <w:numPr>
          <w:ilvl w:val="0"/>
          <w:numId w:val="38"/>
        </w:numPr>
        <w:spacing w:before="120"/>
        <w:contextualSpacing/>
        <w:rPr>
          <w:sz w:val="24"/>
          <w:szCs w:val="24"/>
        </w:rPr>
      </w:pPr>
      <w:r w:rsidRPr="3A20558F">
        <w:rPr>
          <w:sz w:val="24"/>
          <w:szCs w:val="24"/>
        </w:rPr>
        <w:t>Var noga med att miljön i ditt sovrum underlättar sömnen.</w:t>
      </w:r>
    </w:p>
    <w:p w14:paraId="249D58D9" w14:textId="77777777" w:rsidR="00702564" w:rsidRDefault="00702564" w:rsidP="00702564">
      <w:pPr>
        <w:pStyle w:val="Liststycke"/>
        <w:numPr>
          <w:ilvl w:val="0"/>
          <w:numId w:val="38"/>
        </w:numPr>
        <w:spacing w:before="120"/>
        <w:contextualSpacing/>
        <w:rPr>
          <w:sz w:val="24"/>
          <w:szCs w:val="24"/>
        </w:rPr>
      </w:pPr>
      <w:r w:rsidRPr="004E4685">
        <w:rPr>
          <w:sz w:val="24"/>
          <w:szCs w:val="24"/>
        </w:rPr>
        <w:t>Skaffa dig en sänggående-ritual.</w:t>
      </w:r>
    </w:p>
    <w:p w14:paraId="46E16420" w14:textId="0E6C4611" w:rsidR="00702564" w:rsidRPr="00BB6263" w:rsidRDefault="00702564" w:rsidP="00BB6263">
      <w:pPr>
        <w:pStyle w:val="Liststycke"/>
        <w:numPr>
          <w:ilvl w:val="0"/>
          <w:numId w:val="38"/>
        </w:numPr>
        <w:spacing w:before="120"/>
        <w:contextualSpacing/>
        <w:rPr>
          <w:sz w:val="24"/>
          <w:szCs w:val="24"/>
        </w:rPr>
      </w:pPr>
      <w:r w:rsidRPr="004E4685">
        <w:rPr>
          <w:sz w:val="24"/>
          <w:szCs w:val="24"/>
        </w:rPr>
        <w:t>Undvik s.k. "skärmtid" timmen före sänggående och sätt mobilen på "ljudlöst".</w:t>
      </w:r>
    </w:p>
    <w:p w14:paraId="4FCAE9BA" w14:textId="77777777" w:rsidR="00702564" w:rsidRDefault="00702564" w:rsidP="00702564">
      <w:pPr>
        <w:spacing w:before="120"/>
        <w:rPr>
          <w:sz w:val="24"/>
          <w:szCs w:val="24"/>
        </w:rPr>
      </w:pPr>
      <w:r w:rsidRPr="3A20558F">
        <w:rPr>
          <w:sz w:val="24"/>
          <w:szCs w:val="24"/>
        </w:rPr>
        <w:t>Enligt SBUs rapport om ”Behandling av sömnbesvär hos vuxna” finns evidens för att ”psykologiska behandlingsmetoder i form av kognitiv beteendeterapi (KBT) och annan beteendeterapi leder till att patienten somnar snabbare och inte är vaken lika länge under natten. Även sömnkvaliteten blir bättre.”</w:t>
      </w:r>
    </w:p>
    <w:p w14:paraId="36757710" w14:textId="77777777" w:rsidR="00702564" w:rsidRPr="00DD5146" w:rsidRDefault="00702564" w:rsidP="00702564">
      <w:pPr>
        <w:pStyle w:val="Rubrik3"/>
      </w:pPr>
      <w:r>
        <w:t>Farmakologisk behandling</w:t>
      </w:r>
    </w:p>
    <w:p w14:paraId="53656944" w14:textId="77777777" w:rsidR="00702564" w:rsidRPr="00785831" w:rsidRDefault="00702564" w:rsidP="00702564">
      <w:pPr>
        <w:spacing w:before="120"/>
        <w:rPr>
          <w:sz w:val="24"/>
          <w:szCs w:val="24"/>
        </w:rPr>
      </w:pPr>
      <w:r w:rsidRPr="3A20558F">
        <w:rPr>
          <w:b/>
          <w:bCs/>
          <w:sz w:val="24"/>
          <w:szCs w:val="24"/>
        </w:rPr>
        <w:t>Zopiklon</w:t>
      </w:r>
      <w:r w:rsidRPr="3A20558F">
        <w:rPr>
          <w:sz w:val="24"/>
          <w:szCs w:val="24"/>
        </w:rPr>
        <w:t xml:space="preserve"> (Zopiklon, Imovane) rekommenderas i första hand och hör till gruppen bensodiazepinliknande sömnmedel. Den har liksom bensodiazepiner sin verkan på GABA- systemet. Zopiklon har en halveringstid på 4–6 timmar vilket gör att preparatet fungerar som en insomningstablett men kan också minska antalet uppvaknanden under natten och öka den totala sömnlängden. Studier visar dock på olika resultat vad gäller effekt på antalet uppvaknanden och sömnlängd. Zopiklon ska intas precis före sänggåendet och inte i liggande ställning eftersom absorptionen då kan fördröjas.</w:t>
      </w:r>
    </w:p>
    <w:p w14:paraId="74844857" w14:textId="77777777" w:rsidR="00702564" w:rsidRPr="00785831" w:rsidRDefault="00702564" w:rsidP="00702564">
      <w:pPr>
        <w:spacing w:before="120"/>
        <w:rPr>
          <w:rFonts w:cs="Arial"/>
          <w:b/>
          <w:bCs/>
          <w:sz w:val="24"/>
          <w:szCs w:val="24"/>
        </w:rPr>
      </w:pPr>
      <w:r w:rsidRPr="3A20558F">
        <w:rPr>
          <w:sz w:val="24"/>
          <w:szCs w:val="24"/>
        </w:rPr>
        <w:t xml:space="preserve">Första förskrivningen av zopiklon bör vara för en begränsad period (1–2 veckor) med så låg dos som möjligt. Om långvarig behandling (mer än fyra veckor) blir aktuell bör intermittent dosering ordineras (t.ex. 3–5 av 7 nätter eller 2–3 veckor åt gången). Observera att det saknas vetenskapligt underlag för att säga något om nyttan och riskerna vid långtidsbehandling. </w:t>
      </w:r>
    </w:p>
    <w:p w14:paraId="11D82E5D" w14:textId="77777777" w:rsidR="00702564" w:rsidRPr="00785831" w:rsidRDefault="00702564" w:rsidP="00702564">
      <w:pPr>
        <w:spacing w:before="120"/>
        <w:rPr>
          <w:rFonts w:cs="Arial"/>
          <w:b/>
          <w:bCs/>
          <w:sz w:val="24"/>
          <w:szCs w:val="24"/>
        </w:rPr>
      </w:pPr>
      <w:r w:rsidRPr="3A20558F">
        <w:rPr>
          <w:rFonts w:cs="Arial"/>
          <w:sz w:val="24"/>
          <w:szCs w:val="24"/>
        </w:rPr>
        <w:t xml:space="preserve">Samtidigt intag av bensodiazepiner är ur farmakologisk synpunkt olämpligt, eftersom substanserna verkar på samma receptorer. Eventuell ångest bör behandlas på annat sätt än bensodiazepiner </w:t>
      </w:r>
      <w:r>
        <w:rPr>
          <w:rFonts w:cs="Arial"/>
          <w:sz w:val="24"/>
          <w:szCs w:val="24"/>
        </w:rPr>
        <w:br/>
      </w:r>
      <w:r w:rsidRPr="3A20558F">
        <w:rPr>
          <w:rFonts w:cs="Arial"/>
          <w:sz w:val="24"/>
          <w:szCs w:val="24"/>
        </w:rPr>
        <w:t>(se bakgrundsmaterialet psykiatri: Ångesttillstånd).</w:t>
      </w:r>
    </w:p>
    <w:p w14:paraId="2D7769E5" w14:textId="77777777" w:rsidR="00702564" w:rsidRPr="00785831" w:rsidRDefault="00702564" w:rsidP="00702564">
      <w:pPr>
        <w:spacing w:before="120"/>
        <w:rPr>
          <w:sz w:val="24"/>
          <w:szCs w:val="24"/>
        </w:rPr>
      </w:pPr>
      <w:r w:rsidRPr="3A20558F">
        <w:rPr>
          <w:sz w:val="24"/>
          <w:szCs w:val="24"/>
        </w:rPr>
        <w:t xml:space="preserve">I rekommenderade doser anses zopiklon inte orsaka de biverkningar som normalt förknippas med bensodiazepiner såsom dagtrötthet, påverkan på minne och kognition. Ökas dosen kan dessa biverkningar även uppstå för zopiklon. Liksom för bensodiazepiner kan zopiklon orsaka ohämmat beteende. Det finns inga entydiga resultat om huruvida sömnmönstret påverkas av zopiklon (sömnmönstret har betydelse för hur sömnkvalitén upplevs). En vanlig biverkan av Zopiklon är bitter smak i munnen som kan öka vid samtidigt intag av mjölkprodukter. Den sedativa effekten </w:t>
      </w:r>
      <w:r w:rsidRPr="3A20558F">
        <w:rPr>
          <w:sz w:val="24"/>
          <w:szCs w:val="24"/>
        </w:rPr>
        <w:lastRenderedPageBreak/>
        <w:t>kan kvarstå på morgonen vilket påverkar körförmågan. Studier har visat att körförmågan kan vara påverkad 10–11 timmar efter intag.</w:t>
      </w:r>
    </w:p>
    <w:p w14:paraId="5926544D" w14:textId="77777777" w:rsidR="00702564" w:rsidRPr="00785831" w:rsidRDefault="00702564" w:rsidP="00702564">
      <w:pPr>
        <w:spacing w:before="120"/>
        <w:rPr>
          <w:sz w:val="24"/>
          <w:szCs w:val="24"/>
        </w:rPr>
      </w:pPr>
      <w:r w:rsidRPr="3A20558F">
        <w:rPr>
          <w:sz w:val="24"/>
          <w:szCs w:val="24"/>
        </w:rPr>
        <w:t>Zopiklon kan vara att föredra då sömnsvårigheterna är förenade med ett högt inslag av muskelspänning (t.ex. vid posttraumatiskt stressyndrom).</w:t>
      </w:r>
    </w:p>
    <w:p w14:paraId="2E7CED35" w14:textId="77777777" w:rsidR="00702564" w:rsidRPr="00785831" w:rsidRDefault="00702564" w:rsidP="00702564">
      <w:pPr>
        <w:spacing w:before="120"/>
        <w:rPr>
          <w:rFonts w:cs="Arial"/>
          <w:b/>
          <w:bCs/>
          <w:sz w:val="24"/>
          <w:szCs w:val="24"/>
        </w:rPr>
      </w:pPr>
      <w:r w:rsidRPr="3A20558F">
        <w:rPr>
          <w:sz w:val="24"/>
          <w:szCs w:val="24"/>
        </w:rPr>
        <w:t xml:space="preserve">Behandling med sömnmedel kan medföra risk för beroendeutveckling. Vid tillfällig eller kortvarig behandling, upp till två veckor, finns det inga belägg för beroendeutveckling. Hur stor risken för beroende är vid långtidsanvändning vet man inte säkert. Har patienten sedan tidigare missbruksproblem så bör propiomazin förskrivas. Tänk på att alkohol förstärker zopiklons sederande effekt. </w:t>
      </w:r>
    </w:p>
    <w:p w14:paraId="09A4DEED" w14:textId="77777777" w:rsidR="00702564" w:rsidRPr="00785831" w:rsidRDefault="00702564" w:rsidP="00702564">
      <w:pPr>
        <w:spacing w:before="120"/>
        <w:rPr>
          <w:sz w:val="24"/>
          <w:szCs w:val="24"/>
        </w:rPr>
      </w:pPr>
      <w:r w:rsidRPr="3A20558F">
        <w:rPr>
          <w:rFonts w:cs="Arial"/>
          <w:b/>
          <w:bCs/>
          <w:sz w:val="24"/>
          <w:szCs w:val="24"/>
        </w:rPr>
        <w:t>Zolpidem</w:t>
      </w:r>
      <w:r w:rsidRPr="3A20558F">
        <w:rPr>
          <w:sz w:val="24"/>
          <w:szCs w:val="24"/>
        </w:rPr>
        <w:t xml:space="preserve"> (Zolpidem, Stilnoct) hör till gruppen bensodiazepinliknande sömnmedel. </w:t>
      </w:r>
      <w:r>
        <w:rPr>
          <w:sz w:val="24"/>
          <w:szCs w:val="24"/>
        </w:rPr>
        <w:br/>
      </w:r>
      <w:r w:rsidRPr="3A20558F">
        <w:rPr>
          <w:sz w:val="24"/>
          <w:szCs w:val="24"/>
        </w:rPr>
        <w:t>Det rekommenderas i andra hand då biverkningsprofilen är mer ogynnsam jämfört med zopiklon med risk för minnespåverkan. Zolpidem medför en något ökad risk för beroendeutveckling jämfört med zopiklon, framför allt hos de med tidigare missbruk/beroende.</w:t>
      </w:r>
    </w:p>
    <w:p w14:paraId="1508E751" w14:textId="77777777" w:rsidR="00702564" w:rsidRPr="00785831" w:rsidRDefault="00702564" w:rsidP="00702564">
      <w:pPr>
        <w:spacing w:before="120"/>
        <w:rPr>
          <w:b/>
          <w:bCs/>
          <w:sz w:val="24"/>
          <w:szCs w:val="24"/>
        </w:rPr>
      </w:pPr>
      <w:r w:rsidRPr="3A20558F">
        <w:rPr>
          <w:sz w:val="24"/>
          <w:szCs w:val="24"/>
        </w:rPr>
        <w:t>Zolpidem har med sin kortare halveringstid (1–3 timmar) mer karaktären av ett insomningsmedel med mindre risk för efterföljande dagsedation och påverkan på bilkörning. Zolpidem har inte heller muskelrelaxerande effekt i terapeutisk dos. Alkohol förstärker zolpidems sederande effekt.</w:t>
      </w:r>
    </w:p>
    <w:p w14:paraId="119ED144" w14:textId="77777777" w:rsidR="00702564" w:rsidRPr="00785831" w:rsidRDefault="00702564" w:rsidP="00702564">
      <w:pPr>
        <w:spacing w:before="120"/>
        <w:rPr>
          <w:sz w:val="24"/>
          <w:szCs w:val="24"/>
        </w:rPr>
      </w:pPr>
      <w:r w:rsidRPr="3A20558F">
        <w:rPr>
          <w:b/>
          <w:bCs/>
          <w:sz w:val="24"/>
          <w:szCs w:val="24"/>
        </w:rPr>
        <w:t>Propiomazin</w:t>
      </w:r>
      <w:r w:rsidRPr="3A20558F">
        <w:rPr>
          <w:sz w:val="24"/>
          <w:szCs w:val="24"/>
        </w:rPr>
        <w:t xml:space="preserve"> (Propavan) rekommenderas då man vill undvika risk för beroendeutveckling. Propiomazin är ett neuroleptikum med antihistaminerg effekt (sederande) som erfarenhetsmässigt är ett effektivt sömnmedel men där den vetenskapliga dokumentationen är begränsad. Preparatet tycks inte påverka sömnmönstret i någon större omfattning. Latens till hypnotisk effekt är 60–90 minuter varför patienten bör informeras om att tabletten bör tas minst en timme före sänggåendet. Halveringstiden är i genomsnitt 8 timmar. </w:t>
      </w:r>
    </w:p>
    <w:p w14:paraId="14CED215" w14:textId="77777777" w:rsidR="00702564" w:rsidRPr="00785831" w:rsidRDefault="00702564" w:rsidP="00702564">
      <w:pPr>
        <w:spacing w:before="120"/>
        <w:rPr>
          <w:sz w:val="24"/>
          <w:szCs w:val="24"/>
        </w:rPr>
      </w:pPr>
      <w:r w:rsidRPr="3A20558F">
        <w:rPr>
          <w:sz w:val="24"/>
          <w:szCs w:val="24"/>
        </w:rPr>
        <w:t>Propiomazin kan orsaka myrkrypningar och symtom som kan påminna om restless legs.</w:t>
      </w:r>
    </w:p>
    <w:p w14:paraId="5D5E21D4" w14:textId="77777777" w:rsidR="00702564" w:rsidRPr="00785831" w:rsidRDefault="00702564" w:rsidP="00702564">
      <w:pPr>
        <w:spacing w:before="120"/>
        <w:rPr>
          <w:rFonts w:cs="Arial"/>
          <w:b/>
          <w:bCs/>
          <w:sz w:val="24"/>
          <w:szCs w:val="24"/>
        </w:rPr>
      </w:pPr>
      <w:r w:rsidRPr="3A20558F">
        <w:rPr>
          <w:sz w:val="24"/>
          <w:szCs w:val="24"/>
        </w:rPr>
        <w:t xml:space="preserve">För sent intag (efter ca kl. 21) av propiomazin ökar risk för dagtrötthet och kan påverka förmågan att köra bil, dagen efter. Extrapyramidala symtom kan uppträda och enstaka fall av tardiv dyskinesi vid långtidsanvändning har rapporterats, oftast hos patienter med alkoholmissbruk eller tidigare hjärnskada. På grund av den antikolinerga effekten bör behandling av äldre ske med försiktighet </w:t>
      </w:r>
      <w:r>
        <w:rPr>
          <w:sz w:val="24"/>
          <w:szCs w:val="24"/>
        </w:rPr>
        <w:br/>
      </w:r>
      <w:r w:rsidRPr="3A20558F">
        <w:rPr>
          <w:sz w:val="24"/>
          <w:szCs w:val="24"/>
        </w:rPr>
        <w:t>(se bakgrundsmaterialet psykiatri: Behandling av äldre).</w:t>
      </w:r>
    </w:p>
    <w:p w14:paraId="7F44B6AD" w14:textId="77777777" w:rsidR="00702564" w:rsidRPr="0071138D" w:rsidRDefault="00702564" w:rsidP="00702564">
      <w:pPr>
        <w:pStyle w:val="Rubrik3"/>
      </w:pPr>
      <w:r>
        <w:t>Byte av läkemedel</w:t>
      </w:r>
    </w:p>
    <w:p w14:paraId="0A2103EF" w14:textId="77777777" w:rsidR="00702564" w:rsidRDefault="00702564" w:rsidP="00702564">
      <w:pPr>
        <w:spacing w:before="120"/>
        <w:rPr>
          <w:sz w:val="24"/>
          <w:szCs w:val="24"/>
        </w:rPr>
      </w:pPr>
      <w:r w:rsidRPr="3A20558F">
        <w:rPr>
          <w:sz w:val="24"/>
          <w:szCs w:val="24"/>
        </w:rPr>
        <w:t>Det finns klinisk erfarenhet (men inget evidensbaserat stöd) som stödjer att byta behandling från zopiklon till zolpidem om patienten inte har haft effekt av zopiklon. I studier där man jämfört zopiklon och zolpidem med bensodiazepiner har man inte sett någon skillnad i effekt varför ett byte till bensodiazepiner inte är att rekommendera.</w:t>
      </w:r>
    </w:p>
    <w:p w14:paraId="2FA0AFAF" w14:textId="77777777" w:rsidR="00702564" w:rsidRDefault="00702564" w:rsidP="00702564">
      <w:pPr>
        <w:tabs>
          <w:tab w:val="clear" w:pos="284"/>
        </w:tabs>
        <w:spacing w:after="120" w:line="260" w:lineRule="atLeast"/>
        <w:rPr>
          <w:sz w:val="24"/>
          <w:szCs w:val="24"/>
        </w:rPr>
      </w:pPr>
      <w:r>
        <w:rPr>
          <w:sz w:val="24"/>
          <w:szCs w:val="24"/>
        </w:rPr>
        <w:br w:type="page"/>
      </w:r>
    </w:p>
    <w:p w14:paraId="42808778" w14:textId="77777777" w:rsidR="00702564" w:rsidRPr="0071138D" w:rsidRDefault="00702564" w:rsidP="00702564">
      <w:pPr>
        <w:pStyle w:val="Rubrik3"/>
      </w:pPr>
      <w:r>
        <w:lastRenderedPageBreak/>
        <w:t>Utsättning av läkemedel</w:t>
      </w:r>
    </w:p>
    <w:p w14:paraId="57D9D797" w14:textId="77777777" w:rsidR="00702564" w:rsidRDefault="00702564" w:rsidP="00702564">
      <w:pPr>
        <w:spacing w:before="120"/>
        <w:rPr>
          <w:sz w:val="24"/>
          <w:szCs w:val="24"/>
        </w:rPr>
      </w:pPr>
      <w:r w:rsidRPr="3A20558F">
        <w:rPr>
          <w:sz w:val="24"/>
          <w:szCs w:val="24"/>
        </w:rPr>
        <w:t xml:space="preserve">När man avslutar en behandling som har pågått under en längre tid kan patienten drabbas av försämrad sömn (utsättningssymtom), men det kan också bero på att sömnbesvären återkommit. </w:t>
      </w:r>
    </w:p>
    <w:p w14:paraId="73F3E7ED" w14:textId="6AC8B538" w:rsidR="00702564" w:rsidRDefault="00702564" w:rsidP="00BB6263">
      <w:pPr>
        <w:spacing w:before="120"/>
        <w:rPr>
          <w:sz w:val="24"/>
          <w:szCs w:val="24"/>
        </w:rPr>
      </w:pPr>
      <w:r w:rsidRPr="3A20558F">
        <w:rPr>
          <w:sz w:val="24"/>
          <w:szCs w:val="24"/>
        </w:rPr>
        <w:t>är man avslutar en långvarig sömnmedicinering brukar detta ske genom att dosen halveras varje vecka under 2–3 veckor. Om patienten får möjlighet att genomgå KBT-behandling är det lättare att avsluta läkemedelsbehandlingen.</w:t>
      </w:r>
    </w:p>
    <w:p w14:paraId="6F155DD7" w14:textId="77777777" w:rsidR="00702564" w:rsidRPr="0071138D" w:rsidRDefault="00702564" w:rsidP="00702564">
      <w:pPr>
        <w:pStyle w:val="Rubrik3"/>
      </w:pPr>
      <w:r>
        <w:t>Varför rekommenderas inte?</w:t>
      </w:r>
    </w:p>
    <w:p w14:paraId="21BDECEE" w14:textId="77777777" w:rsidR="00702564" w:rsidRPr="00B96B3C" w:rsidRDefault="00702564" w:rsidP="00702564">
      <w:pPr>
        <w:spacing w:before="120"/>
        <w:rPr>
          <w:rFonts w:cs="Arial"/>
          <w:sz w:val="24"/>
          <w:szCs w:val="24"/>
        </w:rPr>
      </w:pPr>
      <w:r w:rsidRPr="3A20558F">
        <w:rPr>
          <w:rFonts w:cs="Arial"/>
          <w:b/>
          <w:bCs/>
          <w:sz w:val="24"/>
          <w:szCs w:val="24"/>
        </w:rPr>
        <w:t xml:space="preserve">Melatoninpreparat </w:t>
      </w:r>
      <w:r w:rsidRPr="3A20558F">
        <w:rPr>
          <w:rFonts w:cs="Arial"/>
          <w:sz w:val="24"/>
          <w:szCs w:val="24"/>
        </w:rPr>
        <w:t xml:space="preserve">rekommenderas inte eftersom evidens saknas för effekt hos vuxna. </w:t>
      </w:r>
      <w:r>
        <w:rPr>
          <w:rFonts w:cs="Arial"/>
          <w:sz w:val="24"/>
          <w:szCs w:val="24"/>
        </w:rPr>
        <w:br/>
      </w:r>
      <w:r w:rsidRPr="3A20558F">
        <w:rPr>
          <w:rFonts w:cs="Arial"/>
          <w:sz w:val="24"/>
          <w:szCs w:val="24"/>
        </w:rPr>
        <w:t>Ingår inte i läkemedelsförmånen för vuxna.</w:t>
      </w:r>
    </w:p>
    <w:p w14:paraId="0E3728A0" w14:textId="77777777" w:rsidR="00702564" w:rsidRPr="00B96B3C" w:rsidRDefault="00702564" w:rsidP="00702564">
      <w:pPr>
        <w:spacing w:before="120"/>
        <w:rPr>
          <w:rFonts w:cs="Arial"/>
          <w:sz w:val="24"/>
          <w:szCs w:val="24"/>
        </w:rPr>
      </w:pPr>
      <w:r w:rsidRPr="3A20558F">
        <w:rPr>
          <w:rFonts w:cs="Arial"/>
          <w:b/>
          <w:bCs/>
          <w:sz w:val="24"/>
          <w:szCs w:val="24"/>
        </w:rPr>
        <w:t xml:space="preserve">Circadin och Mecastrin </w:t>
      </w:r>
      <w:r w:rsidRPr="3A20558F">
        <w:rPr>
          <w:rFonts w:cs="Arial"/>
          <w:sz w:val="24"/>
          <w:szCs w:val="24"/>
        </w:rPr>
        <w:t>(</w:t>
      </w:r>
      <w:r w:rsidRPr="3A20558F">
        <w:rPr>
          <w:rFonts w:cs="Arial"/>
          <w:i/>
          <w:iCs/>
          <w:sz w:val="24"/>
          <w:szCs w:val="24"/>
        </w:rPr>
        <w:t>melatonin depottablett</w:t>
      </w:r>
      <w:r w:rsidRPr="3A20558F">
        <w:rPr>
          <w:rFonts w:cs="Arial"/>
          <w:sz w:val="24"/>
          <w:szCs w:val="24"/>
        </w:rPr>
        <w:t>)</w:t>
      </w:r>
      <w:r w:rsidRPr="3A20558F">
        <w:rPr>
          <w:rFonts w:cs="Arial"/>
          <w:b/>
          <w:bCs/>
          <w:sz w:val="24"/>
          <w:szCs w:val="24"/>
        </w:rPr>
        <w:t xml:space="preserve"> </w:t>
      </w:r>
      <w:r w:rsidRPr="3A20558F">
        <w:rPr>
          <w:rFonts w:cs="Arial"/>
          <w:sz w:val="24"/>
          <w:szCs w:val="24"/>
        </w:rPr>
        <w:t xml:space="preserve">har en begränsad indikation (primär insomni) </w:t>
      </w:r>
      <w:r>
        <w:rPr>
          <w:rFonts w:cs="Arial"/>
          <w:sz w:val="24"/>
          <w:szCs w:val="24"/>
        </w:rPr>
        <w:br/>
      </w:r>
      <w:r w:rsidRPr="3A20558F">
        <w:rPr>
          <w:rFonts w:cs="Arial"/>
          <w:sz w:val="24"/>
          <w:szCs w:val="24"/>
        </w:rPr>
        <w:t>till patienter som är 55 år eller äldre. Blygsam effekt. Ingår inte i läkemedelsförmånen.</w:t>
      </w:r>
    </w:p>
    <w:p w14:paraId="25372CE2" w14:textId="30DD0447" w:rsidR="00702564" w:rsidRDefault="00702564" w:rsidP="00BB6263">
      <w:pPr>
        <w:spacing w:before="120"/>
        <w:rPr>
          <w:sz w:val="24"/>
          <w:szCs w:val="24"/>
        </w:rPr>
      </w:pPr>
      <w:r w:rsidRPr="3A20558F">
        <w:rPr>
          <w:rFonts w:cs="Arial"/>
          <w:b/>
          <w:bCs/>
          <w:sz w:val="24"/>
          <w:szCs w:val="24"/>
        </w:rPr>
        <w:t xml:space="preserve">Bensodiazepiner </w:t>
      </w:r>
      <w:r w:rsidRPr="3A20558F">
        <w:rPr>
          <w:sz w:val="24"/>
          <w:szCs w:val="24"/>
        </w:rPr>
        <w:t>På grund av risken för beroendeutveckling rekommenderas inga bensodiazepiner för sömnstörning.</w:t>
      </w:r>
    </w:p>
    <w:p w14:paraId="50C1A51B" w14:textId="77777777" w:rsidR="00702564" w:rsidRPr="0071138D" w:rsidRDefault="00702564" w:rsidP="00702564">
      <w:pPr>
        <w:pStyle w:val="Rubrik3"/>
      </w:pPr>
      <w:r>
        <w:t>Länkar och referenser</w:t>
      </w:r>
    </w:p>
    <w:p w14:paraId="2FE7CFD5" w14:textId="77777777" w:rsidR="00702564" w:rsidRDefault="00702564" w:rsidP="00702564">
      <w:pPr>
        <w:spacing w:before="120"/>
      </w:pPr>
      <w:r w:rsidRPr="3A20558F">
        <w:rPr>
          <w:sz w:val="24"/>
          <w:szCs w:val="24"/>
        </w:rPr>
        <w:t>SBU. Behandling av sömnbesvär hos vuxna. En systematisk litteraturöversikt. Stockholm: Statens beredning för medicinsk utvärdering (SBU); 2010. SBU-rapport nr 199. ISBN 978-91-85413-35-5.</w:t>
      </w:r>
    </w:p>
    <w:p w14:paraId="6B1CDBBE" w14:textId="77777777" w:rsidR="00702564" w:rsidRPr="0086709B" w:rsidRDefault="00702564" w:rsidP="00702564">
      <w:pPr>
        <w:spacing w:before="120"/>
        <w:rPr>
          <w:color w:val="0070C0"/>
        </w:rPr>
      </w:pPr>
      <w:hyperlink r:id="rId146" w:anchor="s1_2" w:history="1">
        <w:r w:rsidRPr="0086709B">
          <w:rPr>
            <w:rStyle w:val="Hyperlnk"/>
            <w:color w:val="0070C0"/>
          </w:rPr>
          <w:t>Läkemedelsboken 2017, Sömnstörningar</w:t>
        </w:r>
      </w:hyperlink>
    </w:p>
    <w:p w14:paraId="4D26FF29" w14:textId="77777777" w:rsidR="00702564" w:rsidRPr="00DB4249" w:rsidRDefault="00702564" w:rsidP="00702564">
      <w:pPr>
        <w:spacing w:before="120"/>
        <w:rPr>
          <w:lang w:val="en-GB"/>
        </w:rPr>
      </w:pPr>
      <w:r>
        <w:t xml:space="preserve">Riemann D, Baglioni C, Bassett  CI, Bjorvatn B, Groselj LD, Ellis JG, Espie CA, Garcia-Borreguero D , Gjerstad M , Gonçalver M , Hertenstein E , Jansson-Fröjmark M, Jennum PJ, Leger D, Nissen C, Parrino L, Paunio T, Pevernagie D, Verbraecken J, Weeß H-G, Wichniak A, Zavalko I, Arnardottir ES, Deleanu O-CA, Strazisar B, Zoetmulder M, Spiegelhalder K. European guideline for the diagnosis and treatment of insomnia. </w:t>
      </w:r>
      <w:r w:rsidRPr="3A20558F">
        <w:rPr>
          <w:lang w:val="en-GB"/>
        </w:rPr>
        <w:t>J Sleep Res 2017; 26:675–700.</w:t>
      </w:r>
    </w:p>
    <w:p w14:paraId="6C179A8A" w14:textId="77777777" w:rsidR="00702564" w:rsidRPr="0086709B" w:rsidRDefault="00702564" w:rsidP="00702564">
      <w:pPr>
        <w:spacing w:before="120"/>
        <w:rPr>
          <w:color w:val="0070C0"/>
          <w:lang w:val="en-US"/>
        </w:rPr>
      </w:pPr>
      <w:r w:rsidRPr="3A20558F">
        <w:rPr>
          <w:lang w:val="en-GB"/>
        </w:rPr>
        <w:t xml:space="preserve">NICE 2019. Hypnotics. </w:t>
      </w:r>
      <w:r w:rsidRPr="3A20558F">
        <w:rPr>
          <w:lang w:val="en-US"/>
        </w:rPr>
        <w:t xml:space="preserve">Accessed 210505 URL: </w:t>
      </w:r>
      <w:hyperlink r:id="rId147">
        <w:r w:rsidRPr="0086709B">
          <w:rPr>
            <w:rStyle w:val="Hyperlnk"/>
            <w:color w:val="0070C0"/>
            <w:lang w:val="en-US"/>
          </w:rPr>
          <w:t>https://www.nice.org.uk/guidance/ktt6/resources/hypnotics-pdf-1632173521093</w:t>
        </w:r>
      </w:hyperlink>
      <w:r w:rsidRPr="0086709B">
        <w:rPr>
          <w:color w:val="0070C0"/>
          <w:lang w:val="en-US"/>
        </w:rPr>
        <w:t xml:space="preserve"> </w:t>
      </w:r>
    </w:p>
    <w:p w14:paraId="60908762" w14:textId="77777777" w:rsidR="00702564" w:rsidRDefault="00702564" w:rsidP="00702564">
      <w:pPr>
        <w:spacing w:before="120"/>
        <w:rPr>
          <w:lang w:val="en-US"/>
        </w:rPr>
      </w:pPr>
      <w:r w:rsidRPr="3A20558F">
        <w:rPr>
          <w:lang w:val="en-US"/>
        </w:rPr>
        <w:t>Olson LG. Hypnotic hazards: adverse effects of zolpidem and other z-drugs. Aust Prescr. 2008 Dec;31(6):146-49.</w:t>
      </w:r>
    </w:p>
    <w:p w14:paraId="23A6A022" w14:textId="77777777" w:rsidR="00702564" w:rsidRDefault="00702564" w:rsidP="00702564">
      <w:pPr>
        <w:spacing w:before="120"/>
        <w:rPr>
          <w:lang w:val="en-US"/>
        </w:rPr>
      </w:pPr>
      <w:r w:rsidRPr="3A20558F">
        <w:rPr>
          <w:lang w:val="en-US"/>
        </w:rPr>
        <w:t>Dündar Y, Dodd S, Strobl J, Dickson R, Walley T. Comparative efficacy of newer hypnotic drugs for the short-term management of insomnia: a systematic review and meta-analysis. Hum Psychopharmacol Clin Exp 2014;19:305-322.</w:t>
      </w:r>
    </w:p>
    <w:p w14:paraId="4A59F08C" w14:textId="77777777" w:rsidR="00702564" w:rsidRPr="00905F01" w:rsidRDefault="00702564" w:rsidP="00702564">
      <w:pPr>
        <w:spacing w:before="120"/>
      </w:pPr>
      <w:r w:rsidRPr="3A20558F">
        <w:rPr>
          <w:lang w:val="en-US"/>
        </w:rPr>
        <w:t xml:space="preserve">Roth R, Eklov SD, Drake CL, Verster JC. Meta-analysis of on-the-road experimental studies of hypnotics: Effects of time after intake, dose, and half-life. </w:t>
      </w:r>
      <w:r>
        <w:t>Traffic Injury Prevention 2014;15:5:439-445.</w:t>
      </w:r>
    </w:p>
    <w:p w14:paraId="776E0D89" w14:textId="77777777" w:rsidR="00702564" w:rsidRDefault="00702564" w:rsidP="00702564">
      <w:pPr>
        <w:spacing w:before="120"/>
      </w:pPr>
      <w:r>
        <w:t>FAS UT 3, Att utvärdera, ifrågasätta och skonsamt avsluta läkemedelsbehandling, Claes Lundgren, 2010, ISBN 978-91-633-7637-5.</w:t>
      </w:r>
    </w:p>
    <w:p w14:paraId="540A4970" w14:textId="77777777" w:rsidR="00702564" w:rsidRDefault="00702564" w:rsidP="00702564">
      <w:pPr>
        <w:tabs>
          <w:tab w:val="clear" w:pos="284"/>
        </w:tabs>
        <w:spacing w:after="120" w:line="260" w:lineRule="atLeast"/>
      </w:pPr>
      <w:r>
        <w:br w:type="page"/>
      </w:r>
    </w:p>
    <w:p w14:paraId="29B03384" w14:textId="77777777" w:rsidR="00702564" w:rsidRPr="00B96B3C" w:rsidRDefault="00702564" w:rsidP="00702564">
      <w:pPr>
        <w:pStyle w:val="Rubrik2"/>
      </w:pPr>
      <w:r>
        <w:lastRenderedPageBreak/>
        <w:t xml:space="preserve">Depression </w:t>
      </w:r>
    </w:p>
    <w:p w14:paraId="67B52305" w14:textId="77777777" w:rsidR="00702564" w:rsidRPr="00BD31A6" w:rsidRDefault="00702564" w:rsidP="00702564">
      <w:pPr>
        <w:tabs>
          <w:tab w:val="clear" w:pos="284"/>
        </w:tabs>
        <w:autoSpaceDE w:val="0"/>
        <w:autoSpaceDN w:val="0"/>
        <w:adjustRightInd w:val="0"/>
        <w:rPr>
          <w:rFonts w:asciiTheme="majorHAnsi" w:hAnsiTheme="majorHAnsi" w:cs="Arial"/>
          <w:sz w:val="24"/>
          <w:szCs w:val="24"/>
        </w:rPr>
      </w:pPr>
      <w:r w:rsidRPr="3A20558F">
        <w:rPr>
          <w:rFonts w:asciiTheme="majorHAnsi" w:eastAsiaTheme="majorEastAsia" w:hAnsiTheme="majorHAnsi" w:cstheme="majorBidi"/>
          <w:b/>
          <w:bCs/>
        </w:rPr>
        <w:t>Senast uppdaterad 202</w:t>
      </w:r>
      <w:r>
        <w:rPr>
          <w:rFonts w:asciiTheme="majorHAnsi" w:eastAsiaTheme="majorEastAsia" w:hAnsiTheme="majorHAnsi" w:cstheme="majorBidi"/>
          <w:b/>
          <w:bCs/>
        </w:rPr>
        <w:t>6-01-20</w:t>
      </w:r>
    </w:p>
    <w:p w14:paraId="2B0D6F61" w14:textId="77777777" w:rsidR="00702564" w:rsidRPr="00BD31A6" w:rsidRDefault="00702564" w:rsidP="00702564">
      <w:pPr>
        <w:tabs>
          <w:tab w:val="clear" w:pos="284"/>
        </w:tabs>
        <w:autoSpaceDE w:val="0"/>
        <w:autoSpaceDN w:val="0"/>
        <w:adjustRightInd w:val="0"/>
        <w:rPr>
          <w:rFonts w:asciiTheme="majorHAnsi" w:hAnsiTheme="majorHAnsi" w:cs="Arial"/>
          <w:sz w:val="24"/>
          <w:szCs w:val="24"/>
        </w:rPr>
      </w:pPr>
    </w:p>
    <w:tbl>
      <w:tblPr>
        <w:tblStyle w:val="RegionBlekinge-medlinjer"/>
        <w:tblW w:w="0" w:type="auto"/>
        <w:tblLook w:val="04A0" w:firstRow="1" w:lastRow="0" w:firstColumn="1" w:lastColumn="0" w:noHBand="0" w:noVBand="1"/>
      </w:tblPr>
      <w:tblGrid>
        <w:gridCol w:w="3539"/>
        <w:gridCol w:w="5400"/>
      </w:tblGrid>
      <w:tr w:rsidR="00702564" w:rsidRPr="008453A0" w14:paraId="37238204" w14:textId="77777777" w:rsidTr="00632FCC">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539" w:type="dxa"/>
          </w:tcPr>
          <w:p w14:paraId="3D7699AE" w14:textId="77777777" w:rsidR="00702564" w:rsidRPr="008453A0" w:rsidRDefault="00702564" w:rsidP="00632FCC">
            <w:pPr>
              <w:rPr>
                <w:rFonts w:asciiTheme="minorHAnsi" w:hAnsiTheme="minorHAnsi"/>
                <w:b w:val="0"/>
                <w:sz w:val="24"/>
                <w:szCs w:val="24"/>
              </w:rPr>
            </w:pPr>
            <w:r w:rsidRPr="3A20558F">
              <w:rPr>
                <w:sz w:val="24"/>
                <w:szCs w:val="24"/>
              </w:rPr>
              <w:t>1 sertralin</w:t>
            </w:r>
          </w:p>
        </w:tc>
        <w:tc>
          <w:tcPr>
            <w:tcW w:w="5400" w:type="dxa"/>
          </w:tcPr>
          <w:p w14:paraId="09F27FF5" w14:textId="77777777" w:rsidR="00702564" w:rsidRPr="008453A0" w:rsidRDefault="00702564" w:rsidP="00632FCC">
            <w:pP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4"/>
                <w:szCs w:val="24"/>
              </w:rPr>
            </w:pPr>
            <w:r w:rsidRPr="3A20558F">
              <w:rPr>
                <w:b w:val="0"/>
                <w:sz w:val="24"/>
                <w:szCs w:val="24"/>
              </w:rPr>
              <w:t>Sertralin</w:t>
            </w:r>
          </w:p>
        </w:tc>
      </w:tr>
      <w:tr w:rsidR="00702564" w:rsidRPr="008453A0" w14:paraId="6DE2282D" w14:textId="77777777" w:rsidTr="00632FCC">
        <w:trPr>
          <w:trHeight w:val="332"/>
        </w:trPr>
        <w:tc>
          <w:tcPr>
            <w:cnfStyle w:val="001000000000" w:firstRow="0" w:lastRow="0" w:firstColumn="1" w:lastColumn="0" w:oddVBand="0" w:evenVBand="0" w:oddHBand="0" w:evenHBand="0" w:firstRowFirstColumn="0" w:firstRowLastColumn="0" w:lastRowFirstColumn="0" w:lastRowLastColumn="0"/>
            <w:tcW w:w="8939" w:type="dxa"/>
            <w:gridSpan w:val="2"/>
          </w:tcPr>
          <w:p w14:paraId="683FAD24" w14:textId="77777777" w:rsidR="00702564" w:rsidRPr="3A20558F" w:rsidRDefault="00702564" w:rsidP="00632FCC">
            <w:pPr>
              <w:rPr>
                <w:sz w:val="24"/>
                <w:szCs w:val="24"/>
              </w:rPr>
            </w:pPr>
            <w:r w:rsidRPr="008740BE">
              <w:rPr>
                <w:b w:val="0"/>
                <w:bCs/>
                <w:sz w:val="24"/>
                <w:szCs w:val="24"/>
              </w:rPr>
              <w:t>Välj det SSRI-preparat som är lämpligt; beakta interaktioner, biverkningar och effekt av tidigare</w:t>
            </w:r>
            <w:r>
              <w:rPr>
                <w:b w:val="0"/>
                <w:bCs/>
                <w:sz w:val="24"/>
                <w:szCs w:val="24"/>
              </w:rPr>
              <w:t xml:space="preserve"> </w:t>
            </w:r>
            <w:r w:rsidRPr="008740BE">
              <w:rPr>
                <w:b w:val="0"/>
                <w:bCs/>
                <w:sz w:val="24"/>
                <w:szCs w:val="24"/>
              </w:rPr>
              <w:t>antidepressiv behandling.</w:t>
            </w:r>
          </w:p>
        </w:tc>
      </w:tr>
      <w:tr w:rsidR="00702564" w:rsidRPr="008453A0" w14:paraId="24AB2710" w14:textId="77777777" w:rsidTr="00632FCC">
        <w:trPr>
          <w:trHeight w:val="332"/>
        </w:trPr>
        <w:tc>
          <w:tcPr>
            <w:cnfStyle w:val="001000000000" w:firstRow="0" w:lastRow="0" w:firstColumn="1" w:lastColumn="0" w:oddVBand="0" w:evenVBand="0" w:oddHBand="0" w:evenHBand="0" w:firstRowFirstColumn="0" w:firstRowLastColumn="0" w:lastRowFirstColumn="0" w:lastRowLastColumn="0"/>
            <w:tcW w:w="3539" w:type="dxa"/>
          </w:tcPr>
          <w:p w14:paraId="182C27FB" w14:textId="77777777" w:rsidR="00702564" w:rsidRPr="008453A0" w:rsidRDefault="00702564" w:rsidP="00632FCC">
            <w:pPr>
              <w:rPr>
                <w:rFonts w:asciiTheme="minorHAnsi" w:hAnsiTheme="minorHAnsi"/>
                <w:b w:val="0"/>
                <w:sz w:val="24"/>
                <w:szCs w:val="24"/>
              </w:rPr>
            </w:pPr>
            <w:r w:rsidRPr="3A20558F">
              <w:rPr>
                <w:sz w:val="24"/>
                <w:szCs w:val="24"/>
              </w:rPr>
              <w:t>2 mirtazapin</w:t>
            </w:r>
          </w:p>
        </w:tc>
        <w:tc>
          <w:tcPr>
            <w:tcW w:w="5400" w:type="dxa"/>
          </w:tcPr>
          <w:p w14:paraId="710695BB"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3A20558F">
              <w:rPr>
                <w:sz w:val="24"/>
                <w:szCs w:val="24"/>
              </w:rPr>
              <w:t>Mirtazapin</w:t>
            </w:r>
          </w:p>
        </w:tc>
      </w:tr>
      <w:tr w:rsidR="00702564" w:rsidRPr="008453A0" w14:paraId="0331DADE" w14:textId="77777777" w:rsidTr="00632FCC">
        <w:trPr>
          <w:trHeight w:val="319"/>
        </w:trPr>
        <w:tc>
          <w:tcPr>
            <w:cnfStyle w:val="001000000000" w:firstRow="0" w:lastRow="0" w:firstColumn="1" w:lastColumn="0" w:oddVBand="0" w:evenVBand="0" w:oddHBand="0" w:evenHBand="0" w:firstRowFirstColumn="0" w:firstRowLastColumn="0" w:lastRowFirstColumn="0" w:lastRowLastColumn="0"/>
            <w:tcW w:w="3539" w:type="dxa"/>
          </w:tcPr>
          <w:p w14:paraId="55065BAA" w14:textId="77777777" w:rsidR="00702564" w:rsidRPr="008453A0" w:rsidRDefault="00702564" w:rsidP="00632FCC">
            <w:pPr>
              <w:rPr>
                <w:rFonts w:asciiTheme="minorHAnsi" w:hAnsiTheme="minorHAnsi"/>
                <w:b w:val="0"/>
                <w:sz w:val="24"/>
                <w:szCs w:val="24"/>
              </w:rPr>
            </w:pPr>
            <w:r w:rsidRPr="3A20558F">
              <w:rPr>
                <w:sz w:val="24"/>
                <w:szCs w:val="24"/>
              </w:rPr>
              <w:t xml:space="preserve">2 </w:t>
            </w:r>
            <w:r>
              <w:rPr>
                <w:sz w:val="24"/>
                <w:szCs w:val="24"/>
              </w:rPr>
              <w:t>duloxetin</w:t>
            </w:r>
          </w:p>
        </w:tc>
        <w:tc>
          <w:tcPr>
            <w:tcW w:w="5400" w:type="dxa"/>
          </w:tcPr>
          <w:p w14:paraId="6FF77434" w14:textId="77777777" w:rsidR="00702564" w:rsidRPr="00BA18B9" w:rsidRDefault="00702564" w:rsidP="00632FCC">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Duloxetin</w:t>
            </w:r>
          </w:p>
        </w:tc>
      </w:tr>
    </w:tbl>
    <w:p w14:paraId="2AA62063" w14:textId="77777777" w:rsidR="00702564" w:rsidRPr="007767EE" w:rsidRDefault="00702564" w:rsidP="00702564">
      <w:pPr>
        <w:pStyle w:val="Rubrik3"/>
      </w:pPr>
      <w:r>
        <w:t xml:space="preserve">Inledning </w:t>
      </w:r>
    </w:p>
    <w:p w14:paraId="4235301D"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Nästan en tredjedel av befolkningen får någon gång under livet en depression. Depression innebär ofta ett långvarigt och tidvis intensivt lidande, nedsatt funktionsförmåga, belastning för närstående och en samhällsekonomisk börda. Depression är också en av de absolut vanligaste orsakerna till självmord och innebär ofta en risk för ett återinsjuknande. Durationen kan vara månader och år, varför det är viktigt att behandlingen pågår under lång tid. Kontinuitet i kontakten brukar innebära bättre prognos.</w:t>
      </w:r>
    </w:p>
    <w:p w14:paraId="0D839138" w14:textId="77777777" w:rsidR="00702564" w:rsidRPr="007767EE" w:rsidRDefault="00702564" w:rsidP="00702564">
      <w:pPr>
        <w:pStyle w:val="Rubrik3"/>
      </w:pPr>
      <w:r>
        <w:t>Behandlingsmål</w:t>
      </w:r>
    </w:p>
    <w:p w14:paraId="0B66CC2A"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 xml:space="preserve">För att minska risken för senare recidiv är det viktigt att behandla till full symtomfrihet </w:t>
      </w:r>
      <w:r>
        <w:rPr>
          <w:rFonts w:cs="Arial"/>
          <w:sz w:val="24"/>
          <w:szCs w:val="24"/>
        </w:rPr>
        <w:br/>
      </w:r>
      <w:r w:rsidRPr="3A20558F">
        <w:rPr>
          <w:rFonts w:cs="Arial"/>
          <w:sz w:val="24"/>
          <w:szCs w:val="24"/>
        </w:rPr>
        <w:t xml:space="preserve">(MADRS &lt;10), vilket ofta innebär behandlingstider på minst 12 månader. </w:t>
      </w:r>
    </w:p>
    <w:p w14:paraId="01B3314B" w14:textId="77777777" w:rsidR="00702564" w:rsidRPr="007767EE" w:rsidRDefault="00702564" w:rsidP="00702564">
      <w:pPr>
        <w:pStyle w:val="Rubrik3"/>
      </w:pPr>
      <w:r>
        <w:t>Utredning</w:t>
      </w:r>
    </w:p>
    <w:p w14:paraId="5276A90A" w14:textId="77777777" w:rsidR="00702564"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 xml:space="preserve">Utredningen består av en noggrann anamnes, kroppslig undersökning och provtagning </w:t>
      </w:r>
      <w:r>
        <w:rPr>
          <w:rFonts w:cs="Arial"/>
          <w:sz w:val="24"/>
          <w:szCs w:val="24"/>
        </w:rPr>
        <w:br/>
      </w:r>
      <w:r w:rsidRPr="3A20558F">
        <w:rPr>
          <w:rFonts w:cs="Arial"/>
          <w:sz w:val="24"/>
          <w:szCs w:val="24"/>
        </w:rPr>
        <w:t xml:space="preserve">(för att utesluta somatiska orsaker till depressionen, till exempel hypotyreos). </w:t>
      </w:r>
      <w:r>
        <w:rPr>
          <w:rFonts w:cs="Arial"/>
          <w:sz w:val="24"/>
          <w:szCs w:val="24"/>
        </w:rPr>
        <w:br/>
      </w:r>
      <w:r w:rsidRPr="3A20558F">
        <w:rPr>
          <w:rFonts w:cs="Arial"/>
          <w:sz w:val="24"/>
          <w:szCs w:val="24"/>
        </w:rPr>
        <w:t xml:space="preserve">Differentialdiagnostiskt bör man överväga anpassningsstörning (livskris, sorgreaktion) och bipolär sjukdom, eftersom dessa tillstånd har symtom som liknar depressionstecken. Skattningsskalor tillsammans med kliniken kan vara ett hjälpmedel för att bedöma depressionssymptom men kräver viss vana. </w:t>
      </w:r>
      <w:hyperlink r:id="rId148">
        <w:r w:rsidRPr="3A20558F">
          <w:rPr>
            <w:sz w:val="24"/>
            <w:szCs w:val="24"/>
          </w:rPr>
          <w:t>MADRS</w:t>
        </w:r>
      </w:hyperlink>
      <w:r w:rsidRPr="3A20558F">
        <w:rPr>
          <w:rFonts w:cs="Arial"/>
          <w:sz w:val="24"/>
          <w:szCs w:val="24"/>
        </w:rPr>
        <w:t xml:space="preserve">, Montgomery Åsberg Depression Rating Scale, är den skattningsskala som används mest i psykiatrin och den finns också i självskattningsversion. MADRS lämpar sig även för att mäta förändringar i depressionens svårighetsgrad. </w:t>
      </w:r>
    </w:p>
    <w:p w14:paraId="2D3FD794" w14:textId="77777777" w:rsidR="00702564" w:rsidRPr="007767EE" w:rsidRDefault="00702564" w:rsidP="00702564">
      <w:pPr>
        <w:pStyle w:val="Rubrik3"/>
      </w:pPr>
      <w:r>
        <w:t>Observera</w:t>
      </w:r>
    </w:p>
    <w:p w14:paraId="3B9F8159" w14:textId="530B77AD"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Antidepressiva läkemedel kan initialt och tillfälligt öka suicidrisken. Det är därför viktigt att genomföra en strukturerad suicidriskbedömning och vidta, om möjligt, suicidriskreducerande åtgärder (t.ex. telefonbedömning eller återbesök) i samband med behandlingsstart samt tidigt följa upp patienten då läkemedelsbehandling startats.</w:t>
      </w:r>
      <w:r w:rsidR="00BB6263">
        <w:rPr>
          <w:rFonts w:cs="Arial"/>
          <w:sz w:val="24"/>
          <w:szCs w:val="24"/>
        </w:rPr>
        <w:br/>
      </w:r>
      <w:r w:rsidRPr="3A20558F">
        <w:rPr>
          <w:rFonts w:cs="Arial"/>
          <w:sz w:val="24"/>
          <w:szCs w:val="24"/>
        </w:rPr>
        <w:t>Följsamheten till antidepressiv behandling bör alltid aktivt efterfrågas då det i observationsstudier framkommit att ca 50 % har avslutat sin behandling efter ca 3 månader.</w:t>
      </w:r>
      <w:r w:rsidR="00BB6263">
        <w:rPr>
          <w:rFonts w:cs="Arial"/>
          <w:sz w:val="24"/>
          <w:szCs w:val="24"/>
        </w:rPr>
        <w:t xml:space="preserve"> </w:t>
      </w:r>
      <w:r w:rsidR="00BB6263">
        <w:rPr>
          <w:rFonts w:cs="Arial"/>
          <w:sz w:val="24"/>
          <w:szCs w:val="24"/>
        </w:rPr>
        <w:br/>
      </w:r>
      <w:hyperlink r:id="rId149">
        <w:r w:rsidRPr="3A20558F">
          <w:rPr>
            <w:sz w:val="24"/>
            <w:szCs w:val="24"/>
          </w:rPr>
          <w:t>Serotonergt syndrom</w:t>
        </w:r>
      </w:hyperlink>
      <w:r w:rsidRPr="3A20558F">
        <w:rPr>
          <w:rFonts w:cs="Arial"/>
          <w:sz w:val="24"/>
          <w:szCs w:val="24"/>
        </w:rPr>
        <w:t xml:space="preserve"> är ett mer ovanligt, allvarligt och potentiellt livshotande syndrom som kan orsakas av kombinationer av antidepressiva läkemedel och/eller kombination av antidepressiva </w:t>
      </w:r>
      <w:r w:rsidRPr="3A20558F">
        <w:rPr>
          <w:rFonts w:cs="Arial"/>
          <w:sz w:val="24"/>
          <w:szCs w:val="24"/>
        </w:rPr>
        <w:lastRenderedPageBreak/>
        <w:t>läkemedel med opioidanalgetika, litium, MAO-hämmare, centralstimulantia (vid behandling av ADHD), valproat, triptaner (t.ex. sumatriptan) och flera andra läkemedel. Interaktionskontroll rekommenderas.</w:t>
      </w:r>
      <w:r w:rsidR="00BB6263">
        <w:rPr>
          <w:rFonts w:cs="Arial"/>
          <w:sz w:val="24"/>
          <w:szCs w:val="24"/>
        </w:rPr>
        <w:t xml:space="preserve"> </w:t>
      </w:r>
      <w:r w:rsidR="00BB6263">
        <w:rPr>
          <w:rFonts w:cs="Arial"/>
          <w:sz w:val="24"/>
          <w:szCs w:val="24"/>
        </w:rPr>
        <w:br/>
      </w:r>
      <w:r w:rsidRPr="3A20558F">
        <w:rPr>
          <w:rFonts w:cs="Arial"/>
          <w:sz w:val="24"/>
          <w:szCs w:val="24"/>
        </w:rPr>
        <w:t xml:space="preserve">Vid eventuell drogscreening kan venlafaxin ge ett positivt utslag på tramadol. </w:t>
      </w:r>
      <w:r>
        <w:rPr>
          <w:rFonts w:cs="Arial"/>
          <w:sz w:val="24"/>
          <w:szCs w:val="24"/>
        </w:rPr>
        <w:br/>
      </w:r>
      <w:r w:rsidRPr="3A20558F">
        <w:rPr>
          <w:rFonts w:cs="Arial"/>
          <w:sz w:val="24"/>
          <w:szCs w:val="24"/>
        </w:rPr>
        <w:t xml:space="preserve">Se lista över korsreaktioner för respektive drogtest.  </w:t>
      </w:r>
    </w:p>
    <w:p w14:paraId="7131FAF6" w14:textId="77777777" w:rsidR="00702564" w:rsidRPr="00E74354" w:rsidRDefault="00702564" w:rsidP="00702564">
      <w:pPr>
        <w:pStyle w:val="Rubrik3"/>
      </w:pPr>
      <w:r>
        <w:t>Behandling</w:t>
      </w:r>
      <w:r>
        <w:br/>
      </w:r>
      <w:r w:rsidRPr="3A20558F">
        <w:t>Icke-farmakologisk behandling</w:t>
      </w:r>
    </w:p>
    <w:p w14:paraId="2575A216" w14:textId="77777777" w:rsidR="00702564" w:rsidRPr="00D55F90" w:rsidRDefault="00702564" w:rsidP="00702564">
      <w:pPr>
        <w:tabs>
          <w:tab w:val="clear" w:pos="284"/>
        </w:tabs>
        <w:autoSpaceDE w:val="0"/>
        <w:autoSpaceDN w:val="0"/>
        <w:adjustRightInd w:val="0"/>
        <w:spacing w:before="120"/>
        <w:rPr>
          <w:rFonts w:cs="Arial"/>
          <w:sz w:val="24"/>
          <w:szCs w:val="24"/>
        </w:rPr>
      </w:pPr>
      <w:r w:rsidRPr="00D55F90">
        <w:rPr>
          <w:rFonts w:cs="Arial"/>
          <w:sz w:val="24"/>
          <w:szCs w:val="24"/>
        </w:rPr>
        <w:t>Vid lindriga till måttliga depressioner finns evidens för icke-farmakologiska behandlingsalternativ i form av kognitiv beteendeterapi, KBT. Minskad stress och förbättrad förmåga att hantera stress samt fysisk aktivitet är också faktorer som har gynnsam inverkan på tillfrisknande. Bäst effekt uppnås av att kombinera läkemedelsbehandling med psykologisk behandling i form av KBT eller dynamisk psykoterapi.</w:t>
      </w:r>
    </w:p>
    <w:p w14:paraId="2CD7DD11" w14:textId="77777777" w:rsidR="00702564" w:rsidRPr="007767EE" w:rsidRDefault="00702564" w:rsidP="00702564">
      <w:pPr>
        <w:pStyle w:val="Rubrik3"/>
      </w:pPr>
      <w:r>
        <w:t>Farmakologisk behandling</w:t>
      </w:r>
    </w:p>
    <w:p w14:paraId="70489C0E"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 xml:space="preserve">Då en depression ska behandlas farmakologiskt ska patienten tillfrågas om eventuell tidigare behandling och i så fall med vilken substans/preparat samt efterfråga effekt och biverkningar. </w:t>
      </w:r>
      <w:r>
        <w:rPr>
          <w:rFonts w:cs="Arial"/>
          <w:sz w:val="24"/>
          <w:szCs w:val="24"/>
        </w:rPr>
        <w:br/>
      </w:r>
      <w:r w:rsidRPr="3A20558F">
        <w:rPr>
          <w:rFonts w:cs="Arial"/>
          <w:sz w:val="24"/>
          <w:szCs w:val="24"/>
        </w:rPr>
        <w:t xml:space="preserve">Om patienten svarat bra på tidigare behandling och inga kontraindikationer föreligger bör denna behandling väljas i första hand. </w:t>
      </w:r>
    </w:p>
    <w:p w14:paraId="2C97BED9" w14:textId="77777777" w:rsidR="00702564" w:rsidRPr="007767EE" w:rsidRDefault="00702564" w:rsidP="00702564">
      <w:pPr>
        <w:rPr>
          <w:rFonts w:ascii="Arial" w:hAnsi="Arial" w:cs="Arial"/>
          <w:b/>
          <w:bCs/>
        </w:rPr>
      </w:pPr>
    </w:p>
    <w:p w14:paraId="402A2B89" w14:textId="77777777" w:rsidR="0055305B" w:rsidRDefault="00702564" w:rsidP="0055305B">
      <w:pPr>
        <w:tabs>
          <w:tab w:val="clear" w:pos="284"/>
        </w:tabs>
        <w:autoSpaceDE w:val="0"/>
        <w:autoSpaceDN w:val="0"/>
        <w:adjustRightInd w:val="0"/>
        <w:rPr>
          <w:rFonts w:ascii="Corbel" w:hAnsi="Corbel" w:cs="Arial"/>
          <w:sz w:val="24"/>
          <w:szCs w:val="24"/>
        </w:rPr>
      </w:pPr>
      <w:r w:rsidRPr="3A20558F">
        <w:rPr>
          <w:rFonts w:ascii="Corbel" w:hAnsi="Corbel" w:cs="Arial"/>
          <w:b/>
          <w:bCs/>
          <w:sz w:val="24"/>
          <w:szCs w:val="24"/>
        </w:rPr>
        <w:t xml:space="preserve">Selektiva serotoninåterupptagshämmare </w:t>
      </w:r>
    </w:p>
    <w:p w14:paraId="7E37633F" w14:textId="07AAD7EC" w:rsidR="00702564" w:rsidRPr="0055305B" w:rsidRDefault="00702564" w:rsidP="0055305B">
      <w:pPr>
        <w:tabs>
          <w:tab w:val="clear" w:pos="284"/>
        </w:tabs>
        <w:autoSpaceDE w:val="0"/>
        <w:autoSpaceDN w:val="0"/>
        <w:adjustRightInd w:val="0"/>
        <w:rPr>
          <w:rFonts w:ascii="Corbel" w:hAnsi="Corbel" w:cs="Arial"/>
          <w:sz w:val="24"/>
          <w:szCs w:val="24"/>
        </w:rPr>
      </w:pPr>
      <w:r w:rsidRPr="3A20558F">
        <w:rPr>
          <w:rFonts w:cs="Arial"/>
          <w:sz w:val="24"/>
          <w:szCs w:val="24"/>
        </w:rPr>
        <w:t>Vid depressionsbehandling i öppenvård är selektiva serotoninåterupptagshämmare (SSRI) förstahandsalternativ med rekommendation</w:t>
      </w:r>
      <w:r w:rsidRPr="3A20558F">
        <w:rPr>
          <w:rFonts w:cs="Arial"/>
          <w:b/>
          <w:bCs/>
          <w:color w:val="FF0000"/>
          <w:sz w:val="24"/>
          <w:szCs w:val="24"/>
        </w:rPr>
        <w:t xml:space="preserve"> </w:t>
      </w:r>
      <w:r w:rsidRPr="3A20558F">
        <w:rPr>
          <w:rFonts w:cs="Arial"/>
          <w:b/>
          <w:bCs/>
          <w:sz w:val="24"/>
          <w:szCs w:val="24"/>
        </w:rPr>
        <w:t xml:space="preserve">sertralin. </w:t>
      </w:r>
      <w:r w:rsidRPr="3A20558F">
        <w:rPr>
          <w:rFonts w:cs="Arial"/>
          <w:sz w:val="24"/>
          <w:szCs w:val="24"/>
        </w:rPr>
        <w:t xml:space="preserve">Behandlingen inleds med halverad startdos i en vecka för att minska initiala biverkningar inklusive ångestförstärkning samt täta uppföljande telefonsamtal (coachning). Vid depressionsbehandling är det inte ovanligt att man initialt behöver stötta med sömnmedel och/eller behandling för tillfällig ångest. </w:t>
      </w:r>
    </w:p>
    <w:p w14:paraId="2DE75E80" w14:textId="77777777" w:rsidR="00702564" w:rsidRPr="005A49E4" w:rsidRDefault="00702564" w:rsidP="00702564">
      <w:pPr>
        <w:tabs>
          <w:tab w:val="clear" w:pos="284"/>
        </w:tabs>
        <w:autoSpaceDE w:val="0"/>
        <w:autoSpaceDN w:val="0"/>
        <w:adjustRightInd w:val="0"/>
        <w:rPr>
          <w:rFonts w:ascii="Arial" w:hAnsi="Arial" w:cs="Arial"/>
        </w:rPr>
      </w:pPr>
    </w:p>
    <w:p w14:paraId="31552FCD" w14:textId="72CD8220" w:rsidR="00702564" w:rsidRPr="00BB6263" w:rsidRDefault="00702564" w:rsidP="00BB6263">
      <w:pPr>
        <w:tabs>
          <w:tab w:val="clear" w:pos="284"/>
        </w:tabs>
        <w:autoSpaceDE w:val="0"/>
        <w:autoSpaceDN w:val="0"/>
        <w:adjustRightInd w:val="0"/>
        <w:rPr>
          <w:rFonts w:cs="Arial"/>
          <w:sz w:val="24"/>
          <w:szCs w:val="24"/>
        </w:rPr>
      </w:pPr>
      <w:r w:rsidRPr="0055305B">
        <w:rPr>
          <w:rFonts w:ascii="Corbel" w:hAnsi="Corbel" w:cs="Arial"/>
          <w:b/>
          <w:bCs/>
          <w:sz w:val="24"/>
          <w:szCs w:val="24"/>
        </w:rPr>
        <w:t>Biverkningar</w:t>
      </w:r>
      <w:r w:rsidRPr="0055305B">
        <w:rPr>
          <w:rFonts w:asciiTheme="majorHAnsi" w:hAnsiTheme="majorHAnsi" w:cs="Arial"/>
          <w:b/>
          <w:bCs/>
          <w:sz w:val="24"/>
          <w:szCs w:val="24"/>
        </w:rPr>
        <w:t xml:space="preserve"> </w:t>
      </w:r>
      <w:r>
        <w:rPr>
          <w:rFonts w:asciiTheme="majorHAnsi" w:hAnsiTheme="majorHAnsi" w:cs="Arial"/>
          <w:sz w:val="24"/>
          <w:szCs w:val="24"/>
        </w:rPr>
        <w:br/>
      </w:r>
      <w:r w:rsidRPr="3A20558F">
        <w:rPr>
          <w:rFonts w:cs="Arial"/>
          <w:sz w:val="24"/>
          <w:szCs w:val="24"/>
        </w:rPr>
        <w:t xml:space="preserve">Vanligt förekommande biverkningar är övergående ångestförstärkning, huvudvärk, ont i magen, illamående och diarré men biverkningar kan minskas genom upptrappning av dos och tablettintag i samband med måltid. Viktuppgång/viktnedgång är vanligt. Även sexuella biverkningar </w:t>
      </w:r>
      <w:r>
        <w:rPr>
          <w:rFonts w:cs="Arial"/>
          <w:sz w:val="24"/>
          <w:szCs w:val="24"/>
        </w:rPr>
        <w:br/>
      </w:r>
      <w:r w:rsidRPr="3A20558F">
        <w:rPr>
          <w:rFonts w:cs="Arial"/>
          <w:sz w:val="24"/>
          <w:szCs w:val="24"/>
        </w:rPr>
        <w:t xml:space="preserve">(sexuell dysfunktion och minskad libido) är vanliga (60–70 %) men måste oftast aktivt efterfrågas. </w:t>
      </w:r>
      <w:r>
        <w:rPr>
          <w:rFonts w:cs="Arial"/>
          <w:sz w:val="24"/>
          <w:szCs w:val="24"/>
        </w:rPr>
        <w:br/>
      </w:r>
      <w:r w:rsidRPr="3A20558F">
        <w:rPr>
          <w:rFonts w:cs="Arial"/>
          <w:sz w:val="24"/>
          <w:szCs w:val="24"/>
        </w:rPr>
        <w:t xml:space="preserve">Vid uttalad sexuell dysfunktion kan man försöka med dosreduktion, byte av preparat eller tillägg med en låg dos mirtazapin (15 mg) alternativt buspiron 10–20 mg två gånger dagligen. </w:t>
      </w:r>
      <w:r w:rsidR="00BB6263">
        <w:rPr>
          <w:rFonts w:cs="Arial"/>
          <w:sz w:val="24"/>
          <w:szCs w:val="24"/>
        </w:rPr>
        <w:t xml:space="preserve"> </w:t>
      </w:r>
      <w:r w:rsidR="00BB6263">
        <w:rPr>
          <w:rFonts w:cs="Arial"/>
          <w:sz w:val="24"/>
          <w:szCs w:val="24"/>
        </w:rPr>
        <w:br/>
      </w:r>
      <w:r w:rsidRPr="3A20558F">
        <w:rPr>
          <w:rFonts w:cs="Arial"/>
          <w:sz w:val="24"/>
          <w:szCs w:val="24"/>
        </w:rPr>
        <w:t>Vid behandling med selektiva serotoninåterupptagshämmare finns en ökad risk för blödning och risken ökar ytterligare då patienten även behandlas med acetylsalicylsyrepreparat och/eller NSAID. Ovanligare biverkningar viktiga att känna till är bl.a. hyponatremi, speciellt vid samtidig behandling med diuretika. Hyponatremi uppstår vanligtvis inom den första månaden av behandlingen och riskpatienter bör kontrolleras. Motoriska biverkningar såsom akatisi och parkinsonlika biverkningar har också rapporterats (framför allt för paroxetin). Även tandgnissling förekommer vilket resulterar i huvudvärk på morgonen och ömmande käkar. Vid kombination med andra läkemedel som påverkar den serotoninnivån som t.ex. litium, moklobemid, buspiron, linezolid och tramadol kan serotonergt syndrom uppstå</w:t>
      </w:r>
      <w:r w:rsidRPr="3A20558F">
        <w:rPr>
          <w:rFonts w:cs="Arial"/>
        </w:rPr>
        <w:t xml:space="preserve"> (sällsynt). </w:t>
      </w:r>
    </w:p>
    <w:p w14:paraId="2C178BFD" w14:textId="77777777" w:rsidR="00702564" w:rsidRPr="005A49E4" w:rsidRDefault="00702564" w:rsidP="00702564">
      <w:pPr>
        <w:tabs>
          <w:tab w:val="clear" w:pos="284"/>
        </w:tabs>
        <w:autoSpaceDE w:val="0"/>
        <w:autoSpaceDN w:val="0"/>
        <w:adjustRightInd w:val="0"/>
        <w:rPr>
          <w:rFonts w:ascii="Arial" w:hAnsi="Arial" w:cs="Arial"/>
          <w:b/>
          <w:bCs/>
        </w:rPr>
      </w:pPr>
    </w:p>
    <w:p w14:paraId="1E622B73" w14:textId="77777777" w:rsidR="00702564" w:rsidRPr="006C5DD3" w:rsidRDefault="00702564" w:rsidP="00702564">
      <w:pPr>
        <w:tabs>
          <w:tab w:val="clear" w:pos="284"/>
        </w:tabs>
        <w:autoSpaceDE w:val="0"/>
        <w:autoSpaceDN w:val="0"/>
        <w:adjustRightInd w:val="0"/>
        <w:rPr>
          <w:rFonts w:ascii="Corbel" w:hAnsi="Corbel" w:cs="Arial"/>
          <w:sz w:val="24"/>
          <w:szCs w:val="24"/>
        </w:rPr>
      </w:pPr>
      <w:r w:rsidRPr="3A20558F">
        <w:rPr>
          <w:rFonts w:ascii="Corbel" w:hAnsi="Corbel" w:cs="Arial"/>
          <w:b/>
          <w:bCs/>
          <w:sz w:val="24"/>
          <w:szCs w:val="24"/>
        </w:rPr>
        <w:lastRenderedPageBreak/>
        <w:t xml:space="preserve">Mirtazapin </w:t>
      </w:r>
    </w:p>
    <w:p w14:paraId="372999A5"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 xml:space="preserve">Mirtazapin ger en presynaptisk alfa2 blockad vilket innebär en ökning av såväl serotonerg som noradrenerg transmission. Mirtazapin blockerar också de serotonerga 5-HT2- och 5-HT3-receptorerna och den histaminerga H1-receptorn vilket bidrar till den farmakologiska effekten. Mirtazapin kan användas vid depressioner med högt ångestinslag/agitation eller sömnstörning då man erhåller en snabbare ångestdämpande effekt och sömnen blir bättre jämfört med selektiva serotoninåterupptagshämmare. Med mirtazapin minskar risken för de relativt vanliga sexuella biverkningar (prevalens ca 25 %) som ses vid behandling med selektiva serotoninåterupptagshämmare. </w:t>
      </w:r>
    </w:p>
    <w:p w14:paraId="51F811A0" w14:textId="77777777" w:rsidR="00702564" w:rsidRDefault="00702564" w:rsidP="00702564">
      <w:pPr>
        <w:tabs>
          <w:tab w:val="clear" w:pos="284"/>
        </w:tabs>
        <w:autoSpaceDE w:val="0"/>
        <w:autoSpaceDN w:val="0"/>
        <w:adjustRightInd w:val="0"/>
        <w:rPr>
          <w:rFonts w:cs="Arial"/>
        </w:rPr>
      </w:pPr>
    </w:p>
    <w:p w14:paraId="34C91A4A" w14:textId="77777777" w:rsidR="00702564" w:rsidRPr="00B96B3C" w:rsidRDefault="00702564" w:rsidP="00702564">
      <w:pPr>
        <w:tabs>
          <w:tab w:val="clear" w:pos="284"/>
        </w:tabs>
        <w:autoSpaceDE w:val="0"/>
        <w:autoSpaceDN w:val="0"/>
        <w:adjustRightInd w:val="0"/>
        <w:rPr>
          <w:rFonts w:cs="Arial"/>
          <w:sz w:val="24"/>
          <w:szCs w:val="24"/>
        </w:rPr>
      </w:pPr>
      <w:r w:rsidRPr="00D55F90">
        <w:rPr>
          <w:rFonts w:asciiTheme="majorHAnsi" w:hAnsiTheme="majorHAnsi" w:cs="Arial"/>
          <w:sz w:val="24"/>
          <w:szCs w:val="24"/>
        </w:rPr>
        <w:t xml:space="preserve">Biverkningar </w:t>
      </w:r>
      <w:r>
        <w:rPr>
          <w:rFonts w:asciiTheme="majorHAnsi" w:hAnsiTheme="majorHAnsi" w:cs="Arial"/>
          <w:sz w:val="24"/>
          <w:szCs w:val="24"/>
        </w:rPr>
        <w:br/>
      </w:r>
      <w:r w:rsidRPr="3A20558F">
        <w:rPr>
          <w:rFonts w:cs="Arial"/>
          <w:sz w:val="24"/>
          <w:szCs w:val="24"/>
        </w:rPr>
        <w:t xml:space="preserve">Vid mirtazapinbehandling är framför allt viktuppgång, förstoppning, sedation, yrsel, och muntorrhet (har viss antikolinerg effekt) vanliga biverkningar. Inre rastlöshet och förvirring kan förekomma. </w:t>
      </w:r>
      <w:r>
        <w:rPr>
          <w:rFonts w:cs="Arial"/>
          <w:sz w:val="24"/>
          <w:szCs w:val="24"/>
        </w:rPr>
        <w:br/>
      </w:r>
      <w:r w:rsidRPr="3A20558F">
        <w:rPr>
          <w:rFonts w:cs="Arial"/>
          <w:sz w:val="24"/>
          <w:szCs w:val="24"/>
        </w:rPr>
        <w:t xml:space="preserve">En övergående dagtrötthet förekommer ofta (antihistaminerg effekt). På grund av de sederande egenskaperna kan koncentrations- och reaktionsförmågan påverkas varför det är en fördel att patienten tar mirtazapin på kvällen. Kost- och motionsråd är viktiga på grund av risken för viktuppgång. Benmärgsdepression har rapporterats vid behandling med mirtazapin. </w:t>
      </w:r>
      <w:r>
        <w:rPr>
          <w:rFonts w:cs="Arial"/>
          <w:sz w:val="24"/>
          <w:szCs w:val="24"/>
        </w:rPr>
        <w:br/>
      </w:r>
      <w:r w:rsidRPr="3A20558F">
        <w:rPr>
          <w:rFonts w:cs="Arial"/>
          <w:sz w:val="24"/>
          <w:szCs w:val="24"/>
        </w:rPr>
        <w:t xml:space="preserve">I övrigt likartade biverkningar som SSRI. </w:t>
      </w:r>
    </w:p>
    <w:p w14:paraId="220269B1" w14:textId="77777777" w:rsidR="00702564" w:rsidRDefault="00702564" w:rsidP="00702564">
      <w:pPr>
        <w:tabs>
          <w:tab w:val="clear" w:pos="284"/>
        </w:tabs>
        <w:autoSpaceDE w:val="0"/>
        <w:autoSpaceDN w:val="0"/>
        <w:adjustRightInd w:val="0"/>
        <w:rPr>
          <w:rFonts w:ascii="Arial" w:hAnsi="Arial" w:cs="Arial"/>
          <w:b/>
          <w:bCs/>
        </w:rPr>
      </w:pPr>
    </w:p>
    <w:p w14:paraId="519D78DA" w14:textId="77777777" w:rsidR="00702564" w:rsidRPr="007E7A2A" w:rsidRDefault="00702564" w:rsidP="00702564">
      <w:pPr>
        <w:tabs>
          <w:tab w:val="clear" w:pos="284"/>
        </w:tabs>
        <w:autoSpaceDE w:val="0"/>
        <w:autoSpaceDN w:val="0"/>
        <w:adjustRightInd w:val="0"/>
        <w:rPr>
          <w:rFonts w:asciiTheme="majorHAnsi" w:hAnsiTheme="majorHAnsi" w:cs="Arial"/>
          <w:sz w:val="24"/>
          <w:szCs w:val="24"/>
        </w:rPr>
      </w:pPr>
      <w:r>
        <w:rPr>
          <w:rFonts w:asciiTheme="majorHAnsi" w:hAnsiTheme="majorHAnsi" w:cs="Arial"/>
          <w:b/>
          <w:bCs/>
          <w:sz w:val="24"/>
          <w:szCs w:val="24"/>
        </w:rPr>
        <w:t>Duloxetin</w:t>
      </w:r>
    </w:p>
    <w:p w14:paraId="4E0D940D" w14:textId="49AD406B" w:rsidR="00702564" w:rsidRDefault="00702564" w:rsidP="00702564">
      <w:pPr>
        <w:tabs>
          <w:tab w:val="clear" w:pos="284"/>
        </w:tabs>
        <w:autoSpaceDE w:val="0"/>
        <w:autoSpaceDN w:val="0"/>
        <w:adjustRightInd w:val="0"/>
        <w:spacing w:before="120"/>
        <w:rPr>
          <w:rFonts w:cs="Arial"/>
          <w:sz w:val="24"/>
          <w:szCs w:val="24"/>
        </w:rPr>
      </w:pPr>
      <w:r>
        <w:rPr>
          <w:rFonts w:cs="Arial"/>
          <w:sz w:val="24"/>
          <w:szCs w:val="24"/>
        </w:rPr>
        <w:t xml:space="preserve">Duloxetin, som </w:t>
      </w:r>
      <w:r w:rsidRPr="3A20558F">
        <w:rPr>
          <w:rFonts w:cs="Arial"/>
          <w:sz w:val="24"/>
          <w:szCs w:val="24"/>
        </w:rPr>
        <w:t>hämmar återupptaget av både noradrenalin och serotonin</w:t>
      </w:r>
      <w:r>
        <w:rPr>
          <w:rFonts w:cs="Arial"/>
          <w:sz w:val="24"/>
          <w:szCs w:val="24"/>
        </w:rPr>
        <w:t xml:space="preserve">, rekommenderas som andrahandsval vid depression. Rekommenderad startdos vid depression är 60 mg men vid samtidigt inslag av ångest rekommenderas att starta behandlingen med 30 mg. </w:t>
      </w:r>
      <w:r w:rsidR="00BB6263">
        <w:rPr>
          <w:rFonts w:cs="Arial"/>
          <w:sz w:val="24"/>
          <w:szCs w:val="24"/>
        </w:rPr>
        <w:br/>
      </w:r>
      <w:r>
        <w:rPr>
          <w:rFonts w:cs="Arial"/>
          <w:sz w:val="24"/>
          <w:szCs w:val="24"/>
        </w:rPr>
        <w:t>Vid samtidig depression och neuropatisk och/eller nociplastisk smärta kan duloxetin vara ett lämpligt alternativ.</w:t>
      </w:r>
      <w:r w:rsidR="00BB6263">
        <w:rPr>
          <w:rFonts w:cs="Arial"/>
          <w:sz w:val="24"/>
          <w:szCs w:val="24"/>
        </w:rPr>
        <w:t xml:space="preserve"> </w:t>
      </w:r>
      <w:r w:rsidR="00BB6263">
        <w:rPr>
          <w:rFonts w:cs="Arial"/>
          <w:sz w:val="24"/>
          <w:szCs w:val="24"/>
        </w:rPr>
        <w:br/>
      </w:r>
      <w:r>
        <w:rPr>
          <w:rFonts w:cs="Arial"/>
          <w:sz w:val="24"/>
          <w:szCs w:val="24"/>
        </w:rPr>
        <w:t>Vid rökning (tobak) induceras metabolismen av duloxetin vilket kan leda till sänkt serumkoncentration av duloxetin.</w:t>
      </w:r>
    </w:p>
    <w:p w14:paraId="79F58492" w14:textId="77777777" w:rsidR="00702564" w:rsidRDefault="00702564" w:rsidP="00702564">
      <w:pPr>
        <w:tabs>
          <w:tab w:val="clear" w:pos="284"/>
        </w:tabs>
        <w:rPr>
          <w:rFonts w:cs="Arial"/>
          <w:sz w:val="24"/>
          <w:szCs w:val="24"/>
        </w:rPr>
      </w:pPr>
      <w:r>
        <w:br/>
      </w:r>
      <w:r w:rsidRPr="0055305B">
        <w:rPr>
          <w:rFonts w:asciiTheme="majorHAnsi" w:hAnsiTheme="majorHAnsi" w:cs="Arial"/>
          <w:b/>
          <w:bCs/>
          <w:sz w:val="24"/>
          <w:szCs w:val="24"/>
        </w:rPr>
        <w:t>Biverkningar</w:t>
      </w:r>
      <w:r>
        <w:rPr>
          <w:rFonts w:asciiTheme="majorHAnsi" w:hAnsiTheme="majorHAnsi" w:cs="Arial"/>
          <w:sz w:val="24"/>
          <w:szCs w:val="24"/>
        </w:rPr>
        <w:br/>
      </w:r>
      <w:r w:rsidRPr="001B3BB0">
        <w:rPr>
          <w:rFonts w:cs="Arial"/>
          <w:sz w:val="24"/>
          <w:szCs w:val="24"/>
        </w:rPr>
        <w:t xml:space="preserve">Då </w:t>
      </w:r>
      <w:r>
        <w:rPr>
          <w:rFonts w:cs="Arial"/>
          <w:sz w:val="24"/>
          <w:szCs w:val="24"/>
        </w:rPr>
        <w:t>duloxetin</w:t>
      </w:r>
      <w:r w:rsidRPr="001B3BB0">
        <w:rPr>
          <w:rFonts w:cs="Arial"/>
          <w:sz w:val="24"/>
          <w:szCs w:val="24"/>
        </w:rPr>
        <w:t xml:space="preserve"> påverkar återupptaget av noradrenalin kan biverkningar på hjärtkärlsystemet ses i form av hypertension vilket bör följas upp</w:t>
      </w:r>
      <w:r>
        <w:rPr>
          <w:rFonts w:cs="Arial"/>
          <w:sz w:val="24"/>
          <w:szCs w:val="24"/>
        </w:rPr>
        <w:t>.</w:t>
      </w:r>
      <w:r w:rsidRPr="001B3BB0">
        <w:rPr>
          <w:rFonts w:cs="Arial"/>
          <w:sz w:val="24"/>
          <w:szCs w:val="24"/>
        </w:rPr>
        <w:t xml:space="preserve"> Hämning av det noradrenerga återupptaget kan öka hjärtfrekvensen något.</w:t>
      </w:r>
      <w:r>
        <w:rPr>
          <w:rFonts w:cs="Arial"/>
          <w:sz w:val="24"/>
          <w:szCs w:val="24"/>
        </w:rPr>
        <w:t xml:space="preserve"> </w:t>
      </w:r>
      <w:r w:rsidRPr="001B3BB0">
        <w:rPr>
          <w:rFonts w:cs="Arial"/>
          <w:sz w:val="24"/>
          <w:szCs w:val="24"/>
        </w:rPr>
        <w:br/>
        <w:t xml:space="preserve">I övrigt har </w:t>
      </w:r>
      <w:r>
        <w:rPr>
          <w:rFonts w:cs="Arial"/>
          <w:sz w:val="24"/>
          <w:szCs w:val="24"/>
        </w:rPr>
        <w:t>duloxetin</w:t>
      </w:r>
      <w:r w:rsidRPr="001B3BB0">
        <w:rPr>
          <w:rFonts w:cs="Arial"/>
          <w:sz w:val="24"/>
          <w:szCs w:val="24"/>
        </w:rPr>
        <w:t xml:space="preserve"> likartade biverkningar som selektiva serotoninåterupptagshämmare inklusive de sexuella biverkningarna.</w:t>
      </w:r>
      <w:r w:rsidRPr="008740BE">
        <w:rPr>
          <w:rFonts w:cs="Arial"/>
        </w:rPr>
        <w:t xml:space="preserve"> </w:t>
      </w:r>
      <w:r>
        <w:rPr>
          <w:rFonts w:cs="Arial"/>
          <w:sz w:val="24"/>
          <w:szCs w:val="24"/>
        </w:rPr>
        <w:br w:type="page"/>
      </w:r>
    </w:p>
    <w:p w14:paraId="5AEBCAAD" w14:textId="77777777" w:rsidR="00702564" w:rsidRPr="007E7A2A" w:rsidRDefault="00702564" w:rsidP="00702564">
      <w:pPr>
        <w:tabs>
          <w:tab w:val="clear" w:pos="284"/>
        </w:tabs>
        <w:autoSpaceDE w:val="0"/>
        <w:autoSpaceDN w:val="0"/>
        <w:adjustRightInd w:val="0"/>
        <w:rPr>
          <w:rFonts w:asciiTheme="majorHAnsi" w:hAnsiTheme="majorHAnsi" w:cs="Arial"/>
          <w:b/>
          <w:bCs/>
          <w:sz w:val="24"/>
          <w:szCs w:val="24"/>
        </w:rPr>
      </w:pPr>
      <w:r w:rsidRPr="3A20558F">
        <w:rPr>
          <w:rFonts w:asciiTheme="majorHAnsi" w:hAnsiTheme="majorHAnsi" w:cs="Arial"/>
          <w:b/>
          <w:bCs/>
          <w:sz w:val="24"/>
          <w:szCs w:val="24"/>
        </w:rPr>
        <w:lastRenderedPageBreak/>
        <w:t xml:space="preserve">Behandlingseffekt </w:t>
      </w:r>
    </w:p>
    <w:p w14:paraId="155CBC56" w14:textId="22E3F148"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Behandlingseffekt och biverkningar bör utvärderas regelbundet tills dess att remission uppnås.</w:t>
      </w:r>
      <w:r w:rsidR="00BB6263">
        <w:rPr>
          <w:rFonts w:cs="Arial"/>
          <w:sz w:val="24"/>
          <w:szCs w:val="24"/>
        </w:rPr>
        <w:t xml:space="preserve"> </w:t>
      </w:r>
      <w:r w:rsidRPr="3A20558F">
        <w:rPr>
          <w:rFonts w:cs="Arial"/>
          <w:sz w:val="24"/>
          <w:szCs w:val="24"/>
        </w:rPr>
        <w:t xml:space="preserve">Tänk på att titrera upp till terapeutisk dos (se tabell antidepressiva läkemedel i slutet av avsnittet) innan utvärdering av effekt. Vid allvarliga biverkningar ska behandlingen avslutas omgående – </w:t>
      </w:r>
      <w:r>
        <w:rPr>
          <w:rFonts w:cs="Arial"/>
          <w:sz w:val="24"/>
          <w:szCs w:val="24"/>
        </w:rPr>
        <w:br/>
      </w:r>
      <w:r w:rsidRPr="3A20558F">
        <w:rPr>
          <w:rFonts w:cs="Arial"/>
          <w:sz w:val="24"/>
          <w:szCs w:val="24"/>
        </w:rPr>
        <w:t xml:space="preserve">se utsättningsavsnittet nedan. Behandlingen bör utvärderas efter 2 och 4 veckor samt </w:t>
      </w:r>
      <w:r>
        <w:rPr>
          <w:rFonts w:cs="Arial"/>
          <w:sz w:val="24"/>
          <w:szCs w:val="24"/>
        </w:rPr>
        <w:br/>
      </w:r>
      <w:r w:rsidRPr="3A20558F">
        <w:rPr>
          <w:rFonts w:cs="Arial"/>
          <w:sz w:val="24"/>
          <w:szCs w:val="24"/>
        </w:rPr>
        <w:t>efter 2 och 6 månader. Om patienten har en ökad suicidrisk eller är yngre än 30 år bör uppföljning ske efter 1 veckas behandling och därefter regelbundet till dess att suicidrisken inte längre är förhöjd.</w:t>
      </w:r>
      <w:r w:rsidR="00BB6263">
        <w:rPr>
          <w:rFonts w:cs="Arial"/>
          <w:sz w:val="24"/>
          <w:szCs w:val="24"/>
        </w:rPr>
        <w:t xml:space="preserve"> </w:t>
      </w:r>
      <w:r w:rsidR="00BB6263">
        <w:rPr>
          <w:rFonts w:cs="Arial"/>
          <w:sz w:val="24"/>
          <w:szCs w:val="24"/>
        </w:rPr>
        <w:br/>
      </w:r>
      <w:r w:rsidRPr="3A20558F">
        <w:rPr>
          <w:rFonts w:cs="Arial"/>
          <w:sz w:val="24"/>
          <w:szCs w:val="24"/>
        </w:rPr>
        <w:t xml:space="preserve">En 50 % minskning av symtomen inom 1–2 månader kan anses som adekvat respons. </w:t>
      </w:r>
      <w:r>
        <w:br/>
      </w:r>
      <w:r w:rsidRPr="3A20558F">
        <w:rPr>
          <w:rFonts w:cs="Arial"/>
          <w:sz w:val="24"/>
          <w:szCs w:val="24"/>
        </w:rPr>
        <w:t xml:space="preserve">Om utvärdering efter två veckor inte visar en förbättring av symtomen med mer än 25 % bör </w:t>
      </w:r>
      <w:r>
        <w:rPr>
          <w:rFonts w:cs="Arial"/>
          <w:sz w:val="24"/>
          <w:szCs w:val="24"/>
        </w:rPr>
        <w:br/>
      </w:r>
      <w:r w:rsidRPr="3A20558F">
        <w:rPr>
          <w:rFonts w:cs="Arial"/>
          <w:sz w:val="24"/>
          <w:szCs w:val="24"/>
        </w:rPr>
        <w:t>dosen höjas.</w:t>
      </w:r>
      <w:r w:rsidR="00BB6263">
        <w:rPr>
          <w:rFonts w:cs="Arial"/>
          <w:sz w:val="24"/>
          <w:szCs w:val="24"/>
        </w:rPr>
        <w:t xml:space="preserve"> </w:t>
      </w:r>
      <w:r w:rsidR="00BB6263">
        <w:rPr>
          <w:rFonts w:cs="Arial"/>
          <w:sz w:val="24"/>
          <w:szCs w:val="24"/>
        </w:rPr>
        <w:br/>
      </w:r>
      <w:r w:rsidRPr="3A20558F">
        <w:rPr>
          <w:rFonts w:cs="Arial"/>
          <w:sz w:val="24"/>
          <w:szCs w:val="24"/>
        </w:rPr>
        <w:t>Ungefär hälften av patienterna svarar på första SSRI-preparatet. 30–35 % av patienterna uppnår inte remission vid behandlingen med det första läkemedlet på grund av utebliven effekt eller biverkningar. Följsamheten till antidepressiv behandling bör aktivt efterfrågas då det i observationsstudier har setts att ca. 50 % har avslutat sin behandling efter ca 3 månader.</w:t>
      </w:r>
      <w:r w:rsidR="00BB6263">
        <w:rPr>
          <w:rFonts w:cs="Arial"/>
          <w:sz w:val="24"/>
          <w:szCs w:val="24"/>
        </w:rPr>
        <w:t xml:space="preserve"> </w:t>
      </w:r>
      <w:r w:rsidR="00BB6263">
        <w:rPr>
          <w:rFonts w:cs="Arial"/>
          <w:sz w:val="24"/>
          <w:szCs w:val="24"/>
        </w:rPr>
        <w:br/>
      </w:r>
      <w:r w:rsidRPr="3A20558F">
        <w:rPr>
          <w:rFonts w:cs="Arial"/>
          <w:sz w:val="24"/>
          <w:szCs w:val="24"/>
        </w:rPr>
        <w:t xml:space="preserve">Serumkoncentrationsbestämning kan övervägas vid misstanke om bristande följsamhet och då svårare biverkningar uppstår vid låga doser (se Analysportalen på intranätet). </w:t>
      </w:r>
      <w:r>
        <w:br/>
      </w:r>
      <w:r w:rsidRPr="3A20558F">
        <w:rPr>
          <w:rFonts w:cs="Arial"/>
          <w:sz w:val="24"/>
          <w:szCs w:val="24"/>
        </w:rPr>
        <w:t xml:space="preserve">Efter byte av läkemedel kan tiden till full behandlingseffekt uppnås bli längre, ibland upp </w:t>
      </w:r>
      <w:r>
        <w:rPr>
          <w:rFonts w:cs="Arial"/>
          <w:sz w:val="24"/>
          <w:szCs w:val="24"/>
        </w:rPr>
        <w:br/>
      </w:r>
      <w:r w:rsidRPr="3A20558F">
        <w:rPr>
          <w:rFonts w:cs="Arial"/>
          <w:sz w:val="24"/>
          <w:szCs w:val="24"/>
        </w:rPr>
        <w:t>till 8–12 veckor.</w:t>
      </w:r>
    </w:p>
    <w:p w14:paraId="21B1EB56" w14:textId="77777777" w:rsidR="00702564" w:rsidRPr="00892BC0" w:rsidRDefault="00702564" w:rsidP="00702564">
      <w:pPr>
        <w:tabs>
          <w:tab w:val="clear" w:pos="284"/>
        </w:tabs>
        <w:autoSpaceDE w:val="0"/>
        <w:autoSpaceDN w:val="0"/>
        <w:adjustRightInd w:val="0"/>
        <w:rPr>
          <w:rFonts w:cs="Arial"/>
        </w:rPr>
      </w:pPr>
    </w:p>
    <w:p w14:paraId="419E0FA5" w14:textId="77777777" w:rsidR="00702564" w:rsidRPr="007E7A2A" w:rsidRDefault="00702564" w:rsidP="00702564">
      <w:pPr>
        <w:tabs>
          <w:tab w:val="clear" w:pos="284"/>
        </w:tabs>
        <w:autoSpaceDE w:val="0"/>
        <w:autoSpaceDN w:val="0"/>
        <w:adjustRightInd w:val="0"/>
        <w:rPr>
          <w:rFonts w:asciiTheme="majorHAnsi" w:hAnsiTheme="majorHAnsi" w:cs="Arial"/>
          <w:b/>
          <w:bCs/>
          <w:sz w:val="24"/>
          <w:szCs w:val="24"/>
        </w:rPr>
      </w:pPr>
      <w:r w:rsidRPr="3A20558F">
        <w:rPr>
          <w:rFonts w:asciiTheme="majorHAnsi" w:hAnsiTheme="majorHAnsi" w:cs="Arial"/>
          <w:b/>
          <w:bCs/>
          <w:sz w:val="24"/>
          <w:szCs w:val="24"/>
        </w:rPr>
        <w:t xml:space="preserve">Behandlingstid </w:t>
      </w:r>
    </w:p>
    <w:p w14:paraId="67CAF8C4"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Behandlingstiden vid depression räknas som tiden efter full remission och bör vara 1 år vid förstagångsinsjuknande, minst 2 år vid andragångsinsjuknande och vid fler än 2 episoder eller allvarliga symptom ska diagnosen omvärderas och långtidsbehandling övervägas.</w:t>
      </w:r>
    </w:p>
    <w:p w14:paraId="70B67082" w14:textId="77777777" w:rsidR="00702564" w:rsidRPr="00892BC0" w:rsidRDefault="00702564" w:rsidP="00702564">
      <w:pPr>
        <w:tabs>
          <w:tab w:val="clear" w:pos="284"/>
        </w:tabs>
        <w:autoSpaceDE w:val="0"/>
        <w:autoSpaceDN w:val="0"/>
        <w:adjustRightInd w:val="0"/>
        <w:rPr>
          <w:rFonts w:asciiTheme="minorHAnsi" w:hAnsiTheme="minorHAnsi" w:cs="Arial"/>
        </w:rPr>
      </w:pPr>
    </w:p>
    <w:p w14:paraId="22072E5A" w14:textId="77777777" w:rsidR="00702564" w:rsidRPr="007E7A2A" w:rsidRDefault="00702564" w:rsidP="00702564">
      <w:pPr>
        <w:tabs>
          <w:tab w:val="clear" w:pos="284"/>
        </w:tabs>
        <w:autoSpaceDE w:val="0"/>
        <w:autoSpaceDN w:val="0"/>
        <w:adjustRightInd w:val="0"/>
        <w:rPr>
          <w:rFonts w:asciiTheme="majorHAnsi" w:hAnsiTheme="majorHAnsi" w:cs="Arial"/>
          <w:b/>
          <w:bCs/>
          <w:sz w:val="24"/>
          <w:szCs w:val="24"/>
        </w:rPr>
      </w:pPr>
      <w:r w:rsidRPr="3A20558F">
        <w:rPr>
          <w:rFonts w:asciiTheme="majorHAnsi" w:hAnsiTheme="majorHAnsi" w:cs="Arial"/>
          <w:b/>
          <w:bCs/>
          <w:sz w:val="24"/>
          <w:szCs w:val="24"/>
        </w:rPr>
        <w:t>Uppföljning/utvärdering</w:t>
      </w:r>
    </w:p>
    <w:p w14:paraId="088A07BE"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 xml:space="preserve">Under det inledande skedet, innan medicinering har full effekt, är det speciellt viktigt med uppföljningar genom återbesök eller telefonkontakt. Det ger en möjlighet att påverka medicineringsföljsamheten då risken annars är stor att patienten avbryter på grund av biverkningar och latensen till full effekt. Det kan också vara ett kritiskt skede för patienter med suicidrisk som ökas av hög ångestnivå och depressivt präglad uppgivenhet eller misstro att någonsin kunna </w:t>
      </w:r>
      <w:r>
        <w:rPr>
          <w:rFonts w:cs="Arial"/>
          <w:sz w:val="24"/>
          <w:szCs w:val="24"/>
        </w:rPr>
        <w:br/>
      </w:r>
      <w:r w:rsidRPr="3A20558F">
        <w:rPr>
          <w:rFonts w:cs="Arial"/>
          <w:sz w:val="24"/>
          <w:szCs w:val="24"/>
        </w:rPr>
        <w:t xml:space="preserve">må bra igen. Uttalat snabb effekt av medicinering; inom några dagar, kan tala för underliggande bipolär sjukdom och är ett observandum. </w:t>
      </w:r>
    </w:p>
    <w:p w14:paraId="3257BDB8" w14:textId="77777777" w:rsidR="00702564" w:rsidRPr="00074221" w:rsidRDefault="00702564" w:rsidP="00702564">
      <w:pPr>
        <w:pStyle w:val="Rubrik3"/>
      </w:pPr>
      <w:r>
        <w:t>Byte av läkemedel</w:t>
      </w:r>
    </w:p>
    <w:p w14:paraId="297DD1EE" w14:textId="46896956"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 xml:space="preserve">Överväg att byta läkemedelsbehandling om inte önskvärd effekt har uppnåtts efter att patienten har behandlats med den maximala tolererbara dosen under 4–6 veckor. </w:t>
      </w:r>
      <w:r w:rsidR="00BB6263">
        <w:rPr>
          <w:rFonts w:cs="Arial"/>
          <w:sz w:val="24"/>
          <w:szCs w:val="24"/>
        </w:rPr>
        <w:br/>
      </w:r>
      <w:r w:rsidRPr="3A20558F">
        <w:rPr>
          <w:rFonts w:cs="Arial"/>
          <w:sz w:val="24"/>
          <w:szCs w:val="24"/>
        </w:rPr>
        <w:t xml:space="preserve">Vid byte av läkemedelsbehandling kan byte inom samma läkemedelsklass göras, dvs byta ett SSRI mot ett annat SSRI. Att byta mellan de olika selektiva serotoninåterupptagshämmarna, på grund av intolerans och utebliven effekt, kan vara värt att prova då ytterligare respons kan erhållas. </w:t>
      </w:r>
      <w:r>
        <w:rPr>
          <w:rFonts w:cs="Arial"/>
          <w:sz w:val="24"/>
          <w:szCs w:val="24"/>
        </w:rPr>
        <w:br/>
      </w:r>
      <w:r w:rsidRPr="3A20558F">
        <w:rPr>
          <w:rFonts w:cs="Arial"/>
          <w:sz w:val="24"/>
          <w:szCs w:val="24"/>
        </w:rPr>
        <w:t xml:space="preserve">Att byta från ett SSRI till ett annat SSRI kan i de flesta fall göras utan nedtrappning </w:t>
      </w:r>
      <w:r>
        <w:rPr>
          <w:rFonts w:cs="Arial"/>
          <w:sz w:val="24"/>
          <w:szCs w:val="24"/>
        </w:rPr>
        <w:br/>
      </w:r>
      <w:r w:rsidRPr="3A20558F">
        <w:rPr>
          <w:rFonts w:cs="Arial"/>
          <w:sz w:val="24"/>
          <w:szCs w:val="24"/>
        </w:rPr>
        <w:t xml:space="preserve">(fluoxetin undantaget på grund av dess långa halveringstid). Alternativt kan man byta till exempelvis mirtazapin eller </w:t>
      </w:r>
      <w:r>
        <w:rPr>
          <w:rFonts w:cs="Arial"/>
          <w:sz w:val="24"/>
          <w:szCs w:val="24"/>
        </w:rPr>
        <w:t>duloxetin</w:t>
      </w:r>
      <w:r w:rsidRPr="3A20558F">
        <w:rPr>
          <w:rFonts w:cs="Arial"/>
          <w:sz w:val="24"/>
          <w:szCs w:val="24"/>
        </w:rPr>
        <w:t xml:space="preserve">. Vid byte till mirtazapin eller </w:t>
      </w:r>
      <w:r>
        <w:rPr>
          <w:rFonts w:cs="Arial"/>
          <w:sz w:val="24"/>
          <w:szCs w:val="24"/>
        </w:rPr>
        <w:t>duloxetin</w:t>
      </w:r>
      <w:r w:rsidRPr="3A20558F">
        <w:rPr>
          <w:rFonts w:cs="Arial"/>
          <w:sz w:val="24"/>
          <w:szCs w:val="24"/>
        </w:rPr>
        <w:t xml:space="preserve"> bör det läkemedel </w:t>
      </w:r>
      <w:r w:rsidRPr="3A20558F">
        <w:rPr>
          <w:rFonts w:cs="Arial"/>
          <w:sz w:val="24"/>
          <w:szCs w:val="24"/>
        </w:rPr>
        <w:lastRenderedPageBreak/>
        <w:t xml:space="preserve">som ska sättas ut trappas ut och det nya trappas in samtidigt (cross-tapper); direkt byte fungerar dock hos en del av patienterna. </w:t>
      </w:r>
      <w:r w:rsidR="00BB6263">
        <w:rPr>
          <w:rFonts w:cs="Arial"/>
          <w:sz w:val="24"/>
          <w:szCs w:val="24"/>
        </w:rPr>
        <w:br/>
      </w:r>
      <w:r w:rsidRPr="3A20558F">
        <w:rPr>
          <w:rFonts w:cs="Arial"/>
          <w:sz w:val="24"/>
          <w:szCs w:val="24"/>
        </w:rPr>
        <w:t xml:space="preserve">Vid byte till/från annat antidepressivt läkemedel – se FASS eller kontakta specialist. Observera att det krävs särskilt förfarande med MAO- hämmare som till exempel moklobemid. </w:t>
      </w:r>
    </w:p>
    <w:p w14:paraId="5AEB71D3" w14:textId="77777777" w:rsidR="00702564" w:rsidRPr="00074221" w:rsidRDefault="00702564" w:rsidP="00702564">
      <w:pPr>
        <w:pStyle w:val="Rubrik3"/>
      </w:pPr>
      <w:r>
        <w:t>Kombinationsbehandling</w:t>
      </w:r>
    </w:p>
    <w:p w14:paraId="157A87BE"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 xml:space="preserve">Kombinationsbehandling förekommer men ökar risken för biverkningar. </w:t>
      </w:r>
      <w:r>
        <w:rPr>
          <w:rFonts w:cs="Arial"/>
          <w:sz w:val="24"/>
          <w:szCs w:val="24"/>
        </w:rPr>
        <w:br/>
      </w:r>
      <w:r w:rsidRPr="3A20558F">
        <w:rPr>
          <w:rFonts w:cs="Arial"/>
          <w:sz w:val="24"/>
          <w:szCs w:val="24"/>
        </w:rPr>
        <w:t xml:space="preserve">Evidensen för kombinationsbehandling är dock svag. Konsultera gärna en specialist innan kombinationsbehandling påbörjas. Observera att risken för serotonergt syndrom ökar om flera antidepressiva med påverkan på det serotonerga systemet kombineras. </w:t>
      </w:r>
    </w:p>
    <w:p w14:paraId="18B64091" w14:textId="77777777" w:rsidR="00702564" w:rsidRPr="00074221" w:rsidRDefault="00702564" w:rsidP="00702564">
      <w:pPr>
        <w:pStyle w:val="Rubrik3"/>
      </w:pPr>
      <w:r>
        <w:t>Utsättning av läkemedel</w:t>
      </w:r>
    </w:p>
    <w:p w14:paraId="22D7CB87"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 xml:space="preserve">Antidepressiva läkemedel är inte beroendeframkallande. Däremot ger de upphov till utsättningssymtom vid snabb utsättning. Ju kortare halveringstid desto kraftigare utsättningssymtom. Utsättningssymtomen uppfattas ofta som obehagliga och kan för patienten te sig som ångestmanifestationer och kan tolkas som ett återinsjuknande. Utsättningssymtomen kan bestå av yrsel, ostadighetskänsla, perceptionsstörningar, parestesier, huvudvärk, magbesvär, svettningar och illamående. Kommer symtomen några dagar efter avslutad behandling (snabbt avslut) är det med stor sannolikhet utsättningssymtom. </w:t>
      </w:r>
      <w:r>
        <w:rPr>
          <w:rFonts w:cs="Arial"/>
          <w:sz w:val="24"/>
          <w:szCs w:val="24"/>
        </w:rPr>
        <w:br/>
      </w:r>
      <w:r w:rsidRPr="3A20558F">
        <w:rPr>
          <w:rFonts w:cs="Arial"/>
          <w:sz w:val="24"/>
          <w:szCs w:val="24"/>
        </w:rPr>
        <w:t xml:space="preserve">Kommer däremot besvären flera veckor efter avslutad behandling kan det vara tecken på att depressionen inte behandlats tillräckligt länge. Då behandlingen har pågått i mer än sex veckor bör den inte avslutas abrupt (såvida ingen allvarlig biverkan har inträffat). Variera uttrappningstiden individuellt beroende på läkemedlet, interagerande substanser och hälsotillståndet hos individen: man kan minska dosen var annan – var tredje vecka (se boken </w:t>
      </w:r>
      <w:hyperlink r:id="rId150">
        <w:r w:rsidRPr="3A20558F">
          <w:rPr>
            <w:rStyle w:val="Hyperlnk"/>
            <w:rFonts w:cs="Arial"/>
            <w:sz w:val="24"/>
            <w:szCs w:val="24"/>
          </w:rPr>
          <w:t>FAS-UT</w:t>
        </w:r>
      </w:hyperlink>
      <w:r w:rsidRPr="3A20558F">
        <w:rPr>
          <w:rFonts w:cs="Arial"/>
          <w:sz w:val="24"/>
          <w:szCs w:val="24"/>
        </w:rPr>
        <w:t xml:space="preserve"> för dosrekommendationer). Om utsättningsbesvär uppstår bör man överväga att återuppta läkemedelsbehandlingen på den senaste doseringsnivån så snabbt som möjligt och sedan trappa ut behandlingen. </w:t>
      </w:r>
      <w:r>
        <w:rPr>
          <w:rFonts w:cs="Arial"/>
          <w:sz w:val="24"/>
          <w:szCs w:val="24"/>
        </w:rPr>
        <w:br/>
      </w:r>
      <w:r w:rsidRPr="3A20558F">
        <w:rPr>
          <w:rFonts w:cs="Arial"/>
          <w:sz w:val="24"/>
          <w:szCs w:val="24"/>
        </w:rPr>
        <w:t xml:space="preserve">Symtomen bör då avklinga inom ett dygn om de orsakades av utsättningen. </w:t>
      </w:r>
    </w:p>
    <w:p w14:paraId="4BA7AD25" w14:textId="77777777" w:rsidR="00702564" w:rsidRPr="00074221" w:rsidRDefault="00702564" w:rsidP="00702564">
      <w:pPr>
        <w:pStyle w:val="Rubrik3"/>
      </w:pPr>
      <w:r>
        <w:t>Varför rekommenderas inte?</w:t>
      </w:r>
    </w:p>
    <w:p w14:paraId="7AAA39A2"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sz w:val="24"/>
          <w:szCs w:val="24"/>
        </w:rPr>
        <w:t xml:space="preserve">Om en patient tidigare har svarat väl på behandling med läkemedel från denna grupp bör behandling med samma läkemedel övervägas om inga hinder/kontraindikationer föreligger. </w:t>
      </w:r>
    </w:p>
    <w:p w14:paraId="6F71E9D8"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b/>
          <w:bCs/>
          <w:sz w:val="24"/>
          <w:szCs w:val="24"/>
        </w:rPr>
        <w:t>Tricykliskt antidepressiva</w:t>
      </w:r>
      <w:r w:rsidRPr="3A20558F">
        <w:rPr>
          <w:rFonts w:cs="Arial"/>
          <w:sz w:val="24"/>
          <w:szCs w:val="24"/>
        </w:rPr>
        <w:t xml:space="preserve"> (t.ex. Saroten) rekommenderas inte pga. dess hjärttoxiska effekter vid överdosering samt på grund av biverkningar (framför allt den antikolinerga effekten). </w:t>
      </w:r>
    </w:p>
    <w:p w14:paraId="0024F630"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b/>
          <w:bCs/>
          <w:sz w:val="24"/>
          <w:szCs w:val="24"/>
        </w:rPr>
        <w:t xml:space="preserve">Vortioxetin </w:t>
      </w:r>
      <w:r w:rsidRPr="3A20558F">
        <w:rPr>
          <w:rFonts w:cs="Arial"/>
          <w:sz w:val="24"/>
          <w:szCs w:val="24"/>
        </w:rPr>
        <w:t>har begränsad subvention och subventioneras endast för patienter som provat, men inte uppnått behandlingsmålen med minst ett antidepressivt läkemedel och avbrutit behandlingen.</w:t>
      </w:r>
    </w:p>
    <w:p w14:paraId="25054683"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b/>
          <w:bCs/>
          <w:sz w:val="24"/>
          <w:szCs w:val="24"/>
        </w:rPr>
        <w:t>Moklobemid</w:t>
      </w:r>
      <w:r w:rsidRPr="3A20558F">
        <w:rPr>
          <w:rFonts w:cs="Arial"/>
          <w:sz w:val="24"/>
          <w:szCs w:val="24"/>
        </w:rPr>
        <w:t xml:space="preserve"> är en monoaminoxidashämmare och rekommenderas inte då byte till och från detta preparat kräver särskild uppmärksamhet. </w:t>
      </w:r>
    </w:p>
    <w:p w14:paraId="566ED679" w14:textId="77777777" w:rsidR="00702564" w:rsidRPr="00B96B3C" w:rsidRDefault="00702564" w:rsidP="00702564">
      <w:pPr>
        <w:tabs>
          <w:tab w:val="clear" w:pos="284"/>
        </w:tabs>
        <w:autoSpaceDE w:val="0"/>
        <w:autoSpaceDN w:val="0"/>
        <w:adjustRightInd w:val="0"/>
        <w:spacing w:before="120"/>
        <w:rPr>
          <w:rFonts w:cs="Arial"/>
          <w:sz w:val="24"/>
          <w:szCs w:val="24"/>
        </w:rPr>
      </w:pPr>
      <w:r w:rsidRPr="3A20558F">
        <w:rPr>
          <w:rFonts w:cs="Arial"/>
          <w:b/>
          <w:bCs/>
          <w:sz w:val="24"/>
          <w:szCs w:val="24"/>
        </w:rPr>
        <w:t>Reboxetin</w:t>
      </w:r>
      <w:r w:rsidRPr="3A20558F">
        <w:rPr>
          <w:rFonts w:cs="Arial"/>
          <w:sz w:val="24"/>
          <w:szCs w:val="24"/>
        </w:rPr>
        <w:t xml:space="preserve"> har i en stor metaanalys visats ha något sämre effekt samt ha en sämre följsamhet hos patienterna</w:t>
      </w:r>
      <w:r w:rsidRPr="3A20558F">
        <w:rPr>
          <w:sz w:val="24"/>
          <w:szCs w:val="24"/>
        </w:rPr>
        <w:t xml:space="preserve"> </w:t>
      </w:r>
      <w:r w:rsidRPr="3A20558F">
        <w:rPr>
          <w:rFonts w:cs="Arial"/>
          <w:sz w:val="24"/>
          <w:szCs w:val="24"/>
        </w:rPr>
        <w:t>jämfört med flera av de antidepressiva läkemedlen.</w:t>
      </w:r>
    </w:p>
    <w:p w14:paraId="7526C1BC" w14:textId="77777777" w:rsidR="00702564" w:rsidRDefault="00702564" w:rsidP="00702564">
      <w:pPr>
        <w:tabs>
          <w:tab w:val="clear" w:pos="284"/>
        </w:tabs>
        <w:autoSpaceDE w:val="0"/>
        <w:autoSpaceDN w:val="0"/>
        <w:adjustRightInd w:val="0"/>
        <w:spacing w:before="120"/>
        <w:rPr>
          <w:rFonts w:cs="Arial"/>
          <w:sz w:val="24"/>
          <w:szCs w:val="24"/>
        </w:rPr>
      </w:pPr>
      <w:r w:rsidRPr="3A20558F">
        <w:rPr>
          <w:rFonts w:cs="Arial"/>
          <w:b/>
          <w:bCs/>
          <w:sz w:val="24"/>
          <w:szCs w:val="24"/>
        </w:rPr>
        <w:lastRenderedPageBreak/>
        <w:t>Fluvoxamin</w:t>
      </w:r>
      <w:r w:rsidRPr="3A20558F">
        <w:rPr>
          <w:rFonts w:cs="Arial"/>
          <w:sz w:val="24"/>
          <w:szCs w:val="24"/>
        </w:rPr>
        <w:t xml:space="preserve"> hämmar flera olika cytokrom P450 enzym, framför allt CYP1A2 och CYP2C19, vilket medför att det kan vara svårt att kombinera med annan läkemedelsbehandling.</w:t>
      </w:r>
    </w:p>
    <w:p w14:paraId="6AE34B12" w14:textId="77777777" w:rsidR="00702564" w:rsidRPr="00074221" w:rsidRDefault="00702564" w:rsidP="00702564">
      <w:pPr>
        <w:pStyle w:val="Rubrik3"/>
      </w:pPr>
      <w:r>
        <w:t>Länkar och referenser</w:t>
      </w:r>
    </w:p>
    <w:p w14:paraId="2CC3E275" w14:textId="77777777" w:rsidR="00702564" w:rsidRPr="003C3AB5" w:rsidRDefault="00702564" w:rsidP="00702564">
      <w:pPr>
        <w:tabs>
          <w:tab w:val="clear" w:pos="284"/>
        </w:tabs>
        <w:autoSpaceDE w:val="0"/>
        <w:autoSpaceDN w:val="0"/>
        <w:adjustRightInd w:val="0"/>
        <w:spacing w:before="120" w:line="240" w:lineRule="auto"/>
        <w:rPr>
          <w:color w:val="0070C0"/>
        </w:rPr>
      </w:pPr>
      <w:hyperlink r:id="rId151" w:history="1">
        <w:r w:rsidRPr="003C3AB5">
          <w:rPr>
            <w:rStyle w:val="Hyperlnk"/>
            <w:rFonts w:cs="Arial"/>
            <w:color w:val="0070C0"/>
          </w:rPr>
          <w:t>Behandling av depressionssjukdomar, SBU-rapport nr 166, 2004.</w:t>
        </w:r>
      </w:hyperlink>
      <w:r w:rsidRPr="003C3AB5">
        <w:rPr>
          <w:rFonts w:cs="Arial"/>
          <w:color w:val="0070C0"/>
        </w:rPr>
        <w:t xml:space="preserve"> </w:t>
      </w:r>
    </w:p>
    <w:p w14:paraId="71D37226" w14:textId="77777777" w:rsidR="00702564" w:rsidRPr="008C5236" w:rsidRDefault="00702564" w:rsidP="00702564">
      <w:pPr>
        <w:tabs>
          <w:tab w:val="clear" w:pos="284"/>
        </w:tabs>
        <w:autoSpaceDE w:val="0"/>
        <w:autoSpaceDN w:val="0"/>
        <w:adjustRightInd w:val="0"/>
        <w:spacing w:before="120" w:line="240" w:lineRule="auto"/>
        <w:rPr>
          <w:color w:val="0070C0"/>
        </w:rPr>
      </w:pPr>
      <w:r w:rsidRPr="3A20558F">
        <w:rPr>
          <w:rFonts w:cs="Arial"/>
        </w:rPr>
        <w:t>Psykiatristöd, Region Stockholm</w:t>
      </w:r>
      <w:r>
        <w:br/>
      </w:r>
      <w:hyperlink r:id="rId152" w:history="1">
        <w:r w:rsidRPr="00586CAB">
          <w:rPr>
            <w:color w:val="0000FF"/>
            <w:u w:val="single"/>
          </w:rPr>
          <w:t>Skattningsskalor - Kunskapsstöd för vårdgivare</w:t>
        </w:r>
      </w:hyperlink>
    </w:p>
    <w:p w14:paraId="57CF1F3A" w14:textId="77777777" w:rsidR="00702564" w:rsidRDefault="00702564" w:rsidP="00702564">
      <w:pPr>
        <w:tabs>
          <w:tab w:val="clear" w:pos="284"/>
        </w:tabs>
        <w:autoSpaceDE w:val="0"/>
        <w:autoSpaceDN w:val="0"/>
        <w:adjustRightInd w:val="0"/>
        <w:spacing w:before="120" w:line="240" w:lineRule="auto"/>
        <w:rPr>
          <w:rFonts w:cs="Arial"/>
        </w:rPr>
      </w:pPr>
      <w:hyperlink r:id="rId153">
        <w:r w:rsidRPr="003C3AB5">
          <w:rPr>
            <w:rStyle w:val="Hyperlnk"/>
            <w:rFonts w:cs="Arial"/>
            <w:color w:val="0070C0"/>
          </w:rPr>
          <w:t>FAS UT 3</w:t>
        </w:r>
      </w:hyperlink>
      <w:r w:rsidRPr="3A20558F">
        <w:rPr>
          <w:rFonts w:cs="Arial"/>
        </w:rPr>
        <w:t xml:space="preserve">, Att utvärdera, ifrågasätta och skonsamt avsluta läkemedelsbehandling, Claes Lundgren, 2010, ISBN 978-91-633-7637-5. </w:t>
      </w:r>
    </w:p>
    <w:p w14:paraId="3FEDE4FD" w14:textId="77777777" w:rsidR="00702564" w:rsidRPr="00385D87" w:rsidRDefault="00702564" w:rsidP="00702564">
      <w:pPr>
        <w:tabs>
          <w:tab w:val="clear" w:pos="284"/>
        </w:tabs>
        <w:autoSpaceDE w:val="0"/>
        <w:autoSpaceDN w:val="0"/>
        <w:adjustRightInd w:val="0"/>
        <w:spacing w:before="120" w:line="240" w:lineRule="auto"/>
        <w:rPr>
          <w:rFonts w:cs="Arial"/>
        </w:rPr>
      </w:pPr>
      <w:r w:rsidRPr="3A20558F">
        <w:rPr>
          <w:rFonts w:cs="Arial"/>
          <w:lang w:val="en-GB"/>
        </w:rPr>
        <w:t xml:space="preserve">Taylor D, Barnes TRE, Young AH (2021). </w:t>
      </w:r>
      <w:r w:rsidRPr="3A20558F">
        <w:rPr>
          <w:rFonts w:cs="Arial"/>
          <w:lang w:val="en-US"/>
        </w:rPr>
        <w:t xml:space="preserve">The Maudsley Prescribing Guidelines 14th Edition. </w:t>
      </w:r>
      <w:r w:rsidRPr="3A20558F">
        <w:rPr>
          <w:rFonts w:cs="Arial"/>
        </w:rPr>
        <w:t>John Wiley &amp; Sons Ltd. ISBN 9781119772224.</w:t>
      </w:r>
    </w:p>
    <w:p w14:paraId="24768D7C" w14:textId="77777777" w:rsidR="00702564" w:rsidRPr="008A019A" w:rsidRDefault="00702564" w:rsidP="00702564">
      <w:pPr>
        <w:tabs>
          <w:tab w:val="clear" w:pos="284"/>
        </w:tabs>
        <w:autoSpaceDE w:val="0"/>
        <w:autoSpaceDN w:val="0"/>
        <w:adjustRightInd w:val="0"/>
        <w:spacing w:before="120" w:line="240" w:lineRule="auto"/>
        <w:rPr>
          <w:color w:val="0000FF"/>
          <w:u w:val="single"/>
        </w:rPr>
      </w:pPr>
      <w:r w:rsidRPr="3A20558F">
        <w:rPr>
          <w:rFonts w:cs="Arial"/>
        </w:rPr>
        <w:t>Nationella riktlinjer för vård vid depression och ångestsyndrom, 2021.</w:t>
      </w:r>
    </w:p>
    <w:p w14:paraId="731EA423" w14:textId="77777777" w:rsidR="00702564" w:rsidRPr="003C3AB5" w:rsidRDefault="00702564" w:rsidP="00702564">
      <w:pPr>
        <w:tabs>
          <w:tab w:val="clear" w:pos="284"/>
        </w:tabs>
        <w:autoSpaceDE w:val="0"/>
        <w:autoSpaceDN w:val="0"/>
        <w:adjustRightInd w:val="0"/>
        <w:spacing w:before="120" w:line="240" w:lineRule="auto"/>
        <w:rPr>
          <w:color w:val="0070C0"/>
        </w:rPr>
      </w:pPr>
      <w:hyperlink r:id="rId154" w:history="1">
        <w:r w:rsidRPr="003C3AB5">
          <w:rPr>
            <w:color w:val="0070C0"/>
            <w:u w:val="single"/>
          </w:rPr>
          <w:t>Nationella riktlinjer för vård vid depression och ångestsyndrom - Socialstyrelsen</w:t>
        </w:r>
      </w:hyperlink>
    </w:p>
    <w:p w14:paraId="798BC79A" w14:textId="77777777" w:rsidR="00702564" w:rsidRDefault="00702564" w:rsidP="00702564">
      <w:pPr>
        <w:tabs>
          <w:tab w:val="clear" w:pos="284"/>
        </w:tabs>
        <w:autoSpaceDE w:val="0"/>
        <w:autoSpaceDN w:val="0"/>
        <w:adjustRightInd w:val="0"/>
        <w:spacing w:before="120" w:line="240" w:lineRule="auto"/>
        <w:rPr>
          <w:noProof/>
          <w:lang w:val="en-US"/>
        </w:rPr>
      </w:pPr>
      <w:r w:rsidRPr="3A20558F">
        <w:rPr>
          <w:rFonts w:cs="Arial"/>
          <w:lang w:val="en-US"/>
        </w:rPr>
        <w:t xml:space="preserve">Cipriani A et al. </w:t>
      </w:r>
      <w:r w:rsidRPr="3A20558F">
        <w:rPr>
          <w:rFonts w:cs="Arial"/>
          <w:lang w:val="en-GB"/>
        </w:rPr>
        <w:t xml:space="preserve">Comparative efficacy and acceptability of 21 antidepressant drugs for the acute treatment of adults with major depressive disorder: a systematic review and network meta-analysis. </w:t>
      </w:r>
      <w:r w:rsidRPr="00422490">
        <w:rPr>
          <w:rFonts w:cs="Arial"/>
          <w:lang w:val="en-US"/>
        </w:rPr>
        <w:t xml:space="preserve">Lancet. 2018 Apr 7;391(10128):1357-1366. </w:t>
      </w:r>
      <w:r w:rsidRPr="00422490">
        <w:rPr>
          <w:noProof/>
          <w:lang w:val="en-US"/>
        </w:rPr>
        <w:t xml:space="preserve"> </w:t>
      </w:r>
    </w:p>
    <w:p w14:paraId="02754693" w14:textId="77777777" w:rsidR="00702564" w:rsidRDefault="00702564" w:rsidP="00702564">
      <w:pPr>
        <w:tabs>
          <w:tab w:val="clear" w:pos="284"/>
        </w:tabs>
        <w:autoSpaceDE w:val="0"/>
        <w:autoSpaceDN w:val="0"/>
        <w:adjustRightInd w:val="0"/>
        <w:spacing w:before="120" w:line="240" w:lineRule="auto"/>
        <w:rPr>
          <w:noProof/>
          <w:lang w:val="en-US"/>
        </w:rPr>
      </w:pPr>
    </w:p>
    <w:p w14:paraId="682130F8" w14:textId="77777777" w:rsidR="00702564" w:rsidRPr="00422490" w:rsidRDefault="00702564" w:rsidP="00702564">
      <w:pPr>
        <w:tabs>
          <w:tab w:val="clear" w:pos="284"/>
        </w:tabs>
        <w:autoSpaceDE w:val="0"/>
        <w:autoSpaceDN w:val="0"/>
        <w:adjustRightInd w:val="0"/>
        <w:spacing w:before="120" w:line="240" w:lineRule="auto"/>
        <w:rPr>
          <w:noProof/>
          <w:lang w:val="en-US"/>
        </w:rPr>
      </w:pPr>
    </w:p>
    <w:p w14:paraId="5C608372" w14:textId="77777777" w:rsidR="00702564" w:rsidRPr="00422490" w:rsidRDefault="00702564" w:rsidP="00702564">
      <w:pPr>
        <w:tabs>
          <w:tab w:val="clear" w:pos="284"/>
        </w:tabs>
        <w:spacing w:after="120" w:line="260" w:lineRule="atLeast"/>
        <w:rPr>
          <w:noProof/>
          <w:lang w:val="en-US"/>
        </w:rPr>
      </w:pPr>
      <w:r w:rsidRPr="00422490">
        <w:rPr>
          <w:noProof/>
          <w:lang w:val="en-US"/>
        </w:rPr>
        <w:br w:type="page"/>
      </w:r>
    </w:p>
    <w:p w14:paraId="7D9F85BA" w14:textId="77777777" w:rsidR="00702564" w:rsidRDefault="00702564" w:rsidP="00702564">
      <w:pPr>
        <w:tabs>
          <w:tab w:val="clear" w:pos="284"/>
        </w:tabs>
        <w:spacing w:after="120" w:line="260" w:lineRule="atLeast"/>
        <w:rPr>
          <w:noProof/>
          <w:lang w:val="en-US"/>
        </w:rPr>
        <w:sectPr w:rsidR="00702564" w:rsidSect="00702564">
          <w:headerReference w:type="even" r:id="rId155"/>
          <w:headerReference w:type="default" r:id="rId156"/>
          <w:footerReference w:type="even" r:id="rId157"/>
          <w:footerReference w:type="default" r:id="rId158"/>
          <w:headerReference w:type="first" r:id="rId159"/>
          <w:footerReference w:type="first" r:id="rId160"/>
          <w:pgSz w:w="11906" w:h="16838" w:code="9"/>
          <w:pgMar w:top="1701" w:right="680" w:bottom="1560" w:left="1985" w:header="709" w:footer="134" w:gutter="0"/>
          <w:cols w:space="284"/>
          <w:titlePg/>
          <w:docGrid w:linePitch="360"/>
        </w:sectPr>
      </w:pPr>
    </w:p>
    <w:tbl>
      <w:tblPr>
        <w:tblStyle w:val="Listtabell3"/>
        <w:tblpPr w:leftFromText="141" w:rightFromText="141" w:vertAnchor="page" w:horzAnchor="margin" w:tblpY="833"/>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526"/>
        <w:gridCol w:w="3152"/>
        <w:gridCol w:w="2552"/>
        <w:gridCol w:w="2268"/>
        <w:gridCol w:w="2835"/>
        <w:gridCol w:w="1701"/>
      </w:tblGrid>
      <w:tr w:rsidR="00702564" w:rsidRPr="00FD7009" w14:paraId="7777B6CB" w14:textId="77777777" w:rsidTr="00632FCC">
        <w:trPr>
          <w:cnfStyle w:val="100000000000" w:firstRow="1" w:lastRow="0" w:firstColumn="0" w:lastColumn="0" w:oddVBand="0" w:evenVBand="0" w:oddHBand="0" w:evenHBand="0" w:firstRowFirstColumn="0" w:firstRowLastColumn="0" w:lastRowFirstColumn="0" w:lastRowLastColumn="0"/>
          <w:trHeight w:val="562"/>
        </w:trPr>
        <w:tc>
          <w:tcPr>
            <w:tcW w:w="1526" w:type="dxa"/>
            <w:hideMark/>
          </w:tcPr>
          <w:p w14:paraId="6BDA1E30" w14:textId="77777777" w:rsidR="00702564" w:rsidRPr="003D42A9" w:rsidRDefault="00702564" w:rsidP="00632FCC">
            <w:pPr>
              <w:spacing w:line="240" w:lineRule="auto"/>
              <w:rPr>
                <w:rFonts w:asciiTheme="minorHAnsi" w:hAnsiTheme="minorHAnsi" w:cs="Arial"/>
                <w:color w:val="FFFFFF" w:themeColor="background2"/>
                <w:sz w:val="16"/>
                <w:szCs w:val="16"/>
              </w:rPr>
            </w:pPr>
            <w:r w:rsidRPr="3A20558F">
              <w:rPr>
                <w:rFonts w:asciiTheme="minorHAnsi" w:hAnsiTheme="minorHAnsi" w:cs="Arial"/>
                <w:color w:val="FFFFFF" w:themeColor="background2"/>
                <w:kern w:val="24"/>
                <w:sz w:val="16"/>
                <w:szCs w:val="16"/>
              </w:rPr>
              <w:lastRenderedPageBreak/>
              <w:t>Substans</w:t>
            </w:r>
          </w:p>
        </w:tc>
        <w:tc>
          <w:tcPr>
            <w:tcW w:w="3152" w:type="dxa"/>
          </w:tcPr>
          <w:p w14:paraId="29C50DC0" w14:textId="77777777" w:rsidR="00702564" w:rsidRPr="003D42A9" w:rsidRDefault="00702564" w:rsidP="00632FCC">
            <w:pPr>
              <w:spacing w:line="240" w:lineRule="auto"/>
              <w:rPr>
                <w:rFonts w:asciiTheme="minorHAnsi" w:hAnsiTheme="minorHAnsi" w:cs="Arial"/>
                <w:color w:val="FFFFFF" w:themeColor="background2"/>
                <w:sz w:val="16"/>
                <w:szCs w:val="16"/>
              </w:rPr>
            </w:pPr>
            <w:r w:rsidRPr="3A20558F">
              <w:rPr>
                <w:rFonts w:asciiTheme="minorHAnsi" w:hAnsiTheme="minorHAnsi" w:cs="Arial"/>
                <w:color w:val="FFFFFF" w:themeColor="background2"/>
                <w:kern w:val="24"/>
                <w:sz w:val="16"/>
                <w:szCs w:val="16"/>
              </w:rPr>
              <w:t>Rekommenderad startdos</w:t>
            </w:r>
            <w:r w:rsidRPr="3A20558F">
              <w:rPr>
                <w:rFonts w:asciiTheme="minorHAnsi" w:hAnsiTheme="minorHAnsi" w:cs="Arial"/>
                <w:color w:val="FFFFFF" w:themeColor="background2"/>
                <w:kern w:val="24"/>
                <w:position w:val="6"/>
                <w:sz w:val="16"/>
                <w:szCs w:val="16"/>
                <w:vertAlign w:val="superscript"/>
              </w:rPr>
              <w:t>2</w:t>
            </w:r>
          </w:p>
          <w:p w14:paraId="07AD5166" w14:textId="77777777" w:rsidR="00702564" w:rsidRPr="003D42A9" w:rsidRDefault="00702564" w:rsidP="00632FCC">
            <w:pPr>
              <w:spacing w:line="240" w:lineRule="auto"/>
              <w:rPr>
                <w:rFonts w:asciiTheme="minorHAnsi" w:hAnsiTheme="minorHAnsi" w:cs="Arial"/>
                <w:color w:val="FFFFFF" w:themeColor="background2"/>
                <w:sz w:val="16"/>
                <w:szCs w:val="16"/>
              </w:rPr>
            </w:pPr>
            <w:r w:rsidRPr="3A20558F">
              <w:rPr>
                <w:rFonts w:asciiTheme="minorHAnsi" w:hAnsiTheme="minorHAnsi" w:cs="Arial"/>
                <w:color w:val="FFFFFF" w:themeColor="background2"/>
                <w:kern w:val="24"/>
                <w:sz w:val="16"/>
                <w:szCs w:val="16"/>
              </w:rPr>
              <w:t>Depression vuxna</w:t>
            </w:r>
          </w:p>
        </w:tc>
        <w:tc>
          <w:tcPr>
            <w:tcW w:w="2552" w:type="dxa"/>
            <w:hideMark/>
          </w:tcPr>
          <w:p w14:paraId="1F1876F2" w14:textId="77777777" w:rsidR="00702564" w:rsidRPr="003D42A9" w:rsidRDefault="00702564" w:rsidP="00632FCC">
            <w:pPr>
              <w:spacing w:line="240" w:lineRule="auto"/>
              <w:rPr>
                <w:rFonts w:asciiTheme="minorHAnsi" w:hAnsiTheme="minorHAnsi" w:cs="Arial"/>
                <w:color w:val="FFFFFF" w:themeColor="background2"/>
                <w:sz w:val="16"/>
                <w:szCs w:val="16"/>
              </w:rPr>
            </w:pPr>
            <w:r w:rsidRPr="3A20558F">
              <w:rPr>
                <w:rFonts w:asciiTheme="minorHAnsi" w:hAnsiTheme="minorHAnsi" w:cs="Arial"/>
                <w:color w:val="FFFFFF" w:themeColor="background2"/>
                <w:kern w:val="24"/>
                <w:sz w:val="16"/>
                <w:szCs w:val="16"/>
              </w:rPr>
              <w:t xml:space="preserve">ca t </w:t>
            </w:r>
            <w:r w:rsidRPr="3A20558F">
              <w:rPr>
                <w:rFonts w:asciiTheme="minorHAnsi" w:hAnsiTheme="minorHAnsi" w:cs="Arial"/>
                <w:color w:val="FFFFFF" w:themeColor="background2"/>
                <w:kern w:val="24"/>
                <w:position w:val="-5"/>
                <w:sz w:val="16"/>
                <w:szCs w:val="16"/>
                <w:vertAlign w:val="subscript"/>
              </w:rPr>
              <w:t>½</w:t>
            </w:r>
          </w:p>
          <w:p w14:paraId="0897E0EF" w14:textId="77777777" w:rsidR="00702564" w:rsidRPr="003D42A9" w:rsidRDefault="00702564" w:rsidP="00632FCC">
            <w:pPr>
              <w:spacing w:line="240" w:lineRule="auto"/>
              <w:rPr>
                <w:rFonts w:asciiTheme="minorHAnsi" w:hAnsiTheme="minorHAnsi" w:cs="Arial"/>
                <w:color w:val="FFFFFF" w:themeColor="background2"/>
                <w:sz w:val="16"/>
                <w:szCs w:val="16"/>
              </w:rPr>
            </w:pPr>
            <w:r w:rsidRPr="3A20558F">
              <w:rPr>
                <w:rFonts w:asciiTheme="minorHAnsi" w:hAnsiTheme="minorHAnsi" w:cs="Arial"/>
                <w:color w:val="FFFFFF" w:themeColor="background2"/>
                <w:kern w:val="24"/>
                <w:sz w:val="16"/>
                <w:szCs w:val="16"/>
              </w:rPr>
              <w:t>(timmar)</w:t>
            </w:r>
          </w:p>
        </w:tc>
        <w:tc>
          <w:tcPr>
            <w:tcW w:w="2268" w:type="dxa"/>
            <w:hideMark/>
          </w:tcPr>
          <w:p w14:paraId="459CDB15" w14:textId="77777777" w:rsidR="00702564" w:rsidRPr="003D42A9" w:rsidRDefault="00702564" w:rsidP="00632FCC">
            <w:pPr>
              <w:spacing w:line="240" w:lineRule="auto"/>
              <w:rPr>
                <w:rFonts w:asciiTheme="minorHAnsi" w:hAnsiTheme="minorHAnsi" w:cs="Arial"/>
                <w:color w:val="FFFFFF" w:themeColor="background2"/>
                <w:sz w:val="16"/>
                <w:szCs w:val="16"/>
              </w:rPr>
            </w:pPr>
            <w:r w:rsidRPr="3A20558F">
              <w:rPr>
                <w:rFonts w:asciiTheme="minorHAnsi" w:hAnsiTheme="minorHAnsi" w:cs="Arial"/>
                <w:color w:val="FFFFFF" w:themeColor="background2"/>
                <w:kern w:val="24"/>
                <w:sz w:val="16"/>
                <w:szCs w:val="16"/>
              </w:rPr>
              <w:t>Maxdos</w:t>
            </w:r>
            <w:r w:rsidRPr="3A20558F">
              <w:rPr>
                <w:rFonts w:asciiTheme="minorHAnsi" w:hAnsiTheme="minorHAnsi" w:cs="Arial"/>
                <w:color w:val="FFFFFF" w:themeColor="background2"/>
                <w:kern w:val="24"/>
                <w:position w:val="6"/>
                <w:sz w:val="16"/>
                <w:szCs w:val="16"/>
                <w:vertAlign w:val="superscript"/>
              </w:rPr>
              <w:t>2</w:t>
            </w:r>
          </w:p>
          <w:p w14:paraId="2D8D9F8E" w14:textId="77777777" w:rsidR="00702564" w:rsidRPr="003D42A9" w:rsidRDefault="00702564" w:rsidP="00632FCC">
            <w:pPr>
              <w:spacing w:line="240" w:lineRule="auto"/>
              <w:rPr>
                <w:rFonts w:asciiTheme="minorHAnsi" w:hAnsiTheme="minorHAnsi" w:cs="Arial"/>
                <w:color w:val="FFFFFF" w:themeColor="background2"/>
                <w:sz w:val="16"/>
                <w:szCs w:val="16"/>
              </w:rPr>
            </w:pPr>
            <w:r w:rsidRPr="3A20558F">
              <w:rPr>
                <w:rFonts w:asciiTheme="minorHAnsi" w:hAnsiTheme="minorHAnsi" w:cs="Arial"/>
                <w:color w:val="FFFFFF" w:themeColor="background2"/>
                <w:kern w:val="24"/>
                <w:sz w:val="16"/>
                <w:szCs w:val="16"/>
              </w:rPr>
              <w:t>Depression vuxna</w:t>
            </w:r>
          </w:p>
        </w:tc>
        <w:tc>
          <w:tcPr>
            <w:tcW w:w="2835" w:type="dxa"/>
          </w:tcPr>
          <w:p w14:paraId="2D2EC5C8" w14:textId="77777777" w:rsidR="00702564" w:rsidRPr="003D42A9" w:rsidRDefault="00702564" w:rsidP="00632FCC">
            <w:pPr>
              <w:spacing w:line="240" w:lineRule="auto"/>
              <w:rPr>
                <w:rFonts w:asciiTheme="minorHAnsi" w:hAnsiTheme="minorHAnsi" w:cs="Arial"/>
                <w:color w:val="FFFFFF" w:themeColor="background2"/>
                <w:sz w:val="16"/>
                <w:szCs w:val="16"/>
              </w:rPr>
            </w:pPr>
            <w:r w:rsidRPr="3A20558F">
              <w:rPr>
                <w:rFonts w:asciiTheme="minorHAnsi" w:hAnsiTheme="minorHAnsi" w:cs="Arial"/>
                <w:color w:val="FFFFFF" w:themeColor="background2"/>
                <w:kern w:val="24"/>
                <w:sz w:val="16"/>
                <w:szCs w:val="16"/>
              </w:rPr>
              <w:t>Lägsta effektiva dos</w:t>
            </w:r>
            <w:r w:rsidRPr="3A20558F">
              <w:rPr>
                <w:rFonts w:asciiTheme="minorHAnsi" w:hAnsiTheme="minorHAnsi" w:cs="Arial"/>
                <w:color w:val="FFFFFF" w:themeColor="background2"/>
                <w:kern w:val="24"/>
                <w:position w:val="6"/>
                <w:sz w:val="16"/>
                <w:szCs w:val="16"/>
                <w:vertAlign w:val="superscript"/>
              </w:rPr>
              <w:t>4</w:t>
            </w:r>
          </w:p>
          <w:p w14:paraId="76665029" w14:textId="77777777" w:rsidR="00702564" w:rsidRPr="003D42A9" w:rsidRDefault="00702564" w:rsidP="00632FCC">
            <w:pPr>
              <w:spacing w:line="240" w:lineRule="auto"/>
              <w:rPr>
                <w:rFonts w:asciiTheme="minorHAnsi" w:hAnsiTheme="minorHAnsi" w:cs="Arial"/>
                <w:color w:val="FFFFFF" w:themeColor="background2"/>
                <w:sz w:val="16"/>
                <w:szCs w:val="16"/>
              </w:rPr>
            </w:pPr>
            <w:r w:rsidRPr="3A20558F">
              <w:rPr>
                <w:rFonts w:asciiTheme="minorHAnsi" w:hAnsiTheme="minorHAnsi" w:cs="Arial"/>
                <w:color w:val="FFFFFF" w:themeColor="background2"/>
                <w:kern w:val="24"/>
                <w:sz w:val="16"/>
                <w:szCs w:val="16"/>
              </w:rPr>
              <w:t>Depression vuxna</w:t>
            </w:r>
          </w:p>
        </w:tc>
        <w:tc>
          <w:tcPr>
            <w:tcW w:w="1701" w:type="dxa"/>
            <w:hideMark/>
          </w:tcPr>
          <w:p w14:paraId="4E1E322D" w14:textId="77777777" w:rsidR="00702564" w:rsidRPr="003D42A9" w:rsidRDefault="00702564" w:rsidP="00632FCC">
            <w:pPr>
              <w:spacing w:line="240" w:lineRule="auto"/>
              <w:rPr>
                <w:rFonts w:asciiTheme="minorHAnsi" w:hAnsiTheme="minorHAnsi" w:cs="Arial"/>
                <w:color w:val="FFFFFF" w:themeColor="background2"/>
                <w:sz w:val="16"/>
                <w:szCs w:val="16"/>
              </w:rPr>
            </w:pPr>
            <w:r w:rsidRPr="3A20558F">
              <w:rPr>
                <w:rFonts w:asciiTheme="minorHAnsi" w:hAnsiTheme="minorHAnsi" w:cs="Arial"/>
                <w:color w:val="FFFFFF" w:themeColor="background2"/>
                <w:kern w:val="24"/>
                <w:sz w:val="16"/>
                <w:szCs w:val="16"/>
              </w:rPr>
              <w:t>Ekvivalenta doser</w:t>
            </w:r>
            <w:r w:rsidRPr="3A20558F">
              <w:rPr>
                <w:rFonts w:asciiTheme="minorHAnsi" w:hAnsiTheme="minorHAnsi" w:cs="Arial"/>
                <w:color w:val="FFFFFF" w:themeColor="background2"/>
                <w:kern w:val="24"/>
                <w:position w:val="6"/>
                <w:sz w:val="16"/>
                <w:szCs w:val="16"/>
                <w:vertAlign w:val="superscript"/>
              </w:rPr>
              <w:t>3</w:t>
            </w:r>
          </w:p>
        </w:tc>
      </w:tr>
      <w:tr w:rsidR="00702564" w:rsidRPr="00FD7009" w14:paraId="632DC4D8" w14:textId="77777777" w:rsidTr="00632FCC">
        <w:trPr>
          <w:cnfStyle w:val="000000100000" w:firstRow="0" w:lastRow="0" w:firstColumn="0" w:lastColumn="0" w:oddVBand="0" w:evenVBand="0" w:oddHBand="1" w:evenHBand="0" w:firstRowFirstColumn="0" w:firstRowLastColumn="0" w:lastRowFirstColumn="0" w:lastRowLastColumn="0"/>
          <w:trHeight w:val="340"/>
        </w:trPr>
        <w:tc>
          <w:tcPr>
            <w:tcW w:w="1526" w:type="dxa"/>
            <w:tcBorders>
              <w:top w:val="none" w:sz="0" w:space="0" w:color="auto"/>
              <w:bottom w:val="none" w:sz="0" w:space="0" w:color="auto"/>
            </w:tcBorders>
          </w:tcPr>
          <w:p w14:paraId="46AC90C4"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 xml:space="preserve">Agomelatin </w:t>
            </w:r>
          </w:p>
        </w:tc>
        <w:tc>
          <w:tcPr>
            <w:tcW w:w="3152" w:type="dxa"/>
            <w:tcBorders>
              <w:top w:val="none" w:sz="0" w:space="0" w:color="auto"/>
              <w:bottom w:val="none" w:sz="0" w:space="0" w:color="auto"/>
            </w:tcBorders>
          </w:tcPr>
          <w:p w14:paraId="653A9554"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25 mg</w:t>
            </w:r>
          </w:p>
        </w:tc>
        <w:tc>
          <w:tcPr>
            <w:tcW w:w="2552" w:type="dxa"/>
            <w:tcBorders>
              <w:top w:val="none" w:sz="0" w:space="0" w:color="auto"/>
              <w:bottom w:val="none" w:sz="0" w:space="0" w:color="auto"/>
            </w:tcBorders>
          </w:tcPr>
          <w:p w14:paraId="137FA776"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1-2</w:t>
            </w:r>
            <w:r w:rsidRPr="3A20558F">
              <w:rPr>
                <w:rFonts w:asciiTheme="minorHAnsi" w:hAnsiTheme="minorHAnsi" w:cs="Arial"/>
                <w:color w:val="000000" w:themeColor="dark1"/>
                <w:kern w:val="24"/>
                <w:position w:val="6"/>
                <w:sz w:val="16"/>
                <w:szCs w:val="16"/>
                <w:vertAlign w:val="superscript"/>
              </w:rPr>
              <w:t>1</w:t>
            </w:r>
          </w:p>
        </w:tc>
        <w:tc>
          <w:tcPr>
            <w:tcW w:w="2268" w:type="dxa"/>
            <w:tcBorders>
              <w:top w:val="none" w:sz="0" w:space="0" w:color="auto"/>
              <w:bottom w:val="none" w:sz="0" w:space="0" w:color="auto"/>
            </w:tcBorders>
          </w:tcPr>
          <w:p w14:paraId="23481B95"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50 mg</w:t>
            </w:r>
          </w:p>
        </w:tc>
        <w:tc>
          <w:tcPr>
            <w:tcW w:w="2835" w:type="dxa"/>
            <w:tcBorders>
              <w:top w:val="none" w:sz="0" w:space="0" w:color="auto"/>
              <w:bottom w:val="none" w:sz="0" w:space="0" w:color="auto"/>
            </w:tcBorders>
          </w:tcPr>
          <w:p w14:paraId="2056E212"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25 mg/dag</w:t>
            </w:r>
          </w:p>
        </w:tc>
        <w:tc>
          <w:tcPr>
            <w:tcW w:w="1701" w:type="dxa"/>
            <w:tcBorders>
              <w:top w:val="none" w:sz="0" w:space="0" w:color="auto"/>
              <w:bottom w:val="none" w:sz="0" w:space="0" w:color="auto"/>
            </w:tcBorders>
          </w:tcPr>
          <w:p w14:paraId="402B9632"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53 mg</w:t>
            </w:r>
          </w:p>
        </w:tc>
      </w:tr>
      <w:tr w:rsidR="00702564" w:rsidRPr="00FD7009" w14:paraId="263A3AF8" w14:textId="77777777" w:rsidTr="00632FCC">
        <w:trPr>
          <w:trHeight w:val="567"/>
        </w:trPr>
        <w:tc>
          <w:tcPr>
            <w:tcW w:w="1526" w:type="dxa"/>
          </w:tcPr>
          <w:p w14:paraId="6DE573A6" w14:textId="77777777" w:rsidR="00702564" w:rsidRPr="00AB4B98" w:rsidRDefault="00702564" w:rsidP="00632FCC">
            <w:pPr>
              <w:spacing w:line="244"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Amitriptylin</w:t>
            </w:r>
          </w:p>
        </w:tc>
        <w:tc>
          <w:tcPr>
            <w:tcW w:w="3152" w:type="dxa"/>
          </w:tcPr>
          <w:p w14:paraId="169297B3" w14:textId="77777777" w:rsidR="00702564" w:rsidRPr="00AB4B98" w:rsidRDefault="00702564" w:rsidP="00632FCC">
            <w:pPr>
              <w:spacing w:line="244"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25 mg x 3</w:t>
            </w:r>
          </w:p>
        </w:tc>
        <w:tc>
          <w:tcPr>
            <w:tcW w:w="2552" w:type="dxa"/>
          </w:tcPr>
          <w:p w14:paraId="10D27330" w14:textId="77777777" w:rsidR="00702564" w:rsidRPr="00AB4B98" w:rsidRDefault="00702564" w:rsidP="00632FCC">
            <w:pPr>
              <w:spacing w:line="244"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Mo*: 9-25</w:t>
            </w:r>
            <w:r w:rsidRPr="3A20558F">
              <w:rPr>
                <w:rFonts w:asciiTheme="minorHAnsi" w:hAnsiTheme="minorHAnsi" w:cs="Arial"/>
                <w:color w:val="000000" w:themeColor="dark1"/>
                <w:kern w:val="24"/>
                <w:position w:val="6"/>
                <w:sz w:val="16"/>
                <w:szCs w:val="16"/>
                <w:vertAlign w:val="superscript"/>
              </w:rPr>
              <w:t>1</w:t>
            </w:r>
            <w:r w:rsidRPr="3A20558F">
              <w:rPr>
                <w:rFonts w:asciiTheme="minorHAnsi" w:hAnsiTheme="minorHAnsi" w:cs="Arial"/>
                <w:color w:val="000000" w:themeColor="dark1"/>
                <w:kern w:val="24"/>
                <w:sz w:val="16"/>
                <w:szCs w:val="16"/>
              </w:rPr>
              <w:t>; Me*: 19-96</w:t>
            </w:r>
            <w:r w:rsidRPr="3A20558F">
              <w:rPr>
                <w:rFonts w:asciiTheme="minorHAnsi" w:hAnsiTheme="minorHAnsi" w:cs="Arial"/>
                <w:color w:val="000000" w:themeColor="dark1"/>
                <w:kern w:val="24"/>
                <w:position w:val="6"/>
                <w:sz w:val="16"/>
                <w:szCs w:val="16"/>
                <w:vertAlign w:val="superscript"/>
              </w:rPr>
              <w:t>1</w:t>
            </w:r>
          </w:p>
        </w:tc>
        <w:tc>
          <w:tcPr>
            <w:tcW w:w="2268" w:type="dxa"/>
          </w:tcPr>
          <w:p w14:paraId="7499C503" w14:textId="77777777" w:rsidR="00702564" w:rsidRPr="00AB4B98" w:rsidRDefault="00702564" w:rsidP="00632FCC">
            <w:pPr>
              <w:spacing w:line="244"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150 mg (225-300) mg</w:t>
            </w:r>
          </w:p>
        </w:tc>
        <w:tc>
          <w:tcPr>
            <w:tcW w:w="2835" w:type="dxa"/>
          </w:tcPr>
          <w:p w14:paraId="4A27F65B" w14:textId="77777777" w:rsidR="00702564" w:rsidRPr="00AB4B98" w:rsidRDefault="00702564" w:rsidP="00632FCC">
            <w:pPr>
              <w:spacing w:line="244"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Oklart, minst 75-100 mg/dag, förmodligen 125 mg/dag</w:t>
            </w:r>
          </w:p>
        </w:tc>
        <w:tc>
          <w:tcPr>
            <w:tcW w:w="1701" w:type="dxa"/>
          </w:tcPr>
          <w:p w14:paraId="7A22DB0B" w14:textId="77777777" w:rsidR="00702564" w:rsidRPr="00AB4B98" w:rsidRDefault="00702564" w:rsidP="00632FCC">
            <w:pPr>
              <w:spacing w:line="244"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122 mg</w:t>
            </w:r>
          </w:p>
        </w:tc>
      </w:tr>
      <w:tr w:rsidR="00702564" w:rsidRPr="00FD7009" w14:paraId="4B584AAB" w14:textId="77777777" w:rsidTr="00632FCC">
        <w:trPr>
          <w:cnfStyle w:val="000000100000" w:firstRow="0" w:lastRow="0" w:firstColumn="0" w:lastColumn="0" w:oddVBand="0" w:evenVBand="0" w:oddHBand="1" w:evenHBand="0" w:firstRowFirstColumn="0" w:firstRowLastColumn="0" w:lastRowFirstColumn="0" w:lastRowLastColumn="0"/>
          <w:trHeight w:val="340"/>
        </w:trPr>
        <w:tc>
          <w:tcPr>
            <w:tcW w:w="1526" w:type="dxa"/>
            <w:tcBorders>
              <w:top w:val="none" w:sz="0" w:space="0" w:color="auto"/>
              <w:bottom w:val="none" w:sz="0" w:space="0" w:color="auto"/>
            </w:tcBorders>
          </w:tcPr>
          <w:p w14:paraId="22F50D3E"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Bupropion</w:t>
            </w:r>
          </w:p>
        </w:tc>
        <w:tc>
          <w:tcPr>
            <w:tcW w:w="3152" w:type="dxa"/>
            <w:tcBorders>
              <w:top w:val="none" w:sz="0" w:space="0" w:color="auto"/>
              <w:bottom w:val="none" w:sz="0" w:space="0" w:color="auto"/>
            </w:tcBorders>
          </w:tcPr>
          <w:p w14:paraId="2E09D280"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150 mg</w:t>
            </w:r>
          </w:p>
        </w:tc>
        <w:tc>
          <w:tcPr>
            <w:tcW w:w="2552" w:type="dxa"/>
            <w:tcBorders>
              <w:top w:val="none" w:sz="0" w:space="0" w:color="auto"/>
              <w:bottom w:val="none" w:sz="0" w:space="0" w:color="auto"/>
            </w:tcBorders>
          </w:tcPr>
          <w:p w14:paraId="49DD3D35"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Mo*: 20</w:t>
            </w:r>
            <w:r w:rsidRPr="3A20558F">
              <w:rPr>
                <w:rFonts w:asciiTheme="minorHAnsi" w:hAnsiTheme="minorHAnsi" w:cs="Arial"/>
                <w:color w:val="000000" w:themeColor="dark1"/>
                <w:kern w:val="24"/>
                <w:position w:val="6"/>
                <w:sz w:val="16"/>
                <w:szCs w:val="16"/>
                <w:vertAlign w:val="superscript"/>
              </w:rPr>
              <w:t>2</w:t>
            </w:r>
            <w:r w:rsidRPr="3A20558F">
              <w:rPr>
                <w:rFonts w:asciiTheme="minorHAnsi" w:hAnsiTheme="minorHAnsi" w:cs="Arial"/>
                <w:color w:val="000000" w:themeColor="dark1"/>
                <w:kern w:val="24"/>
                <w:sz w:val="16"/>
                <w:szCs w:val="16"/>
              </w:rPr>
              <w:t>; Me*: 33-37</w:t>
            </w:r>
            <w:r w:rsidRPr="3A20558F">
              <w:rPr>
                <w:rFonts w:asciiTheme="minorHAnsi" w:hAnsiTheme="minorHAnsi" w:cs="Arial"/>
                <w:color w:val="000000" w:themeColor="dark1"/>
                <w:kern w:val="24"/>
                <w:position w:val="6"/>
                <w:sz w:val="16"/>
                <w:szCs w:val="16"/>
                <w:vertAlign w:val="superscript"/>
              </w:rPr>
              <w:t>2</w:t>
            </w:r>
          </w:p>
        </w:tc>
        <w:tc>
          <w:tcPr>
            <w:tcW w:w="2268" w:type="dxa"/>
            <w:tcBorders>
              <w:top w:val="none" w:sz="0" w:space="0" w:color="auto"/>
              <w:bottom w:val="none" w:sz="0" w:space="0" w:color="auto"/>
            </w:tcBorders>
          </w:tcPr>
          <w:p w14:paraId="478209BF"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300 mg</w:t>
            </w:r>
          </w:p>
        </w:tc>
        <w:tc>
          <w:tcPr>
            <w:tcW w:w="2835" w:type="dxa"/>
            <w:tcBorders>
              <w:top w:val="none" w:sz="0" w:space="0" w:color="auto"/>
              <w:bottom w:val="none" w:sz="0" w:space="0" w:color="auto"/>
            </w:tcBorders>
          </w:tcPr>
          <w:p w14:paraId="62BCC903"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150 mg/dag</w:t>
            </w:r>
          </w:p>
        </w:tc>
        <w:tc>
          <w:tcPr>
            <w:tcW w:w="1701" w:type="dxa"/>
            <w:tcBorders>
              <w:top w:val="none" w:sz="0" w:space="0" w:color="auto"/>
              <w:bottom w:val="none" w:sz="0" w:space="0" w:color="auto"/>
            </w:tcBorders>
          </w:tcPr>
          <w:p w14:paraId="7F78761E"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349 mg</w:t>
            </w:r>
          </w:p>
        </w:tc>
      </w:tr>
      <w:tr w:rsidR="00702564" w:rsidRPr="00FD7009" w14:paraId="5DF24B7B" w14:textId="77777777" w:rsidTr="00632FCC">
        <w:trPr>
          <w:trHeight w:val="340"/>
        </w:trPr>
        <w:tc>
          <w:tcPr>
            <w:tcW w:w="1526" w:type="dxa"/>
          </w:tcPr>
          <w:p w14:paraId="15356002"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Citalopram</w:t>
            </w:r>
          </w:p>
        </w:tc>
        <w:tc>
          <w:tcPr>
            <w:tcW w:w="3152" w:type="dxa"/>
          </w:tcPr>
          <w:p w14:paraId="3BB0F70E"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20 mg</w:t>
            </w:r>
          </w:p>
        </w:tc>
        <w:tc>
          <w:tcPr>
            <w:tcW w:w="2552" w:type="dxa"/>
          </w:tcPr>
          <w:p w14:paraId="0F02B51F"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33</w:t>
            </w:r>
            <w:r w:rsidRPr="3A20558F">
              <w:rPr>
                <w:rFonts w:asciiTheme="minorHAnsi" w:hAnsiTheme="minorHAnsi" w:cs="Arial"/>
                <w:color w:val="000000" w:themeColor="dark1"/>
                <w:kern w:val="24"/>
                <w:position w:val="6"/>
                <w:sz w:val="16"/>
                <w:szCs w:val="16"/>
                <w:vertAlign w:val="superscript"/>
              </w:rPr>
              <w:t>1</w:t>
            </w:r>
          </w:p>
        </w:tc>
        <w:tc>
          <w:tcPr>
            <w:tcW w:w="2268" w:type="dxa"/>
          </w:tcPr>
          <w:p w14:paraId="75EB225A"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40 mg</w:t>
            </w:r>
          </w:p>
        </w:tc>
        <w:tc>
          <w:tcPr>
            <w:tcW w:w="2835" w:type="dxa"/>
          </w:tcPr>
          <w:p w14:paraId="5891CA75"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20 mg/dag</w:t>
            </w:r>
          </w:p>
        </w:tc>
        <w:tc>
          <w:tcPr>
            <w:tcW w:w="1701" w:type="dxa"/>
          </w:tcPr>
          <w:p w14:paraId="6C10DCC4"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w:t>
            </w:r>
          </w:p>
        </w:tc>
      </w:tr>
      <w:tr w:rsidR="00702564" w:rsidRPr="00FD7009" w14:paraId="7CDCEE12" w14:textId="77777777" w:rsidTr="00632FCC">
        <w:trPr>
          <w:cnfStyle w:val="000000100000" w:firstRow="0" w:lastRow="0" w:firstColumn="0" w:lastColumn="0" w:oddVBand="0" w:evenVBand="0" w:oddHBand="1" w:evenHBand="0" w:firstRowFirstColumn="0" w:firstRowLastColumn="0" w:lastRowFirstColumn="0" w:lastRowLastColumn="0"/>
          <w:trHeight w:val="340"/>
        </w:trPr>
        <w:tc>
          <w:tcPr>
            <w:tcW w:w="1526" w:type="dxa"/>
            <w:tcBorders>
              <w:top w:val="none" w:sz="0" w:space="0" w:color="auto"/>
              <w:bottom w:val="none" w:sz="0" w:space="0" w:color="auto"/>
            </w:tcBorders>
          </w:tcPr>
          <w:p w14:paraId="33468653" w14:textId="77777777" w:rsidR="00702564" w:rsidRPr="00AB4B98" w:rsidRDefault="00702564" w:rsidP="00632FCC">
            <w:pPr>
              <w:spacing w:line="226"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Duloxetin</w:t>
            </w:r>
          </w:p>
        </w:tc>
        <w:tc>
          <w:tcPr>
            <w:tcW w:w="3152" w:type="dxa"/>
            <w:tcBorders>
              <w:top w:val="none" w:sz="0" w:space="0" w:color="auto"/>
              <w:bottom w:val="none" w:sz="0" w:space="0" w:color="auto"/>
            </w:tcBorders>
          </w:tcPr>
          <w:p w14:paraId="339BF36C" w14:textId="77777777" w:rsidR="00702564" w:rsidRPr="00AB4B98" w:rsidRDefault="00702564" w:rsidP="00632FCC">
            <w:pPr>
              <w:spacing w:line="226"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60 mg</w:t>
            </w:r>
          </w:p>
        </w:tc>
        <w:tc>
          <w:tcPr>
            <w:tcW w:w="2552" w:type="dxa"/>
            <w:tcBorders>
              <w:top w:val="none" w:sz="0" w:space="0" w:color="auto"/>
              <w:bottom w:val="none" w:sz="0" w:space="0" w:color="auto"/>
            </w:tcBorders>
          </w:tcPr>
          <w:p w14:paraId="00D644D7" w14:textId="77777777" w:rsidR="00702564" w:rsidRPr="00AB4B98" w:rsidRDefault="00702564" w:rsidP="00632FCC">
            <w:pPr>
              <w:spacing w:line="226"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12</w:t>
            </w:r>
            <w:r w:rsidRPr="3A20558F">
              <w:rPr>
                <w:rFonts w:asciiTheme="minorHAnsi" w:hAnsiTheme="minorHAnsi" w:cs="Arial"/>
                <w:color w:val="000000" w:themeColor="dark1"/>
                <w:kern w:val="24"/>
                <w:position w:val="6"/>
                <w:sz w:val="16"/>
                <w:szCs w:val="16"/>
                <w:vertAlign w:val="superscript"/>
              </w:rPr>
              <w:t>1</w:t>
            </w:r>
          </w:p>
        </w:tc>
        <w:tc>
          <w:tcPr>
            <w:tcW w:w="2268" w:type="dxa"/>
            <w:tcBorders>
              <w:top w:val="none" w:sz="0" w:space="0" w:color="auto"/>
              <w:bottom w:val="none" w:sz="0" w:space="0" w:color="auto"/>
            </w:tcBorders>
          </w:tcPr>
          <w:p w14:paraId="371B8DF9" w14:textId="77777777" w:rsidR="00702564" w:rsidRPr="00AB4B98" w:rsidRDefault="00702564" w:rsidP="00632FCC">
            <w:pPr>
              <w:spacing w:line="226"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120 mg</w:t>
            </w:r>
          </w:p>
        </w:tc>
        <w:tc>
          <w:tcPr>
            <w:tcW w:w="2835" w:type="dxa"/>
            <w:tcBorders>
              <w:top w:val="none" w:sz="0" w:space="0" w:color="auto"/>
              <w:bottom w:val="none" w:sz="0" w:space="0" w:color="auto"/>
            </w:tcBorders>
          </w:tcPr>
          <w:p w14:paraId="37226732" w14:textId="77777777" w:rsidR="00702564" w:rsidRPr="00AB4B98" w:rsidRDefault="00702564" w:rsidP="00632FCC">
            <w:pPr>
              <w:spacing w:line="226"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60 mg/dag</w:t>
            </w:r>
          </w:p>
        </w:tc>
        <w:tc>
          <w:tcPr>
            <w:tcW w:w="1701" w:type="dxa"/>
            <w:tcBorders>
              <w:top w:val="none" w:sz="0" w:space="0" w:color="auto"/>
              <w:bottom w:val="none" w:sz="0" w:space="0" w:color="auto"/>
            </w:tcBorders>
          </w:tcPr>
          <w:p w14:paraId="3DDDB105" w14:textId="77777777" w:rsidR="00702564" w:rsidRPr="00AB4B98" w:rsidRDefault="00702564" w:rsidP="00632FCC">
            <w:pPr>
              <w:spacing w:line="226"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w:t>
            </w:r>
          </w:p>
        </w:tc>
      </w:tr>
      <w:tr w:rsidR="00702564" w:rsidRPr="00FD7009" w14:paraId="4EB3137B" w14:textId="77777777" w:rsidTr="00632FCC">
        <w:trPr>
          <w:trHeight w:val="340"/>
        </w:trPr>
        <w:tc>
          <w:tcPr>
            <w:tcW w:w="1526" w:type="dxa"/>
            <w:hideMark/>
          </w:tcPr>
          <w:p w14:paraId="42A61FE6" w14:textId="77777777" w:rsidR="00702564" w:rsidRPr="00AB4B98" w:rsidRDefault="00702564" w:rsidP="00632FCC">
            <w:pPr>
              <w:spacing w:line="212"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Escitalopram</w:t>
            </w:r>
          </w:p>
        </w:tc>
        <w:tc>
          <w:tcPr>
            <w:tcW w:w="3152" w:type="dxa"/>
          </w:tcPr>
          <w:p w14:paraId="7A22A207" w14:textId="77777777" w:rsidR="00702564" w:rsidRPr="00AB4B98" w:rsidRDefault="00702564" w:rsidP="00632FCC">
            <w:pPr>
              <w:spacing w:line="212"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10 mg</w:t>
            </w:r>
          </w:p>
        </w:tc>
        <w:tc>
          <w:tcPr>
            <w:tcW w:w="2552" w:type="dxa"/>
            <w:hideMark/>
          </w:tcPr>
          <w:p w14:paraId="1DAEE0D4" w14:textId="77777777" w:rsidR="00702564" w:rsidRPr="00AB4B98" w:rsidRDefault="00702564" w:rsidP="00632FCC">
            <w:pPr>
              <w:spacing w:line="212"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30</w:t>
            </w:r>
            <w:r w:rsidRPr="3A20558F">
              <w:rPr>
                <w:rFonts w:asciiTheme="minorHAnsi" w:hAnsiTheme="minorHAnsi" w:cs="Arial"/>
                <w:color w:val="000000" w:themeColor="dark1"/>
                <w:kern w:val="24"/>
                <w:position w:val="6"/>
                <w:sz w:val="16"/>
                <w:szCs w:val="16"/>
                <w:vertAlign w:val="superscript"/>
              </w:rPr>
              <w:t>1</w:t>
            </w:r>
          </w:p>
        </w:tc>
        <w:tc>
          <w:tcPr>
            <w:tcW w:w="2268" w:type="dxa"/>
            <w:hideMark/>
          </w:tcPr>
          <w:p w14:paraId="58F3E946" w14:textId="77777777" w:rsidR="00702564" w:rsidRPr="00AB4B98" w:rsidRDefault="00702564" w:rsidP="00632FCC">
            <w:pPr>
              <w:spacing w:line="212"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20 mg</w:t>
            </w:r>
          </w:p>
        </w:tc>
        <w:tc>
          <w:tcPr>
            <w:tcW w:w="2835" w:type="dxa"/>
          </w:tcPr>
          <w:p w14:paraId="20490E7B" w14:textId="77777777" w:rsidR="00702564" w:rsidRPr="00AB4B98" w:rsidRDefault="00702564" w:rsidP="00632FCC">
            <w:pPr>
              <w:spacing w:line="212"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10 mg/dag</w:t>
            </w:r>
          </w:p>
        </w:tc>
        <w:tc>
          <w:tcPr>
            <w:tcW w:w="1701" w:type="dxa"/>
            <w:hideMark/>
          </w:tcPr>
          <w:p w14:paraId="2DBD3550" w14:textId="77777777" w:rsidR="00702564" w:rsidRPr="00AB4B98" w:rsidRDefault="00702564" w:rsidP="00632FCC">
            <w:pPr>
              <w:spacing w:line="212"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18 mg</w:t>
            </w:r>
          </w:p>
        </w:tc>
      </w:tr>
      <w:tr w:rsidR="00702564" w:rsidRPr="00FD7009" w14:paraId="38E49D6F" w14:textId="77777777" w:rsidTr="00632FCC">
        <w:trPr>
          <w:cnfStyle w:val="000000100000" w:firstRow="0" w:lastRow="0" w:firstColumn="0" w:lastColumn="0" w:oddVBand="0" w:evenVBand="0" w:oddHBand="1" w:evenHBand="0" w:firstRowFirstColumn="0" w:firstRowLastColumn="0" w:lastRowFirstColumn="0" w:lastRowLastColumn="0"/>
          <w:trHeight w:val="340"/>
        </w:trPr>
        <w:tc>
          <w:tcPr>
            <w:tcW w:w="1526" w:type="dxa"/>
            <w:tcBorders>
              <w:top w:val="none" w:sz="0" w:space="0" w:color="auto"/>
              <w:bottom w:val="none" w:sz="0" w:space="0" w:color="auto"/>
            </w:tcBorders>
            <w:hideMark/>
          </w:tcPr>
          <w:p w14:paraId="46FF3238" w14:textId="77777777" w:rsidR="00702564" w:rsidRPr="00AB4B98" w:rsidRDefault="00702564" w:rsidP="00632FCC">
            <w:pPr>
              <w:spacing w:line="313"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Fluoxetin</w:t>
            </w:r>
          </w:p>
        </w:tc>
        <w:tc>
          <w:tcPr>
            <w:tcW w:w="3152" w:type="dxa"/>
            <w:tcBorders>
              <w:top w:val="none" w:sz="0" w:space="0" w:color="auto"/>
              <w:bottom w:val="none" w:sz="0" w:space="0" w:color="auto"/>
            </w:tcBorders>
          </w:tcPr>
          <w:p w14:paraId="473674B2" w14:textId="77777777" w:rsidR="00702564" w:rsidRPr="00AB4B98" w:rsidRDefault="00702564" w:rsidP="00632FCC">
            <w:pPr>
              <w:spacing w:line="313"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20 mg</w:t>
            </w:r>
          </w:p>
        </w:tc>
        <w:tc>
          <w:tcPr>
            <w:tcW w:w="2552" w:type="dxa"/>
            <w:tcBorders>
              <w:top w:val="none" w:sz="0" w:space="0" w:color="auto"/>
              <w:bottom w:val="none" w:sz="0" w:space="0" w:color="auto"/>
            </w:tcBorders>
            <w:hideMark/>
          </w:tcPr>
          <w:p w14:paraId="0F27AF27" w14:textId="77777777" w:rsidR="00702564" w:rsidRPr="00AB4B98" w:rsidRDefault="00702564" w:rsidP="00632FCC">
            <w:pPr>
              <w:spacing w:line="313"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Mo*:96-144</w:t>
            </w:r>
            <w:r w:rsidRPr="3A20558F">
              <w:rPr>
                <w:rFonts w:asciiTheme="minorHAnsi" w:hAnsiTheme="minorHAnsi" w:cs="Arial"/>
                <w:color w:val="000000" w:themeColor="dark1"/>
                <w:kern w:val="24"/>
                <w:position w:val="6"/>
                <w:sz w:val="16"/>
                <w:szCs w:val="16"/>
                <w:vertAlign w:val="superscript"/>
              </w:rPr>
              <w:t>1</w:t>
            </w:r>
            <w:r w:rsidRPr="3A20558F">
              <w:rPr>
                <w:rFonts w:asciiTheme="minorHAnsi" w:hAnsiTheme="minorHAnsi" w:cs="Arial"/>
                <w:color w:val="000000" w:themeColor="dark1"/>
                <w:kern w:val="24"/>
                <w:sz w:val="16"/>
                <w:szCs w:val="16"/>
              </w:rPr>
              <w:t>; Me*:96-384</w:t>
            </w:r>
            <w:r w:rsidRPr="3A20558F">
              <w:rPr>
                <w:rFonts w:asciiTheme="minorHAnsi" w:hAnsiTheme="minorHAnsi" w:cs="Arial"/>
                <w:color w:val="000000" w:themeColor="dark1"/>
                <w:kern w:val="24"/>
                <w:position w:val="6"/>
                <w:sz w:val="16"/>
                <w:szCs w:val="16"/>
                <w:vertAlign w:val="superscript"/>
              </w:rPr>
              <w:t>1</w:t>
            </w:r>
          </w:p>
        </w:tc>
        <w:tc>
          <w:tcPr>
            <w:tcW w:w="2268" w:type="dxa"/>
            <w:tcBorders>
              <w:top w:val="none" w:sz="0" w:space="0" w:color="auto"/>
              <w:bottom w:val="none" w:sz="0" w:space="0" w:color="auto"/>
            </w:tcBorders>
            <w:hideMark/>
          </w:tcPr>
          <w:p w14:paraId="00772085" w14:textId="77777777" w:rsidR="00702564" w:rsidRPr="00AB4B98" w:rsidRDefault="00702564" w:rsidP="00632FCC">
            <w:pPr>
              <w:spacing w:line="313"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60 mg</w:t>
            </w:r>
          </w:p>
        </w:tc>
        <w:tc>
          <w:tcPr>
            <w:tcW w:w="2835" w:type="dxa"/>
            <w:tcBorders>
              <w:top w:val="none" w:sz="0" w:space="0" w:color="auto"/>
              <w:bottom w:val="none" w:sz="0" w:space="0" w:color="auto"/>
            </w:tcBorders>
          </w:tcPr>
          <w:p w14:paraId="75274E61" w14:textId="77777777" w:rsidR="00702564" w:rsidRPr="00AB4B98" w:rsidRDefault="00702564" w:rsidP="00632FCC">
            <w:pPr>
              <w:spacing w:line="313"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20 mg/dag</w:t>
            </w:r>
          </w:p>
        </w:tc>
        <w:tc>
          <w:tcPr>
            <w:tcW w:w="1701" w:type="dxa"/>
            <w:tcBorders>
              <w:top w:val="none" w:sz="0" w:space="0" w:color="auto"/>
              <w:bottom w:val="none" w:sz="0" w:space="0" w:color="auto"/>
            </w:tcBorders>
            <w:hideMark/>
          </w:tcPr>
          <w:p w14:paraId="7FF6C4B0" w14:textId="77777777" w:rsidR="00702564" w:rsidRPr="00AB4B98" w:rsidRDefault="00702564" w:rsidP="00632FCC">
            <w:pPr>
              <w:spacing w:line="313"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 xml:space="preserve">40 mg </w:t>
            </w:r>
          </w:p>
        </w:tc>
      </w:tr>
      <w:tr w:rsidR="00702564" w:rsidRPr="00FD7009" w14:paraId="3B13F2FB" w14:textId="77777777" w:rsidTr="00632FCC">
        <w:trPr>
          <w:trHeight w:val="567"/>
        </w:trPr>
        <w:tc>
          <w:tcPr>
            <w:tcW w:w="1526" w:type="dxa"/>
            <w:hideMark/>
          </w:tcPr>
          <w:p w14:paraId="35786ACA" w14:textId="77777777" w:rsidR="00702564" w:rsidRPr="00AB4B98" w:rsidRDefault="00702564" w:rsidP="00632FCC">
            <w:pPr>
              <w:spacing w:line="338"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Fluvoxamin</w:t>
            </w:r>
          </w:p>
        </w:tc>
        <w:tc>
          <w:tcPr>
            <w:tcW w:w="3152" w:type="dxa"/>
          </w:tcPr>
          <w:p w14:paraId="67A59B73" w14:textId="77777777" w:rsidR="00702564" w:rsidRPr="00AB4B98" w:rsidRDefault="00702564" w:rsidP="00632FCC">
            <w:pPr>
              <w:spacing w:line="338"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50-100 mg</w:t>
            </w:r>
          </w:p>
        </w:tc>
        <w:tc>
          <w:tcPr>
            <w:tcW w:w="2552" w:type="dxa"/>
            <w:hideMark/>
          </w:tcPr>
          <w:p w14:paraId="57498356" w14:textId="77777777" w:rsidR="00702564" w:rsidRPr="00AB4B98" w:rsidRDefault="00702564" w:rsidP="00632FCC">
            <w:pPr>
              <w:spacing w:line="338"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17 - 22</w:t>
            </w:r>
            <w:r w:rsidRPr="3A20558F">
              <w:rPr>
                <w:rFonts w:asciiTheme="minorHAnsi" w:hAnsiTheme="minorHAnsi" w:cs="Arial"/>
                <w:color w:val="000000" w:themeColor="dark1"/>
                <w:kern w:val="24"/>
                <w:position w:val="6"/>
                <w:sz w:val="16"/>
                <w:szCs w:val="16"/>
                <w:vertAlign w:val="superscript"/>
              </w:rPr>
              <w:t>1</w:t>
            </w:r>
          </w:p>
        </w:tc>
        <w:tc>
          <w:tcPr>
            <w:tcW w:w="2268" w:type="dxa"/>
            <w:hideMark/>
          </w:tcPr>
          <w:p w14:paraId="3A405E0C"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300 mg (&gt; 150 mg uppdelat på 2-3 doser)</w:t>
            </w:r>
          </w:p>
        </w:tc>
        <w:tc>
          <w:tcPr>
            <w:tcW w:w="2835" w:type="dxa"/>
          </w:tcPr>
          <w:p w14:paraId="5264CA19" w14:textId="77777777" w:rsidR="00702564" w:rsidRPr="00AB4B98" w:rsidRDefault="00702564" w:rsidP="00632FCC">
            <w:pPr>
              <w:spacing w:line="338"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50 mg/dag</w:t>
            </w:r>
          </w:p>
        </w:tc>
        <w:tc>
          <w:tcPr>
            <w:tcW w:w="1701" w:type="dxa"/>
            <w:hideMark/>
          </w:tcPr>
          <w:p w14:paraId="7FAA15D1" w14:textId="77777777" w:rsidR="00702564" w:rsidRPr="00AB4B98" w:rsidRDefault="00702564" w:rsidP="00632FCC">
            <w:pPr>
              <w:spacing w:line="338"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143 mg</w:t>
            </w:r>
          </w:p>
        </w:tc>
      </w:tr>
      <w:tr w:rsidR="00702564" w:rsidRPr="00FD7009" w14:paraId="759C8833" w14:textId="77777777" w:rsidTr="00632FCC">
        <w:trPr>
          <w:cnfStyle w:val="000000100000" w:firstRow="0" w:lastRow="0" w:firstColumn="0" w:lastColumn="0" w:oddVBand="0" w:evenVBand="0" w:oddHBand="1" w:evenHBand="0" w:firstRowFirstColumn="0" w:firstRowLastColumn="0" w:lastRowFirstColumn="0" w:lastRowLastColumn="0"/>
          <w:trHeight w:val="567"/>
        </w:trPr>
        <w:tc>
          <w:tcPr>
            <w:tcW w:w="1526" w:type="dxa"/>
            <w:tcBorders>
              <w:top w:val="none" w:sz="0" w:space="0" w:color="auto"/>
              <w:bottom w:val="none" w:sz="0" w:space="0" w:color="auto"/>
            </w:tcBorders>
          </w:tcPr>
          <w:p w14:paraId="075D4AFF"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sz w:val="16"/>
                <w:szCs w:val="16"/>
              </w:rPr>
              <w:t>Klomipramin</w:t>
            </w:r>
          </w:p>
        </w:tc>
        <w:tc>
          <w:tcPr>
            <w:tcW w:w="3152" w:type="dxa"/>
            <w:tcBorders>
              <w:top w:val="none" w:sz="0" w:space="0" w:color="auto"/>
              <w:bottom w:val="none" w:sz="0" w:space="0" w:color="auto"/>
            </w:tcBorders>
          </w:tcPr>
          <w:p w14:paraId="2112DAE0"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25-50 mg</w:t>
            </w:r>
          </w:p>
        </w:tc>
        <w:tc>
          <w:tcPr>
            <w:tcW w:w="2552" w:type="dxa"/>
            <w:tcBorders>
              <w:top w:val="none" w:sz="0" w:space="0" w:color="auto"/>
              <w:bottom w:val="none" w:sz="0" w:space="0" w:color="auto"/>
            </w:tcBorders>
          </w:tcPr>
          <w:p w14:paraId="6B638CBA"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Mo*: 12-36</w:t>
            </w:r>
            <w:r w:rsidRPr="3A20558F">
              <w:rPr>
                <w:rFonts w:asciiTheme="minorHAnsi" w:hAnsiTheme="minorHAnsi" w:cs="Arial"/>
                <w:color w:val="000000" w:themeColor="dark1"/>
                <w:kern w:val="24"/>
                <w:position w:val="6"/>
                <w:sz w:val="16"/>
                <w:szCs w:val="16"/>
                <w:vertAlign w:val="superscript"/>
              </w:rPr>
              <w:t>1</w:t>
            </w:r>
            <w:r w:rsidRPr="3A20558F">
              <w:rPr>
                <w:rFonts w:asciiTheme="minorHAnsi" w:hAnsiTheme="minorHAnsi" w:cs="Arial"/>
                <w:color w:val="000000" w:themeColor="dark1"/>
                <w:kern w:val="24"/>
                <w:sz w:val="16"/>
                <w:szCs w:val="16"/>
              </w:rPr>
              <w:t>; Me*: 36</w:t>
            </w:r>
            <w:r w:rsidRPr="3A20558F">
              <w:rPr>
                <w:rFonts w:asciiTheme="minorHAnsi" w:hAnsiTheme="minorHAnsi" w:cs="Arial"/>
                <w:color w:val="000000" w:themeColor="dark1"/>
                <w:kern w:val="24"/>
                <w:position w:val="6"/>
                <w:sz w:val="16"/>
                <w:szCs w:val="16"/>
                <w:vertAlign w:val="superscript"/>
              </w:rPr>
              <w:t>1</w:t>
            </w:r>
          </w:p>
        </w:tc>
        <w:tc>
          <w:tcPr>
            <w:tcW w:w="2268" w:type="dxa"/>
            <w:tcBorders>
              <w:top w:val="none" w:sz="0" w:space="0" w:color="auto"/>
              <w:bottom w:val="none" w:sz="0" w:space="0" w:color="auto"/>
            </w:tcBorders>
          </w:tcPr>
          <w:p w14:paraId="651AB51A"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150 mg</w:t>
            </w:r>
          </w:p>
        </w:tc>
        <w:tc>
          <w:tcPr>
            <w:tcW w:w="2835" w:type="dxa"/>
            <w:tcBorders>
              <w:top w:val="none" w:sz="0" w:space="0" w:color="auto"/>
              <w:bottom w:val="none" w:sz="0" w:space="0" w:color="auto"/>
            </w:tcBorders>
          </w:tcPr>
          <w:p w14:paraId="4CA29843"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Oklart, minst 75-100 mg/dag, förmodligen 125 mg/dag</w:t>
            </w:r>
          </w:p>
        </w:tc>
        <w:tc>
          <w:tcPr>
            <w:tcW w:w="1701" w:type="dxa"/>
            <w:tcBorders>
              <w:top w:val="none" w:sz="0" w:space="0" w:color="auto"/>
              <w:bottom w:val="none" w:sz="0" w:space="0" w:color="auto"/>
            </w:tcBorders>
          </w:tcPr>
          <w:p w14:paraId="14B818CF"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116 mg</w:t>
            </w:r>
          </w:p>
        </w:tc>
      </w:tr>
      <w:tr w:rsidR="00702564" w:rsidRPr="00FD7009" w14:paraId="6344E886" w14:textId="77777777" w:rsidTr="00632FCC">
        <w:trPr>
          <w:trHeight w:val="340"/>
        </w:trPr>
        <w:tc>
          <w:tcPr>
            <w:tcW w:w="1526" w:type="dxa"/>
          </w:tcPr>
          <w:p w14:paraId="112205EA"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Maprotilin</w:t>
            </w:r>
          </w:p>
        </w:tc>
        <w:tc>
          <w:tcPr>
            <w:tcW w:w="3152" w:type="dxa"/>
          </w:tcPr>
          <w:p w14:paraId="61499F5F"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25-75 mg</w:t>
            </w:r>
          </w:p>
        </w:tc>
        <w:tc>
          <w:tcPr>
            <w:tcW w:w="2552" w:type="dxa"/>
          </w:tcPr>
          <w:p w14:paraId="6073F6A5"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27-58</w:t>
            </w:r>
            <w:r w:rsidRPr="3A20558F">
              <w:rPr>
                <w:rFonts w:asciiTheme="minorHAnsi" w:hAnsiTheme="minorHAnsi" w:cs="Arial"/>
                <w:color w:val="000000" w:themeColor="dark1"/>
                <w:kern w:val="24"/>
                <w:position w:val="6"/>
                <w:sz w:val="16"/>
                <w:szCs w:val="16"/>
                <w:vertAlign w:val="superscript"/>
              </w:rPr>
              <w:t>2</w:t>
            </w:r>
          </w:p>
        </w:tc>
        <w:tc>
          <w:tcPr>
            <w:tcW w:w="2268" w:type="dxa"/>
          </w:tcPr>
          <w:p w14:paraId="5BCA10CD"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150 mg</w:t>
            </w:r>
          </w:p>
        </w:tc>
        <w:tc>
          <w:tcPr>
            <w:tcW w:w="2835" w:type="dxa"/>
          </w:tcPr>
          <w:p w14:paraId="71F361C9"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w:t>
            </w:r>
          </w:p>
        </w:tc>
        <w:tc>
          <w:tcPr>
            <w:tcW w:w="1701" w:type="dxa"/>
          </w:tcPr>
          <w:p w14:paraId="20FB49A4"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118 mg</w:t>
            </w:r>
          </w:p>
        </w:tc>
      </w:tr>
      <w:tr w:rsidR="00702564" w:rsidRPr="00FD7009" w14:paraId="69D1EB55" w14:textId="77777777" w:rsidTr="00632FCC">
        <w:trPr>
          <w:cnfStyle w:val="000000100000" w:firstRow="0" w:lastRow="0" w:firstColumn="0" w:lastColumn="0" w:oddVBand="0" w:evenVBand="0" w:oddHBand="1" w:evenHBand="0" w:firstRowFirstColumn="0" w:firstRowLastColumn="0" w:lastRowFirstColumn="0" w:lastRowLastColumn="0"/>
          <w:trHeight w:val="340"/>
        </w:trPr>
        <w:tc>
          <w:tcPr>
            <w:tcW w:w="1526" w:type="dxa"/>
            <w:tcBorders>
              <w:top w:val="none" w:sz="0" w:space="0" w:color="auto"/>
              <w:bottom w:val="none" w:sz="0" w:space="0" w:color="auto"/>
            </w:tcBorders>
          </w:tcPr>
          <w:p w14:paraId="6599559D" w14:textId="77777777" w:rsidR="00702564" w:rsidRPr="00AB4B98" w:rsidRDefault="00702564" w:rsidP="00632FCC">
            <w:pPr>
              <w:spacing w:line="275"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Mianserin</w:t>
            </w:r>
          </w:p>
        </w:tc>
        <w:tc>
          <w:tcPr>
            <w:tcW w:w="3152" w:type="dxa"/>
            <w:tcBorders>
              <w:top w:val="none" w:sz="0" w:space="0" w:color="auto"/>
              <w:bottom w:val="none" w:sz="0" w:space="0" w:color="auto"/>
            </w:tcBorders>
          </w:tcPr>
          <w:p w14:paraId="46764851" w14:textId="77777777" w:rsidR="00702564" w:rsidRPr="00AB4B98" w:rsidRDefault="00702564" w:rsidP="00632FCC">
            <w:pPr>
              <w:spacing w:line="275"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30-40 mg</w:t>
            </w:r>
          </w:p>
        </w:tc>
        <w:tc>
          <w:tcPr>
            <w:tcW w:w="2552" w:type="dxa"/>
            <w:tcBorders>
              <w:top w:val="none" w:sz="0" w:space="0" w:color="auto"/>
              <w:bottom w:val="none" w:sz="0" w:space="0" w:color="auto"/>
            </w:tcBorders>
          </w:tcPr>
          <w:p w14:paraId="42C134ED" w14:textId="77777777" w:rsidR="00702564" w:rsidRPr="00AB4B98" w:rsidRDefault="00702564" w:rsidP="00632FCC">
            <w:pPr>
              <w:spacing w:line="275"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10-20</w:t>
            </w:r>
            <w:r w:rsidRPr="3A20558F">
              <w:rPr>
                <w:rFonts w:asciiTheme="minorHAnsi" w:hAnsiTheme="minorHAnsi" w:cs="Arial"/>
                <w:color w:val="000000" w:themeColor="dark1"/>
                <w:kern w:val="24"/>
                <w:position w:val="6"/>
                <w:sz w:val="16"/>
                <w:szCs w:val="16"/>
                <w:vertAlign w:val="superscript"/>
              </w:rPr>
              <w:t>1</w:t>
            </w:r>
          </w:p>
        </w:tc>
        <w:tc>
          <w:tcPr>
            <w:tcW w:w="2268" w:type="dxa"/>
            <w:tcBorders>
              <w:top w:val="none" w:sz="0" w:space="0" w:color="auto"/>
              <w:bottom w:val="none" w:sz="0" w:space="0" w:color="auto"/>
            </w:tcBorders>
          </w:tcPr>
          <w:p w14:paraId="09183859" w14:textId="77777777" w:rsidR="00702564" w:rsidRPr="00AB4B98" w:rsidRDefault="00702564" w:rsidP="00632FCC">
            <w:pPr>
              <w:spacing w:line="275"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90 mg</w:t>
            </w:r>
          </w:p>
        </w:tc>
        <w:tc>
          <w:tcPr>
            <w:tcW w:w="2835" w:type="dxa"/>
            <w:tcBorders>
              <w:top w:val="none" w:sz="0" w:space="0" w:color="auto"/>
              <w:bottom w:val="none" w:sz="0" w:space="0" w:color="auto"/>
            </w:tcBorders>
          </w:tcPr>
          <w:p w14:paraId="0136766B" w14:textId="77777777" w:rsidR="00702564" w:rsidRPr="00AB4B98" w:rsidRDefault="00702564" w:rsidP="00632FCC">
            <w:pPr>
              <w:spacing w:line="275"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w:t>
            </w:r>
          </w:p>
        </w:tc>
        <w:tc>
          <w:tcPr>
            <w:tcW w:w="1701" w:type="dxa"/>
            <w:tcBorders>
              <w:top w:val="none" w:sz="0" w:space="0" w:color="auto"/>
              <w:bottom w:val="none" w:sz="0" w:space="0" w:color="auto"/>
            </w:tcBorders>
          </w:tcPr>
          <w:p w14:paraId="2169904F" w14:textId="77777777" w:rsidR="00702564" w:rsidRPr="00AB4B98" w:rsidRDefault="00702564" w:rsidP="00632FCC">
            <w:pPr>
              <w:spacing w:line="275"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101 mg</w:t>
            </w:r>
          </w:p>
        </w:tc>
      </w:tr>
      <w:tr w:rsidR="00702564" w:rsidRPr="00FD7009" w14:paraId="2C24FEA7" w14:textId="77777777" w:rsidTr="00632FCC">
        <w:trPr>
          <w:trHeight w:val="340"/>
        </w:trPr>
        <w:tc>
          <w:tcPr>
            <w:tcW w:w="1526" w:type="dxa"/>
          </w:tcPr>
          <w:p w14:paraId="353E0FE8"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Mirtazapin</w:t>
            </w:r>
          </w:p>
        </w:tc>
        <w:tc>
          <w:tcPr>
            <w:tcW w:w="3152" w:type="dxa"/>
          </w:tcPr>
          <w:p w14:paraId="28F5085B"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15-30 mg</w:t>
            </w:r>
          </w:p>
        </w:tc>
        <w:tc>
          <w:tcPr>
            <w:tcW w:w="2552" w:type="dxa"/>
          </w:tcPr>
          <w:p w14:paraId="5B4E5310"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Mo*: 20-40</w:t>
            </w:r>
            <w:r w:rsidRPr="3A20558F">
              <w:rPr>
                <w:rFonts w:asciiTheme="minorHAnsi" w:hAnsiTheme="minorHAnsi" w:cs="Arial"/>
                <w:color w:val="000000" w:themeColor="dark1"/>
                <w:kern w:val="24"/>
                <w:position w:val="6"/>
                <w:sz w:val="16"/>
                <w:szCs w:val="16"/>
                <w:vertAlign w:val="superscript"/>
              </w:rPr>
              <w:t>1</w:t>
            </w:r>
            <w:r w:rsidRPr="3A20558F">
              <w:rPr>
                <w:rFonts w:asciiTheme="minorHAnsi" w:hAnsiTheme="minorHAnsi" w:cs="Arial"/>
                <w:color w:val="000000" w:themeColor="dark1"/>
                <w:kern w:val="24"/>
                <w:sz w:val="16"/>
                <w:szCs w:val="16"/>
              </w:rPr>
              <w:t>; Me*: 25</w:t>
            </w:r>
            <w:r w:rsidRPr="3A20558F">
              <w:rPr>
                <w:rFonts w:asciiTheme="minorHAnsi" w:hAnsiTheme="minorHAnsi" w:cs="Arial"/>
                <w:color w:val="000000" w:themeColor="dark1"/>
                <w:kern w:val="24"/>
                <w:position w:val="6"/>
                <w:sz w:val="16"/>
                <w:szCs w:val="16"/>
                <w:vertAlign w:val="superscript"/>
              </w:rPr>
              <w:t>1</w:t>
            </w:r>
          </w:p>
        </w:tc>
        <w:tc>
          <w:tcPr>
            <w:tcW w:w="2268" w:type="dxa"/>
          </w:tcPr>
          <w:p w14:paraId="66D57C01"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45 mg</w:t>
            </w:r>
          </w:p>
        </w:tc>
        <w:tc>
          <w:tcPr>
            <w:tcW w:w="2835" w:type="dxa"/>
          </w:tcPr>
          <w:p w14:paraId="2703217C"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30 mg/dag</w:t>
            </w:r>
          </w:p>
        </w:tc>
        <w:tc>
          <w:tcPr>
            <w:tcW w:w="1701" w:type="dxa"/>
          </w:tcPr>
          <w:p w14:paraId="3E2853D6"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51 mg</w:t>
            </w:r>
          </w:p>
        </w:tc>
      </w:tr>
      <w:tr w:rsidR="00702564" w:rsidRPr="00FD7009" w14:paraId="12ED0116" w14:textId="77777777" w:rsidTr="00632FCC">
        <w:trPr>
          <w:cnfStyle w:val="000000100000" w:firstRow="0" w:lastRow="0" w:firstColumn="0" w:lastColumn="0" w:oddVBand="0" w:evenVBand="0" w:oddHBand="1" w:evenHBand="0" w:firstRowFirstColumn="0" w:firstRowLastColumn="0" w:lastRowFirstColumn="0" w:lastRowLastColumn="0"/>
          <w:trHeight w:val="340"/>
        </w:trPr>
        <w:tc>
          <w:tcPr>
            <w:tcW w:w="1526" w:type="dxa"/>
            <w:tcBorders>
              <w:top w:val="none" w:sz="0" w:space="0" w:color="auto"/>
              <w:bottom w:val="none" w:sz="0" w:space="0" w:color="auto"/>
            </w:tcBorders>
          </w:tcPr>
          <w:p w14:paraId="224A1234"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Moklobemid</w:t>
            </w:r>
          </w:p>
        </w:tc>
        <w:tc>
          <w:tcPr>
            <w:tcW w:w="3152" w:type="dxa"/>
            <w:tcBorders>
              <w:top w:val="none" w:sz="0" w:space="0" w:color="auto"/>
              <w:bottom w:val="none" w:sz="0" w:space="0" w:color="auto"/>
            </w:tcBorders>
          </w:tcPr>
          <w:p w14:paraId="0EA91DF3"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300 mg (uppdelad på 2-3 doser)</w:t>
            </w:r>
          </w:p>
        </w:tc>
        <w:tc>
          <w:tcPr>
            <w:tcW w:w="2552" w:type="dxa"/>
            <w:tcBorders>
              <w:top w:val="none" w:sz="0" w:space="0" w:color="auto"/>
              <w:bottom w:val="none" w:sz="0" w:space="0" w:color="auto"/>
            </w:tcBorders>
          </w:tcPr>
          <w:p w14:paraId="08EEAA94"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2-4</w:t>
            </w:r>
            <w:r w:rsidRPr="3A20558F">
              <w:rPr>
                <w:rFonts w:asciiTheme="minorHAnsi" w:hAnsiTheme="minorHAnsi" w:cs="Arial"/>
                <w:color w:val="000000" w:themeColor="dark1"/>
                <w:kern w:val="24"/>
                <w:position w:val="6"/>
                <w:sz w:val="16"/>
                <w:szCs w:val="16"/>
                <w:vertAlign w:val="superscript"/>
              </w:rPr>
              <w:t>1</w:t>
            </w:r>
          </w:p>
        </w:tc>
        <w:tc>
          <w:tcPr>
            <w:tcW w:w="2268" w:type="dxa"/>
            <w:tcBorders>
              <w:top w:val="none" w:sz="0" w:space="0" w:color="auto"/>
              <w:bottom w:val="none" w:sz="0" w:space="0" w:color="auto"/>
            </w:tcBorders>
          </w:tcPr>
          <w:p w14:paraId="4712A530"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600 mg</w:t>
            </w:r>
          </w:p>
        </w:tc>
        <w:tc>
          <w:tcPr>
            <w:tcW w:w="2835" w:type="dxa"/>
            <w:tcBorders>
              <w:top w:val="none" w:sz="0" w:space="0" w:color="auto"/>
              <w:bottom w:val="none" w:sz="0" w:space="0" w:color="auto"/>
            </w:tcBorders>
          </w:tcPr>
          <w:p w14:paraId="31580FD6"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300 mg/dag</w:t>
            </w:r>
          </w:p>
        </w:tc>
        <w:tc>
          <w:tcPr>
            <w:tcW w:w="1701" w:type="dxa"/>
            <w:tcBorders>
              <w:top w:val="none" w:sz="0" w:space="0" w:color="auto"/>
              <w:bottom w:val="none" w:sz="0" w:space="0" w:color="auto"/>
            </w:tcBorders>
          </w:tcPr>
          <w:p w14:paraId="1A643FB7"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575 mg</w:t>
            </w:r>
          </w:p>
        </w:tc>
      </w:tr>
      <w:tr w:rsidR="00702564" w:rsidRPr="00FD7009" w14:paraId="4ACFF735" w14:textId="77777777" w:rsidTr="00632FCC">
        <w:trPr>
          <w:trHeight w:val="567"/>
        </w:trPr>
        <w:tc>
          <w:tcPr>
            <w:tcW w:w="1526" w:type="dxa"/>
          </w:tcPr>
          <w:p w14:paraId="294F65E9"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sz w:val="16"/>
                <w:szCs w:val="16"/>
              </w:rPr>
              <w:t>Nortriptylin</w:t>
            </w:r>
          </w:p>
        </w:tc>
        <w:tc>
          <w:tcPr>
            <w:tcW w:w="3152" w:type="dxa"/>
          </w:tcPr>
          <w:p w14:paraId="660568F8" w14:textId="77777777" w:rsidR="00702564" w:rsidRPr="00AB4B98" w:rsidRDefault="00702564" w:rsidP="00632FCC">
            <w:pPr>
              <w:spacing w:line="277"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25 mg x 3</w:t>
            </w:r>
          </w:p>
        </w:tc>
        <w:tc>
          <w:tcPr>
            <w:tcW w:w="2552" w:type="dxa"/>
          </w:tcPr>
          <w:p w14:paraId="7898DD50" w14:textId="77777777" w:rsidR="00702564" w:rsidRPr="00AB4B98" w:rsidRDefault="00702564" w:rsidP="00632FCC">
            <w:pPr>
              <w:spacing w:line="277"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15-39</w:t>
            </w:r>
            <w:r w:rsidRPr="3A20558F">
              <w:rPr>
                <w:rFonts w:asciiTheme="minorHAnsi" w:hAnsiTheme="minorHAnsi" w:cs="Arial"/>
                <w:color w:val="000000" w:themeColor="dark1"/>
                <w:kern w:val="24"/>
                <w:position w:val="6"/>
                <w:sz w:val="16"/>
                <w:szCs w:val="16"/>
                <w:vertAlign w:val="superscript"/>
              </w:rPr>
              <w:t>1</w:t>
            </w:r>
          </w:p>
        </w:tc>
        <w:tc>
          <w:tcPr>
            <w:tcW w:w="2268" w:type="dxa"/>
          </w:tcPr>
          <w:p w14:paraId="1B6F437F" w14:textId="77777777" w:rsidR="00702564" w:rsidRPr="00AB4B98" w:rsidRDefault="00702564" w:rsidP="00632FCC">
            <w:pPr>
              <w:spacing w:line="277"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150 mg</w:t>
            </w:r>
          </w:p>
        </w:tc>
        <w:tc>
          <w:tcPr>
            <w:tcW w:w="2835" w:type="dxa"/>
          </w:tcPr>
          <w:p w14:paraId="167D1550"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Oklart, minst 75-100 mg/dag, förmodligen 125 mg/dag</w:t>
            </w:r>
          </w:p>
        </w:tc>
        <w:tc>
          <w:tcPr>
            <w:tcW w:w="1701" w:type="dxa"/>
          </w:tcPr>
          <w:p w14:paraId="57A75E0D" w14:textId="77777777" w:rsidR="00702564" w:rsidRPr="00AB4B98" w:rsidRDefault="00702564" w:rsidP="00632FCC">
            <w:pPr>
              <w:spacing w:line="277"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101 mg</w:t>
            </w:r>
          </w:p>
        </w:tc>
      </w:tr>
      <w:tr w:rsidR="00702564" w:rsidRPr="00FD7009" w14:paraId="2EA56474" w14:textId="77777777" w:rsidTr="00632FCC">
        <w:trPr>
          <w:cnfStyle w:val="000000100000" w:firstRow="0" w:lastRow="0" w:firstColumn="0" w:lastColumn="0" w:oddVBand="0" w:evenVBand="0" w:oddHBand="1" w:evenHBand="0" w:firstRowFirstColumn="0" w:firstRowLastColumn="0" w:lastRowFirstColumn="0" w:lastRowLastColumn="0"/>
          <w:trHeight w:val="340"/>
        </w:trPr>
        <w:tc>
          <w:tcPr>
            <w:tcW w:w="1526" w:type="dxa"/>
            <w:tcBorders>
              <w:top w:val="none" w:sz="0" w:space="0" w:color="auto"/>
              <w:bottom w:val="none" w:sz="0" w:space="0" w:color="auto"/>
            </w:tcBorders>
            <w:hideMark/>
          </w:tcPr>
          <w:p w14:paraId="274B87F8" w14:textId="77777777" w:rsidR="00702564" w:rsidRPr="00AB4B98" w:rsidRDefault="00702564" w:rsidP="00632FCC">
            <w:pPr>
              <w:spacing w:line="330"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Paroxetin</w:t>
            </w:r>
          </w:p>
        </w:tc>
        <w:tc>
          <w:tcPr>
            <w:tcW w:w="3152" w:type="dxa"/>
            <w:tcBorders>
              <w:top w:val="none" w:sz="0" w:space="0" w:color="auto"/>
              <w:bottom w:val="none" w:sz="0" w:space="0" w:color="auto"/>
            </w:tcBorders>
          </w:tcPr>
          <w:p w14:paraId="17ABF529" w14:textId="77777777" w:rsidR="00702564" w:rsidRPr="00AB4B98" w:rsidRDefault="00702564" w:rsidP="00632FCC">
            <w:pPr>
              <w:spacing w:line="330"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20 mg</w:t>
            </w:r>
          </w:p>
        </w:tc>
        <w:tc>
          <w:tcPr>
            <w:tcW w:w="2552" w:type="dxa"/>
            <w:tcBorders>
              <w:top w:val="none" w:sz="0" w:space="0" w:color="auto"/>
              <w:bottom w:val="none" w:sz="0" w:space="0" w:color="auto"/>
            </w:tcBorders>
            <w:hideMark/>
          </w:tcPr>
          <w:p w14:paraId="3AE8E4FC" w14:textId="77777777" w:rsidR="00702564" w:rsidRPr="00AB4B98" w:rsidRDefault="00702564" w:rsidP="00632FCC">
            <w:pPr>
              <w:spacing w:line="330"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24</w:t>
            </w:r>
            <w:r w:rsidRPr="3A20558F">
              <w:rPr>
                <w:rFonts w:asciiTheme="minorHAnsi" w:hAnsiTheme="minorHAnsi" w:cs="Arial"/>
                <w:color w:val="000000" w:themeColor="dark1"/>
                <w:kern w:val="24"/>
                <w:position w:val="6"/>
                <w:sz w:val="16"/>
                <w:szCs w:val="16"/>
                <w:vertAlign w:val="superscript"/>
              </w:rPr>
              <w:t>1</w:t>
            </w:r>
          </w:p>
        </w:tc>
        <w:tc>
          <w:tcPr>
            <w:tcW w:w="2268" w:type="dxa"/>
            <w:tcBorders>
              <w:top w:val="none" w:sz="0" w:space="0" w:color="auto"/>
              <w:bottom w:val="none" w:sz="0" w:space="0" w:color="auto"/>
            </w:tcBorders>
            <w:hideMark/>
          </w:tcPr>
          <w:p w14:paraId="13A56F24" w14:textId="77777777" w:rsidR="00702564" w:rsidRPr="00AB4B98" w:rsidRDefault="00702564" w:rsidP="00632FCC">
            <w:pPr>
              <w:spacing w:line="330"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50 mg</w:t>
            </w:r>
          </w:p>
        </w:tc>
        <w:tc>
          <w:tcPr>
            <w:tcW w:w="2835" w:type="dxa"/>
            <w:tcBorders>
              <w:top w:val="none" w:sz="0" w:space="0" w:color="auto"/>
              <w:bottom w:val="none" w:sz="0" w:space="0" w:color="auto"/>
            </w:tcBorders>
          </w:tcPr>
          <w:p w14:paraId="4CA57884" w14:textId="77777777" w:rsidR="00702564" w:rsidRPr="00AB4B98" w:rsidRDefault="00702564" w:rsidP="00632FCC">
            <w:pPr>
              <w:spacing w:line="330"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20 mg/dag</w:t>
            </w:r>
          </w:p>
        </w:tc>
        <w:tc>
          <w:tcPr>
            <w:tcW w:w="1701" w:type="dxa"/>
            <w:tcBorders>
              <w:top w:val="none" w:sz="0" w:space="0" w:color="auto"/>
              <w:bottom w:val="none" w:sz="0" w:space="0" w:color="auto"/>
            </w:tcBorders>
            <w:hideMark/>
          </w:tcPr>
          <w:p w14:paraId="030D41E3" w14:textId="77777777" w:rsidR="00702564" w:rsidRPr="00AB4B98" w:rsidRDefault="00702564" w:rsidP="00632FCC">
            <w:pPr>
              <w:spacing w:line="330" w:lineRule="atLeast"/>
              <w:rPr>
                <w:rFonts w:asciiTheme="minorHAnsi" w:hAnsiTheme="minorHAnsi" w:cs="Arial"/>
                <w:sz w:val="16"/>
                <w:szCs w:val="16"/>
              </w:rPr>
            </w:pPr>
            <w:r w:rsidRPr="3A20558F">
              <w:rPr>
                <w:rFonts w:asciiTheme="minorHAnsi" w:hAnsiTheme="minorHAnsi" w:cs="Arial"/>
                <w:color w:val="000000" w:themeColor="dark1"/>
                <w:kern w:val="24"/>
                <w:sz w:val="16"/>
                <w:szCs w:val="16"/>
              </w:rPr>
              <w:t>34 mg</w:t>
            </w:r>
          </w:p>
        </w:tc>
      </w:tr>
      <w:tr w:rsidR="00702564" w:rsidRPr="00FD7009" w14:paraId="48859389" w14:textId="77777777" w:rsidTr="00632FCC">
        <w:trPr>
          <w:trHeight w:val="340"/>
        </w:trPr>
        <w:tc>
          <w:tcPr>
            <w:tcW w:w="1526" w:type="dxa"/>
          </w:tcPr>
          <w:p w14:paraId="1A0B7875"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Reboxetin</w:t>
            </w:r>
          </w:p>
        </w:tc>
        <w:tc>
          <w:tcPr>
            <w:tcW w:w="3152" w:type="dxa"/>
          </w:tcPr>
          <w:p w14:paraId="4518E177"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8 mg (uppdelad på 2 doser)</w:t>
            </w:r>
          </w:p>
        </w:tc>
        <w:tc>
          <w:tcPr>
            <w:tcW w:w="2552" w:type="dxa"/>
          </w:tcPr>
          <w:p w14:paraId="668E7E93"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13</w:t>
            </w:r>
            <w:r w:rsidRPr="3A20558F">
              <w:rPr>
                <w:rFonts w:asciiTheme="minorHAnsi" w:hAnsiTheme="minorHAnsi" w:cs="Arial"/>
                <w:color w:val="000000" w:themeColor="dark1"/>
                <w:kern w:val="24"/>
                <w:position w:val="6"/>
                <w:sz w:val="16"/>
                <w:szCs w:val="16"/>
                <w:vertAlign w:val="superscript"/>
              </w:rPr>
              <w:t>1</w:t>
            </w:r>
          </w:p>
        </w:tc>
        <w:tc>
          <w:tcPr>
            <w:tcW w:w="2268" w:type="dxa"/>
          </w:tcPr>
          <w:p w14:paraId="039AC045"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12 mg</w:t>
            </w:r>
          </w:p>
        </w:tc>
        <w:tc>
          <w:tcPr>
            <w:tcW w:w="2835" w:type="dxa"/>
          </w:tcPr>
          <w:p w14:paraId="62CEDC00"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8 mg/dag</w:t>
            </w:r>
          </w:p>
        </w:tc>
        <w:tc>
          <w:tcPr>
            <w:tcW w:w="1701" w:type="dxa"/>
          </w:tcPr>
          <w:p w14:paraId="34DACA09"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12 mg</w:t>
            </w:r>
          </w:p>
        </w:tc>
      </w:tr>
      <w:tr w:rsidR="00702564" w:rsidRPr="00FD7009" w14:paraId="679FDD51" w14:textId="77777777" w:rsidTr="00632FCC">
        <w:trPr>
          <w:cnfStyle w:val="000000100000" w:firstRow="0" w:lastRow="0" w:firstColumn="0" w:lastColumn="0" w:oddVBand="0" w:evenVBand="0" w:oddHBand="1" w:evenHBand="0" w:firstRowFirstColumn="0" w:firstRowLastColumn="0" w:lastRowFirstColumn="0" w:lastRowLastColumn="0"/>
          <w:trHeight w:val="340"/>
        </w:trPr>
        <w:tc>
          <w:tcPr>
            <w:tcW w:w="1526" w:type="dxa"/>
            <w:tcBorders>
              <w:top w:val="none" w:sz="0" w:space="0" w:color="auto"/>
              <w:bottom w:val="none" w:sz="0" w:space="0" w:color="auto"/>
            </w:tcBorders>
            <w:hideMark/>
          </w:tcPr>
          <w:p w14:paraId="4779C78F"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Sertralin</w:t>
            </w:r>
          </w:p>
        </w:tc>
        <w:tc>
          <w:tcPr>
            <w:tcW w:w="3152" w:type="dxa"/>
            <w:tcBorders>
              <w:top w:val="none" w:sz="0" w:space="0" w:color="auto"/>
              <w:bottom w:val="none" w:sz="0" w:space="0" w:color="auto"/>
            </w:tcBorders>
          </w:tcPr>
          <w:p w14:paraId="25E99C28"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50 mg</w:t>
            </w:r>
          </w:p>
        </w:tc>
        <w:tc>
          <w:tcPr>
            <w:tcW w:w="2552" w:type="dxa"/>
            <w:tcBorders>
              <w:top w:val="none" w:sz="0" w:space="0" w:color="auto"/>
              <w:bottom w:val="none" w:sz="0" w:space="0" w:color="auto"/>
            </w:tcBorders>
            <w:hideMark/>
          </w:tcPr>
          <w:p w14:paraId="0E1870E4"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26</w:t>
            </w:r>
            <w:r w:rsidRPr="3A20558F">
              <w:rPr>
                <w:rFonts w:asciiTheme="minorHAnsi" w:hAnsiTheme="minorHAnsi" w:cs="Arial"/>
                <w:color w:val="000000" w:themeColor="dark1"/>
                <w:kern w:val="24"/>
                <w:position w:val="6"/>
                <w:sz w:val="16"/>
                <w:szCs w:val="16"/>
                <w:vertAlign w:val="superscript"/>
              </w:rPr>
              <w:t>1</w:t>
            </w:r>
          </w:p>
        </w:tc>
        <w:tc>
          <w:tcPr>
            <w:tcW w:w="2268" w:type="dxa"/>
            <w:tcBorders>
              <w:top w:val="none" w:sz="0" w:space="0" w:color="auto"/>
              <w:bottom w:val="none" w:sz="0" w:space="0" w:color="auto"/>
            </w:tcBorders>
            <w:hideMark/>
          </w:tcPr>
          <w:p w14:paraId="5AAFA3CF"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200 mg</w:t>
            </w:r>
          </w:p>
        </w:tc>
        <w:tc>
          <w:tcPr>
            <w:tcW w:w="2835" w:type="dxa"/>
            <w:tcBorders>
              <w:top w:val="none" w:sz="0" w:space="0" w:color="auto"/>
              <w:bottom w:val="none" w:sz="0" w:space="0" w:color="auto"/>
            </w:tcBorders>
          </w:tcPr>
          <w:p w14:paraId="1F2C12E5"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50 mg/dag</w:t>
            </w:r>
          </w:p>
        </w:tc>
        <w:tc>
          <w:tcPr>
            <w:tcW w:w="1701" w:type="dxa"/>
            <w:tcBorders>
              <w:top w:val="none" w:sz="0" w:space="0" w:color="auto"/>
              <w:bottom w:val="none" w:sz="0" w:space="0" w:color="auto"/>
            </w:tcBorders>
            <w:hideMark/>
          </w:tcPr>
          <w:p w14:paraId="78DD94BC"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99 mg</w:t>
            </w:r>
          </w:p>
        </w:tc>
      </w:tr>
      <w:tr w:rsidR="00702564" w:rsidRPr="00FD7009" w14:paraId="713C3AAF" w14:textId="77777777" w:rsidTr="00632FCC">
        <w:trPr>
          <w:trHeight w:val="340"/>
        </w:trPr>
        <w:tc>
          <w:tcPr>
            <w:tcW w:w="1526" w:type="dxa"/>
            <w:hideMark/>
          </w:tcPr>
          <w:p w14:paraId="7AFA515A"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Venlafaxin</w:t>
            </w:r>
          </w:p>
        </w:tc>
        <w:tc>
          <w:tcPr>
            <w:tcW w:w="3152" w:type="dxa"/>
          </w:tcPr>
          <w:p w14:paraId="700FDD3B"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75 mg</w:t>
            </w:r>
          </w:p>
        </w:tc>
        <w:tc>
          <w:tcPr>
            <w:tcW w:w="2552" w:type="dxa"/>
            <w:hideMark/>
          </w:tcPr>
          <w:p w14:paraId="2BA7243C"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Mo*: 5</w:t>
            </w:r>
            <w:r w:rsidRPr="3A20558F">
              <w:rPr>
                <w:rFonts w:asciiTheme="minorHAnsi" w:hAnsiTheme="minorHAnsi" w:cs="Arial"/>
                <w:color w:val="000000" w:themeColor="dark1"/>
                <w:kern w:val="24"/>
                <w:position w:val="6"/>
                <w:sz w:val="16"/>
                <w:szCs w:val="16"/>
                <w:vertAlign w:val="superscript"/>
              </w:rPr>
              <w:t>1</w:t>
            </w:r>
            <w:r w:rsidRPr="3A20558F">
              <w:rPr>
                <w:rFonts w:asciiTheme="minorHAnsi" w:hAnsiTheme="minorHAnsi" w:cs="Arial"/>
                <w:color w:val="000000" w:themeColor="dark1"/>
                <w:kern w:val="24"/>
                <w:sz w:val="16"/>
                <w:szCs w:val="16"/>
              </w:rPr>
              <w:t>; Me*: 11</w:t>
            </w:r>
            <w:r w:rsidRPr="3A20558F">
              <w:rPr>
                <w:rFonts w:asciiTheme="minorHAnsi" w:hAnsiTheme="minorHAnsi" w:cs="Arial"/>
                <w:color w:val="000000" w:themeColor="dark1"/>
                <w:kern w:val="24"/>
                <w:position w:val="6"/>
                <w:sz w:val="16"/>
                <w:szCs w:val="16"/>
                <w:vertAlign w:val="superscript"/>
              </w:rPr>
              <w:t>1</w:t>
            </w:r>
          </w:p>
        </w:tc>
        <w:tc>
          <w:tcPr>
            <w:tcW w:w="2268" w:type="dxa"/>
            <w:hideMark/>
          </w:tcPr>
          <w:p w14:paraId="4625D8C1"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375 mg</w:t>
            </w:r>
          </w:p>
        </w:tc>
        <w:tc>
          <w:tcPr>
            <w:tcW w:w="2835" w:type="dxa"/>
          </w:tcPr>
          <w:p w14:paraId="34F93E7A"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75 mg/dag</w:t>
            </w:r>
          </w:p>
        </w:tc>
        <w:tc>
          <w:tcPr>
            <w:tcW w:w="1701" w:type="dxa"/>
            <w:hideMark/>
          </w:tcPr>
          <w:p w14:paraId="58DEAA68"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149 mg</w:t>
            </w:r>
          </w:p>
        </w:tc>
      </w:tr>
      <w:tr w:rsidR="00702564" w:rsidRPr="00FD7009" w14:paraId="355E5959" w14:textId="77777777" w:rsidTr="00632FCC">
        <w:trPr>
          <w:cnfStyle w:val="000000100000" w:firstRow="0" w:lastRow="0" w:firstColumn="0" w:lastColumn="0" w:oddVBand="0" w:evenVBand="0" w:oddHBand="1" w:evenHBand="0" w:firstRowFirstColumn="0" w:firstRowLastColumn="0" w:lastRowFirstColumn="0" w:lastRowLastColumn="0"/>
          <w:trHeight w:val="340"/>
        </w:trPr>
        <w:tc>
          <w:tcPr>
            <w:tcW w:w="1526" w:type="dxa"/>
            <w:tcBorders>
              <w:top w:val="none" w:sz="0" w:space="0" w:color="auto"/>
              <w:bottom w:val="none" w:sz="0" w:space="0" w:color="auto"/>
            </w:tcBorders>
            <w:hideMark/>
          </w:tcPr>
          <w:p w14:paraId="2EA442C9"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Vortioxetin</w:t>
            </w:r>
          </w:p>
        </w:tc>
        <w:tc>
          <w:tcPr>
            <w:tcW w:w="3152" w:type="dxa"/>
            <w:tcBorders>
              <w:top w:val="none" w:sz="0" w:space="0" w:color="auto"/>
              <w:bottom w:val="none" w:sz="0" w:space="0" w:color="auto"/>
            </w:tcBorders>
          </w:tcPr>
          <w:p w14:paraId="6EA2F28E"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10 mg</w:t>
            </w:r>
          </w:p>
        </w:tc>
        <w:tc>
          <w:tcPr>
            <w:tcW w:w="2552" w:type="dxa"/>
            <w:tcBorders>
              <w:top w:val="none" w:sz="0" w:space="0" w:color="auto"/>
              <w:bottom w:val="none" w:sz="0" w:space="0" w:color="auto"/>
            </w:tcBorders>
            <w:hideMark/>
          </w:tcPr>
          <w:p w14:paraId="7C40341C"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66</w:t>
            </w:r>
            <w:r w:rsidRPr="3A20558F">
              <w:rPr>
                <w:rFonts w:asciiTheme="minorHAnsi" w:hAnsiTheme="minorHAnsi" w:cs="Arial"/>
                <w:color w:val="000000" w:themeColor="dark1"/>
                <w:kern w:val="24"/>
                <w:position w:val="6"/>
                <w:sz w:val="16"/>
                <w:szCs w:val="16"/>
                <w:vertAlign w:val="superscript"/>
              </w:rPr>
              <w:t>1</w:t>
            </w:r>
          </w:p>
        </w:tc>
        <w:tc>
          <w:tcPr>
            <w:tcW w:w="2268" w:type="dxa"/>
            <w:tcBorders>
              <w:top w:val="none" w:sz="0" w:space="0" w:color="auto"/>
              <w:bottom w:val="none" w:sz="0" w:space="0" w:color="auto"/>
            </w:tcBorders>
            <w:hideMark/>
          </w:tcPr>
          <w:p w14:paraId="461C0032"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20 mg</w:t>
            </w:r>
          </w:p>
        </w:tc>
        <w:tc>
          <w:tcPr>
            <w:tcW w:w="2835" w:type="dxa"/>
            <w:tcBorders>
              <w:top w:val="none" w:sz="0" w:space="0" w:color="auto"/>
              <w:bottom w:val="none" w:sz="0" w:space="0" w:color="auto"/>
            </w:tcBorders>
          </w:tcPr>
          <w:p w14:paraId="3B4058E7"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10 mg/dag</w:t>
            </w:r>
          </w:p>
        </w:tc>
        <w:tc>
          <w:tcPr>
            <w:tcW w:w="1701" w:type="dxa"/>
            <w:tcBorders>
              <w:top w:val="none" w:sz="0" w:space="0" w:color="auto"/>
              <w:bottom w:val="none" w:sz="0" w:space="0" w:color="auto"/>
            </w:tcBorders>
            <w:hideMark/>
          </w:tcPr>
          <w:p w14:paraId="2E9F6E7C" w14:textId="77777777" w:rsidR="00702564" w:rsidRPr="00AB4B98" w:rsidRDefault="00702564" w:rsidP="00632FCC">
            <w:pPr>
              <w:rPr>
                <w:rFonts w:asciiTheme="minorHAnsi" w:hAnsiTheme="minorHAnsi" w:cs="Arial"/>
                <w:sz w:val="16"/>
                <w:szCs w:val="16"/>
              </w:rPr>
            </w:pPr>
            <w:r w:rsidRPr="3A20558F">
              <w:rPr>
                <w:rFonts w:asciiTheme="minorHAnsi" w:hAnsiTheme="minorHAnsi" w:cs="Arial"/>
                <w:color w:val="000000" w:themeColor="dark1"/>
                <w:kern w:val="24"/>
                <w:sz w:val="16"/>
                <w:szCs w:val="16"/>
              </w:rPr>
              <w:t xml:space="preserve">- </w:t>
            </w:r>
          </w:p>
        </w:tc>
      </w:tr>
    </w:tbl>
    <w:p w14:paraId="7F967E0D" w14:textId="77777777" w:rsidR="00702564" w:rsidRDefault="00702564" w:rsidP="00702564">
      <w:pPr>
        <w:tabs>
          <w:tab w:val="clear" w:pos="284"/>
        </w:tabs>
        <w:spacing w:after="120" w:line="260" w:lineRule="atLeast"/>
        <w:rPr>
          <w:noProof/>
          <w:lang w:val="en-US"/>
        </w:rPr>
      </w:pPr>
    </w:p>
    <w:p w14:paraId="4B6EA6F1" w14:textId="77777777" w:rsidR="00702564" w:rsidRPr="00AB4B98" w:rsidRDefault="00702564" w:rsidP="00702564">
      <w:pPr>
        <w:tabs>
          <w:tab w:val="clear" w:pos="284"/>
          <w:tab w:val="num" w:pos="360"/>
        </w:tabs>
        <w:spacing w:line="240" w:lineRule="auto"/>
        <w:ind w:left="357" w:hanging="357"/>
        <w:rPr>
          <w:rFonts w:asciiTheme="minorHAnsi" w:hAnsiTheme="minorHAnsi" w:cs="Arial"/>
          <w:sz w:val="16"/>
          <w:szCs w:val="16"/>
        </w:rPr>
      </w:pPr>
      <w:r w:rsidRPr="00AB4B98">
        <w:rPr>
          <w:rFonts w:asciiTheme="minorHAnsi" w:hAnsiTheme="minorHAnsi" w:cs="Arial"/>
          <w:sz w:val="16"/>
          <w:szCs w:val="16"/>
        </w:rPr>
        <w:t>* Mo: modersubstans</w:t>
      </w:r>
      <w:r w:rsidRPr="00AB4B98">
        <w:rPr>
          <w:rFonts w:asciiTheme="minorHAnsi" w:hAnsiTheme="minorHAnsi" w:cs="Arial"/>
          <w:sz w:val="16"/>
          <w:szCs w:val="16"/>
        </w:rPr>
        <w:tab/>
        <w:t>* Me: metabolit</w:t>
      </w:r>
      <w:r w:rsidRPr="00AB4B98">
        <w:rPr>
          <w:rFonts w:asciiTheme="minorHAnsi" w:hAnsiTheme="minorHAnsi" w:cs="Arial"/>
          <w:sz w:val="16"/>
          <w:szCs w:val="16"/>
        </w:rPr>
        <w:br/>
      </w:r>
    </w:p>
    <w:p w14:paraId="6F074CE1" w14:textId="77777777" w:rsidR="00702564" w:rsidRPr="00AB4B98" w:rsidRDefault="00702564" w:rsidP="00702564">
      <w:pPr>
        <w:pStyle w:val="Liststycke"/>
        <w:numPr>
          <w:ilvl w:val="0"/>
          <w:numId w:val="41"/>
        </w:numPr>
        <w:tabs>
          <w:tab w:val="clear" w:pos="284"/>
        </w:tabs>
        <w:spacing w:line="240" w:lineRule="auto"/>
        <w:ind w:left="357" w:hanging="357"/>
        <w:contextualSpacing/>
        <w:rPr>
          <w:rFonts w:asciiTheme="minorHAnsi" w:eastAsia="Times New Roman" w:hAnsiTheme="minorHAnsi" w:cs="Arial"/>
          <w:sz w:val="16"/>
          <w:szCs w:val="16"/>
          <w:lang w:val="en-GB"/>
        </w:rPr>
      </w:pPr>
      <w:r w:rsidRPr="00AB4B98">
        <w:rPr>
          <w:rFonts w:asciiTheme="minorHAnsi" w:hAnsiTheme="minorHAnsi" w:cs="Arial"/>
          <w:color w:val="000000" w:themeColor="text1"/>
          <w:kern w:val="24"/>
          <w:sz w:val="16"/>
          <w:szCs w:val="16"/>
          <w:lang w:val="en-GB"/>
        </w:rPr>
        <w:t>Maudsley prescribing guidelines 12th edition</w:t>
      </w:r>
    </w:p>
    <w:p w14:paraId="061D5212" w14:textId="77777777" w:rsidR="00702564" w:rsidRPr="00AB4B98" w:rsidRDefault="00702564" w:rsidP="00702564">
      <w:pPr>
        <w:pStyle w:val="Liststycke"/>
        <w:numPr>
          <w:ilvl w:val="0"/>
          <w:numId w:val="41"/>
        </w:numPr>
        <w:tabs>
          <w:tab w:val="clear" w:pos="284"/>
        </w:tabs>
        <w:spacing w:line="240" w:lineRule="auto"/>
        <w:ind w:left="357" w:hanging="357"/>
        <w:contextualSpacing/>
        <w:rPr>
          <w:rFonts w:asciiTheme="minorHAnsi" w:eastAsia="Times New Roman" w:hAnsiTheme="minorHAnsi" w:cs="Arial"/>
          <w:sz w:val="16"/>
          <w:szCs w:val="16"/>
        </w:rPr>
      </w:pPr>
      <w:r w:rsidRPr="00AB4B98">
        <w:rPr>
          <w:rFonts w:asciiTheme="minorHAnsi" w:hAnsiTheme="minorHAnsi" w:cs="Arial"/>
          <w:color w:val="000000" w:themeColor="text1"/>
          <w:kern w:val="24"/>
          <w:sz w:val="16"/>
          <w:szCs w:val="16"/>
        </w:rPr>
        <w:t>FASS</w:t>
      </w:r>
    </w:p>
    <w:p w14:paraId="2DE2399B" w14:textId="77777777" w:rsidR="00702564" w:rsidRPr="00AB4B98" w:rsidRDefault="00702564" w:rsidP="00702564">
      <w:pPr>
        <w:pStyle w:val="Liststycke"/>
        <w:numPr>
          <w:ilvl w:val="0"/>
          <w:numId w:val="41"/>
        </w:numPr>
        <w:tabs>
          <w:tab w:val="clear" w:pos="284"/>
        </w:tabs>
        <w:spacing w:line="240" w:lineRule="auto"/>
        <w:ind w:left="357" w:hanging="357"/>
        <w:contextualSpacing/>
        <w:rPr>
          <w:rFonts w:asciiTheme="minorHAnsi" w:eastAsia="Times New Roman" w:hAnsiTheme="minorHAnsi" w:cs="Arial"/>
          <w:sz w:val="16"/>
          <w:szCs w:val="16"/>
          <w:lang w:val="en-GB"/>
        </w:rPr>
      </w:pPr>
      <w:r w:rsidRPr="00AB4B98">
        <w:rPr>
          <w:rFonts w:asciiTheme="minorHAnsi" w:hAnsiTheme="minorHAnsi" w:cs="Arial"/>
          <w:color w:val="000000" w:themeColor="text1"/>
          <w:kern w:val="24"/>
          <w:sz w:val="16"/>
          <w:szCs w:val="16"/>
          <w:lang w:val="en-US"/>
        </w:rPr>
        <w:t xml:space="preserve">HayasakaY et al. Dose equivalents of antidepressant: Evidence-based recommendations from ranomized controlled trials. </w:t>
      </w:r>
      <w:r w:rsidRPr="00AB4B98">
        <w:rPr>
          <w:rFonts w:asciiTheme="minorHAnsi" w:hAnsiTheme="minorHAnsi" w:cs="Arial"/>
          <w:color w:val="000000" w:themeColor="text1"/>
          <w:kern w:val="24"/>
          <w:sz w:val="16"/>
          <w:szCs w:val="16"/>
          <w:lang w:val="en-GB"/>
        </w:rPr>
        <w:t>J of Affective disorders. 2015: 180;179–184.</w:t>
      </w:r>
    </w:p>
    <w:p w14:paraId="5AC8CA92" w14:textId="77777777" w:rsidR="00702564" w:rsidRPr="00AB4B98" w:rsidRDefault="00702564" w:rsidP="00702564">
      <w:pPr>
        <w:pStyle w:val="Liststycke"/>
        <w:numPr>
          <w:ilvl w:val="0"/>
          <w:numId w:val="41"/>
        </w:numPr>
        <w:spacing w:line="240" w:lineRule="auto"/>
        <w:ind w:left="357" w:hanging="357"/>
        <w:contextualSpacing/>
        <w:rPr>
          <w:rFonts w:asciiTheme="minorHAnsi" w:eastAsia="Times New Roman" w:hAnsiTheme="minorHAnsi" w:cs="Arial"/>
          <w:sz w:val="16"/>
          <w:szCs w:val="16"/>
        </w:rPr>
      </w:pPr>
      <w:r w:rsidRPr="00AB4B98">
        <w:rPr>
          <w:rFonts w:asciiTheme="minorHAnsi" w:eastAsia="Times New Roman" w:hAnsiTheme="minorHAnsi" w:cs="Arial"/>
          <w:sz w:val="16"/>
          <w:szCs w:val="16"/>
          <w:lang w:val="en-GB"/>
        </w:rPr>
        <w:t xml:space="preserve">  </w:t>
      </w:r>
      <w:r w:rsidRPr="00AB4B98">
        <w:rPr>
          <w:rFonts w:asciiTheme="minorHAnsi" w:eastAsia="Times New Roman" w:hAnsiTheme="minorHAnsi" w:cs="Arial"/>
          <w:sz w:val="16"/>
          <w:szCs w:val="16"/>
        </w:rPr>
        <w:t>Maudsley prescribing guidelines 14th edition</w:t>
      </w:r>
    </w:p>
    <w:p w14:paraId="64102604" w14:textId="77777777" w:rsidR="00702564" w:rsidRDefault="00702564" w:rsidP="00702564">
      <w:pPr>
        <w:tabs>
          <w:tab w:val="clear" w:pos="284"/>
        </w:tabs>
        <w:spacing w:after="120" w:line="260" w:lineRule="atLeast"/>
        <w:rPr>
          <w:noProof/>
          <w:lang w:val="en-US"/>
        </w:rPr>
      </w:pPr>
      <w:r>
        <w:rPr>
          <w:noProof/>
          <w:lang w:val="en-US"/>
        </w:rPr>
        <w:br w:type="page"/>
      </w:r>
    </w:p>
    <w:p w14:paraId="5A8F65A2" w14:textId="77777777" w:rsidR="00702564" w:rsidRDefault="00702564" w:rsidP="00702564">
      <w:pPr>
        <w:tabs>
          <w:tab w:val="clear" w:pos="284"/>
        </w:tabs>
        <w:spacing w:after="120" w:line="260" w:lineRule="atLeast"/>
        <w:rPr>
          <w:noProof/>
          <w:lang w:val="en-US"/>
        </w:rPr>
        <w:sectPr w:rsidR="00702564" w:rsidSect="00702564">
          <w:pgSz w:w="16838" w:h="11906" w:orient="landscape" w:code="9"/>
          <w:pgMar w:top="1985" w:right="1701" w:bottom="680" w:left="1701" w:header="624" w:footer="624" w:gutter="0"/>
          <w:cols w:space="284"/>
          <w:titlePg/>
          <w:docGrid w:linePitch="360"/>
        </w:sectPr>
      </w:pPr>
    </w:p>
    <w:p w14:paraId="4A3ACD32" w14:textId="77777777" w:rsidR="00702564" w:rsidRDefault="00702564" w:rsidP="00702564">
      <w:pPr>
        <w:tabs>
          <w:tab w:val="clear" w:pos="284"/>
        </w:tabs>
        <w:spacing w:after="120" w:line="260" w:lineRule="atLeast"/>
        <w:rPr>
          <w:noProof/>
          <w:lang w:val="en-US"/>
        </w:rPr>
      </w:pPr>
    </w:p>
    <w:p w14:paraId="4CDECCBB" w14:textId="77777777" w:rsidR="00702564" w:rsidRPr="00557D5C" w:rsidRDefault="00702564" w:rsidP="00702564">
      <w:pPr>
        <w:pStyle w:val="Rubrik2"/>
      </w:pPr>
      <w:r w:rsidRPr="00557D5C">
        <w:t>Anpassningsstörning</w:t>
      </w:r>
    </w:p>
    <w:p w14:paraId="1A610C69" w14:textId="77777777" w:rsidR="00702564" w:rsidRPr="007178CF" w:rsidRDefault="00702564" w:rsidP="00702564">
      <w:pPr>
        <w:rPr>
          <w:rFonts w:asciiTheme="majorHAnsi" w:hAnsiTheme="majorHAnsi"/>
          <w:b/>
          <w:bCs/>
        </w:rPr>
      </w:pPr>
      <w:r w:rsidRPr="007178CF">
        <w:rPr>
          <w:rFonts w:asciiTheme="majorHAnsi" w:hAnsiTheme="majorHAnsi"/>
          <w:b/>
          <w:bCs/>
        </w:rPr>
        <w:t>Senast uppdaterad 2023-10-03</w:t>
      </w:r>
    </w:p>
    <w:p w14:paraId="1825CFE5" w14:textId="77777777" w:rsidR="00702564" w:rsidRPr="00571597" w:rsidRDefault="00702564" w:rsidP="00702564">
      <w:pPr>
        <w:rPr>
          <w:rFonts w:asciiTheme="majorHAnsi" w:hAnsiTheme="majorHAnsi"/>
        </w:rPr>
      </w:pPr>
    </w:p>
    <w:p w14:paraId="7DA53D0F" w14:textId="77777777" w:rsidR="00702564" w:rsidRPr="00557D5C" w:rsidRDefault="00702564" w:rsidP="00702564">
      <w:pPr>
        <w:rPr>
          <w:sz w:val="24"/>
          <w:szCs w:val="24"/>
        </w:rPr>
      </w:pPr>
      <w:r w:rsidRPr="00557D5C">
        <w:rPr>
          <w:rFonts w:cs="Open Sans"/>
          <w:sz w:val="24"/>
          <w:szCs w:val="24"/>
        </w:rPr>
        <w:t>Vid anpassningsstörning (kris- och sorgereaktion) ska icke-farmakologisk behandling användas.</w:t>
      </w:r>
    </w:p>
    <w:p w14:paraId="4724637B" w14:textId="77777777" w:rsidR="00702564" w:rsidRDefault="00702564" w:rsidP="00702564">
      <w:pPr>
        <w:pStyle w:val="Rubrik3"/>
      </w:pPr>
      <w:r>
        <w:t>Inledning</w:t>
      </w:r>
    </w:p>
    <w:p w14:paraId="3A45F4A7" w14:textId="1D1E3B37" w:rsidR="00702564" w:rsidRPr="0055305B" w:rsidRDefault="00702564" w:rsidP="00702564">
      <w:pPr>
        <w:spacing w:before="120"/>
        <w:rPr>
          <w:sz w:val="24"/>
          <w:szCs w:val="24"/>
        </w:rPr>
      </w:pPr>
      <w:r w:rsidRPr="0055305B">
        <w:rPr>
          <w:rFonts w:cs="Open Sans"/>
          <w:color w:val="000000"/>
          <w:sz w:val="24"/>
          <w:szCs w:val="24"/>
          <w:shd w:val="clear" w:color="auto" w:fill="FFFFFF"/>
        </w:rPr>
        <w:t>En anpassningsstörning innebär försvårad eller fördröjd anpassning till förändrade livs</w:t>
      </w:r>
      <w:r w:rsidRPr="0055305B">
        <w:rPr>
          <w:rFonts w:cs="Open Sans"/>
          <w:color w:val="000000"/>
          <w:sz w:val="24"/>
          <w:szCs w:val="24"/>
          <w:shd w:val="clear" w:color="auto" w:fill="FFFFFF"/>
        </w:rPr>
        <w:softHyphen/>
        <w:t>omständig</w:t>
      </w:r>
      <w:r w:rsidRPr="0055305B">
        <w:rPr>
          <w:rFonts w:cs="Open Sans"/>
          <w:color w:val="000000"/>
          <w:sz w:val="24"/>
          <w:szCs w:val="24"/>
          <w:shd w:val="clear" w:color="auto" w:fill="FFFFFF"/>
        </w:rPr>
        <w:softHyphen/>
        <w:t>heter eller en belastande livssituation, t.ex. separation, arbetslöshet, dödsfall av en för patienten viktig person, med mera hos f.ö. friska individer utan annan aktuell psykiatrisk diagnos.</w:t>
      </w:r>
      <w:r w:rsidR="00BB6263">
        <w:rPr>
          <w:sz w:val="24"/>
          <w:szCs w:val="24"/>
        </w:rPr>
        <w:t xml:space="preserve"> </w:t>
      </w:r>
      <w:r w:rsidR="00BB6263">
        <w:rPr>
          <w:sz w:val="24"/>
          <w:szCs w:val="24"/>
        </w:rPr>
        <w:br/>
      </w:r>
      <w:r w:rsidRPr="0055305B">
        <w:rPr>
          <w:sz w:val="24"/>
          <w:szCs w:val="24"/>
        </w:rPr>
        <w:t>Anpassningsstörning är ofta en blandning av ångestsymtom, depressiva, eller psykosomatiska symtom, utan att fylla diagnoskriterier för ett ångestsyndrom eller en egentlig depression. Symtom i form av oro och ångest kan förekomma under lång tid (upp till två år) efter en svår sorg. Patientens funktions</w:t>
      </w:r>
      <w:r w:rsidRPr="0055305B">
        <w:rPr>
          <w:sz w:val="24"/>
          <w:szCs w:val="24"/>
        </w:rPr>
        <w:softHyphen/>
        <w:t>förmåga kan på grund av affektiva eller psyko</w:t>
      </w:r>
      <w:r w:rsidRPr="0055305B">
        <w:rPr>
          <w:sz w:val="24"/>
          <w:szCs w:val="24"/>
        </w:rPr>
        <w:softHyphen/>
        <w:t>somatiska symtom vara nedsatt under kortare perioder. Patienten kan ha problem med kognitiva funktioner och koncentrationsförmåga.</w:t>
      </w:r>
      <w:r w:rsidR="00BB6263">
        <w:rPr>
          <w:sz w:val="24"/>
          <w:szCs w:val="24"/>
        </w:rPr>
        <w:t xml:space="preserve"> </w:t>
      </w:r>
      <w:r w:rsidR="00BB6263">
        <w:rPr>
          <w:sz w:val="24"/>
          <w:szCs w:val="24"/>
        </w:rPr>
        <w:br/>
      </w:r>
      <w:r w:rsidRPr="0055305B">
        <w:rPr>
          <w:sz w:val="24"/>
          <w:szCs w:val="24"/>
        </w:rPr>
        <w:t>Prognosen är god. I den mån behandling behövs, kan psykologiskt samtalsstöd vara aktuell.</w:t>
      </w:r>
      <w:r w:rsidRPr="0055305B">
        <w:rPr>
          <w:sz w:val="24"/>
          <w:szCs w:val="24"/>
        </w:rPr>
        <w:br/>
      </w:r>
      <w:r w:rsidRPr="0055305B">
        <w:rPr>
          <w:rFonts w:cs="Open Sans"/>
          <w:color w:val="000000"/>
          <w:sz w:val="24"/>
          <w:szCs w:val="24"/>
          <w:shd w:val="clear" w:color="auto" w:fill="FFFFFF"/>
        </w:rPr>
        <w:t>Vid långvarigt eller avvikande förlopp görs en förnyad differentialdiagnostisk bedömning avseende samsjuklighet eller komplicerande faktorer. Om depression eller ångestsyndrom utvecklas gäller rekommendationerna för dessa tillstånd.</w:t>
      </w:r>
    </w:p>
    <w:p w14:paraId="28C783FC" w14:textId="77777777" w:rsidR="00702564" w:rsidRDefault="00702564" w:rsidP="00702564">
      <w:pPr>
        <w:pStyle w:val="Rubrik3"/>
      </w:pPr>
      <w:r>
        <w:t>Behandlingsmål</w:t>
      </w:r>
    </w:p>
    <w:p w14:paraId="091F21CF" w14:textId="77777777" w:rsidR="00702564" w:rsidRPr="0055305B" w:rsidRDefault="00702564" w:rsidP="00702564">
      <w:pPr>
        <w:spacing w:before="120"/>
        <w:rPr>
          <w:sz w:val="24"/>
          <w:szCs w:val="24"/>
        </w:rPr>
      </w:pPr>
      <w:r w:rsidRPr="0055305B">
        <w:rPr>
          <w:sz w:val="24"/>
          <w:szCs w:val="24"/>
        </w:rPr>
        <w:t>Symtomdämpning</w:t>
      </w:r>
    </w:p>
    <w:p w14:paraId="0A60ABB7" w14:textId="77777777" w:rsidR="00702564" w:rsidRDefault="00702564" w:rsidP="00702564">
      <w:pPr>
        <w:pStyle w:val="Rubrik3"/>
      </w:pPr>
      <w:r>
        <w:t>Utredning</w:t>
      </w:r>
    </w:p>
    <w:p w14:paraId="39A830B8" w14:textId="77777777" w:rsidR="00702564" w:rsidRPr="0055305B" w:rsidRDefault="00702564" w:rsidP="00702564">
      <w:pPr>
        <w:spacing w:before="120"/>
        <w:rPr>
          <w:sz w:val="24"/>
          <w:szCs w:val="24"/>
        </w:rPr>
      </w:pPr>
      <w:r w:rsidRPr="0055305B">
        <w:rPr>
          <w:sz w:val="24"/>
          <w:szCs w:val="24"/>
        </w:rPr>
        <w:t xml:space="preserve">Anamnes. Förekomst av stressande livsomständigheter under månaden före symtomdebut. Om det har gått mer än en månad bör också andra diagnoser övervägas. Beskrivning av ångestrelaterade symtom: stressymtom, sömnbesvär, psykosomatiska symtom, med mera. Uteslut somatisk orsak till ångest, depressiva symtom och anpassningsstörning. Uteslut missbruk/beroende som orsak (t.ex. drogutlöst eller abstinensrelaterad ångest). Skattning av ångest- och depressionsymtom: </w:t>
      </w:r>
      <w:hyperlink r:id="rId161" w:history="1">
        <w:r w:rsidRPr="0055305B">
          <w:rPr>
            <w:rStyle w:val="Hyperlnk"/>
            <w:sz w:val="24"/>
            <w:szCs w:val="24"/>
          </w:rPr>
          <w:t>HAD (Hospital Anxiety and Depression Scale)</w:t>
        </w:r>
      </w:hyperlink>
      <w:r w:rsidRPr="0055305B">
        <w:rPr>
          <w:sz w:val="24"/>
          <w:szCs w:val="24"/>
        </w:rPr>
        <w:t>. Patienten ska inte uppfylla kriterierna för ångestsyndrom, depressiva syndrom, beroende eller andra psykiatriska syndrom.</w:t>
      </w:r>
    </w:p>
    <w:p w14:paraId="0461E740" w14:textId="77777777" w:rsidR="00702564" w:rsidRDefault="00702564" w:rsidP="00702564">
      <w:pPr>
        <w:pStyle w:val="Rubrik3"/>
      </w:pPr>
      <w:r>
        <w:t>Observera</w:t>
      </w:r>
    </w:p>
    <w:p w14:paraId="3AF14503" w14:textId="77777777" w:rsidR="00702564" w:rsidRPr="0055305B" w:rsidRDefault="00702564" w:rsidP="00702564">
      <w:pPr>
        <w:rPr>
          <w:sz w:val="24"/>
          <w:szCs w:val="24"/>
        </w:rPr>
      </w:pPr>
      <w:r w:rsidRPr="0055305B">
        <w:rPr>
          <w:sz w:val="24"/>
          <w:szCs w:val="24"/>
        </w:rPr>
        <w:t>Farmakologisk behandling är ofta kontraproduktiv vid anpassningsstörning och fördröjer tillfrisknandet. Om symtomen står kvar efter adekvat icke-farmakologisk behandling bör andra diagnoser övervägas.</w:t>
      </w:r>
    </w:p>
    <w:p w14:paraId="54F157DC" w14:textId="77777777" w:rsidR="00702564" w:rsidRPr="0055305B" w:rsidRDefault="00702564" w:rsidP="00702564">
      <w:pPr>
        <w:pStyle w:val="Rubrik3"/>
        <w:rPr>
          <w:sz w:val="28"/>
          <w:szCs w:val="28"/>
        </w:rPr>
      </w:pPr>
      <w:r w:rsidRPr="0055305B">
        <w:rPr>
          <w:sz w:val="28"/>
          <w:szCs w:val="28"/>
        </w:rPr>
        <w:t>Behandling</w:t>
      </w:r>
    </w:p>
    <w:p w14:paraId="49C46F9C" w14:textId="77777777" w:rsidR="00702564" w:rsidRPr="00557D5C" w:rsidRDefault="00702564" w:rsidP="00702564">
      <w:pPr>
        <w:pStyle w:val="Rubrik3"/>
      </w:pPr>
      <w:r w:rsidRPr="00557D5C">
        <w:t>Icke-farmakologisk behandling</w:t>
      </w:r>
    </w:p>
    <w:p w14:paraId="0FFA819A" w14:textId="77777777" w:rsidR="00702564" w:rsidRPr="0055305B" w:rsidRDefault="00702564" w:rsidP="00702564">
      <w:pPr>
        <w:rPr>
          <w:sz w:val="24"/>
          <w:szCs w:val="24"/>
        </w:rPr>
      </w:pPr>
      <w:r w:rsidRPr="0055305B">
        <w:rPr>
          <w:sz w:val="24"/>
          <w:szCs w:val="24"/>
        </w:rPr>
        <w:t xml:space="preserve">I den mån behandling behövs, kan psykologiskt samtalsstöd, kortare psykoterapeutisk intervention i form av krissamtal med </w:t>
      </w:r>
      <w:hyperlink r:id="rId162" w:history="1">
        <w:r w:rsidRPr="0055305B">
          <w:rPr>
            <w:rStyle w:val="Hyperlnk"/>
            <w:sz w:val="24"/>
            <w:szCs w:val="24"/>
          </w:rPr>
          <w:t>KBT</w:t>
        </w:r>
      </w:hyperlink>
      <w:r w:rsidRPr="0055305B">
        <w:rPr>
          <w:sz w:val="24"/>
          <w:szCs w:val="24"/>
        </w:rPr>
        <w:t>-tekniker vara effektivt. Huvudmålet är att identifiera utlösande och vidmakthållande stressfaktorer och att främja positiv problem</w:t>
      </w:r>
      <w:r w:rsidRPr="0055305B">
        <w:rPr>
          <w:sz w:val="24"/>
          <w:szCs w:val="24"/>
        </w:rPr>
        <w:softHyphen/>
        <w:t xml:space="preserve">lösning och färdigheter. Vid stressrelaterad </w:t>
      </w:r>
      <w:r w:rsidRPr="0055305B">
        <w:rPr>
          <w:sz w:val="24"/>
          <w:szCs w:val="24"/>
        </w:rPr>
        <w:lastRenderedPageBreak/>
        <w:t xml:space="preserve">sömnstörning rekommenderas icke-farmakologisk behandling, t.ex. ”Sov bra – utan sömnmedicin”(se ovan).  Om en verkligen genomförd icke-farmakologisk behandling inte var effektiv ska andra diagnoser utredas och tillstånden behandlas enl. rekommendationer. </w:t>
      </w:r>
    </w:p>
    <w:p w14:paraId="184AA0D4" w14:textId="77777777" w:rsidR="00702564" w:rsidRPr="00557D5C" w:rsidRDefault="00702564" w:rsidP="00702564">
      <w:pPr>
        <w:pStyle w:val="Rubrik3"/>
      </w:pPr>
      <w:r w:rsidRPr="00557D5C">
        <w:t xml:space="preserve">Varför </w:t>
      </w:r>
      <w:r w:rsidRPr="007178CF">
        <w:t>rekommenderas</w:t>
      </w:r>
      <w:r w:rsidRPr="00557D5C">
        <w:t xml:space="preserve"> inte?</w:t>
      </w:r>
    </w:p>
    <w:p w14:paraId="02089B1E" w14:textId="77777777" w:rsidR="00702564" w:rsidRPr="0055305B" w:rsidRDefault="00702564" w:rsidP="00702564">
      <w:pPr>
        <w:rPr>
          <w:sz w:val="24"/>
          <w:szCs w:val="24"/>
        </w:rPr>
      </w:pPr>
      <w:r w:rsidRPr="0055305B">
        <w:rPr>
          <w:sz w:val="24"/>
          <w:szCs w:val="24"/>
        </w:rPr>
        <w:t xml:space="preserve">Farmakologisk behandling med bensodiazepiner påverkar samtalsbehandlingens effektivitet, fördröjer tillfrisknandeprocessen och medför risk för beroendeutveckling. </w:t>
      </w:r>
    </w:p>
    <w:p w14:paraId="1F3386EC" w14:textId="77777777" w:rsidR="00702564" w:rsidRDefault="00702564" w:rsidP="00702564">
      <w:pPr>
        <w:pStyle w:val="Rubrik3"/>
      </w:pPr>
      <w:r>
        <w:t>Länkar och referenser</w:t>
      </w:r>
    </w:p>
    <w:p w14:paraId="16CBC7FB" w14:textId="77777777" w:rsidR="00702564" w:rsidRPr="0055305B" w:rsidRDefault="00702564" w:rsidP="00702564">
      <w:pPr>
        <w:rPr>
          <w:sz w:val="24"/>
          <w:szCs w:val="24"/>
        </w:rPr>
      </w:pPr>
      <w:hyperlink r:id="rId163" w:history="1">
        <w:r w:rsidRPr="0055305B">
          <w:rPr>
            <w:rStyle w:val="Hyperlnk"/>
            <w:sz w:val="24"/>
            <w:szCs w:val="24"/>
          </w:rPr>
          <w:t>Anpassningsstörning (livskris, sorgreaktion) - FMK</w:t>
        </w:r>
      </w:hyperlink>
    </w:p>
    <w:p w14:paraId="22C3B42A" w14:textId="77777777" w:rsidR="00702564" w:rsidRPr="0055305B" w:rsidRDefault="00702564" w:rsidP="00702564">
      <w:pPr>
        <w:rPr>
          <w:rStyle w:val="Hyperlnk"/>
          <w:sz w:val="24"/>
          <w:szCs w:val="24"/>
        </w:rPr>
      </w:pPr>
      <w:hyperlink r:id="rId164" w:history="1">
        <w:r w:rsidRPr="0055305B">
          <w:rPr>
            <w:rStyle w:val="Hyperlnk"/>
            <w:sz w:val="24"/>
            <w:szCs w:val="24"/>
          </w:rPr>
          <w:t>F43.2 Anpassningsstörning (livskris, sorgreaktion)-Folkhälsa och sjukvård (rjl.se)</w:t>
        </w:r>
      </w:hyperlink>
    </w:p>
    <w:p w14:paraId="48E369C7" w14:textId="77777777" w:rsidR="00702564" w:rsidRDefault="00702564" w:rsidP="00702564"/>
    <w:p w14:paraId="575DCBD0" w14:textId="77777777" w:rsidR="00702564" w:rsidRPr="0071138D" w:rsidRDefault="00702564" w:rsidP="00702564">
      <w:pPr>
        <w:pStyle w:val="Rubrik2"/>
        <w:rPr>
          <w:spacing w:val="-1"/>
        </w:rPr>
      </w:pPr>
      <w:r>
        <w:t>T</w:t>
      </w:r>
      <w:r w:rsidRPr="00C43123">
        <w:t>illfällig</w:t>
      </w:r>
      <w:r w:rsidRPr="3A20558F">
        <w:t xml:space="preserve"> </w:t>
      </w:r>
      <w:r>
        <w:rPr>
          <w:spacing w:val="-7"/>
        </w:rPr>
        <w:t xml:space="preserve">behandling av </w:t>
      </w:r>
      <w:r w:rsidRPr="00C43123">
        <w:t>ångest</w:t>
      </w:r>
    </w:p>
    <w:p w14:paraId="4460C035" w14:textId="77777777" w:rsidR="00702564" w:rsidRPr="0055305B" w:rsidRDefault="00702564" w:rsidP="00702564">
      <w:pPr>
        <w:rPr>
          <w:rFonts w:cs="Arial"/>
          <w:b/>
          <w:bCs/>
          <w:sz w:val="24"/>
          <w:szCs w:val="24"/>
        </w:rPr>
      </w:pPr>
      <w:r w:rsidRPr="0055305B">
        <w:rPr>
          <w:rFonts w:ascii="Arial" w:eastAsia="Arial" w:hAnsi="Arial" w:cs="Arial"/>
          <w:sz w:val="24"/>
          <w:szCs w:val="24"/>
        </w:rPr>
        <w:t xml:space="preserve"> </w:t>
      </w:r>
      <w:r w:rsidRPr="0055305B">
        <w:rPr>
          <w:rFonts w:asciiTheme="majorHAnsi" w:eastAsiaTheme="majorEastAsia" w:hAnsiTheme="majorHAnsi" w:cstheme="majorBidi"/>
          <w:b/>
          <w:bCs/>
          <w:sz w:val="24"/>
          <w:szCs w:val="24"/>
        </w:rPr>
        <w:t>Senast uppdaterad 2021-04-28</w:t>
      </w:r>
      <w:r w:rsidRPr="0055305B">
        <w:rPr>
          <w:rFonts w:cs="Arial"/>
          <w:b/>
          <w:bCs/>
          <w:sz w:val="24"/>
          <w:szCs w:val="24"/>
        </w:rPr>
        <w:t xml:space="preserve"> </w:t>
      </w:r>
    </w:p>
    <w:p w14:paraId="4EBA7C55" w14:textId="77777777" w:rsidR="00702564" w:rsidRDefault="00702564" w:rsidP="00702564">
      <w:pPr>
        <w:rPr>
          <w:rFonts w:cs="Arial"/>
          <w:b/>
          <w:bCs/>
          <w:sz w:val="28"/>
          <w:szCs w:val="28"/>
        </w:rPr>
      </w:pPr>
    </w:p>
    <w:p w14:paraId="6340A2DE" w14:textId="77777777" w:rsidR="00702564" w:rsidRDefault="00702564" w:rsidP="00702564">
      <w:pPr>
        <w:rPr>
          <w:sz w:val="24"/>
          <w:szCs w:val="24"/>
        </w:rPr>
      </w:pPr>
    </w:p>
    <w:p w14:paraId="41B4FE42" w14:textId="77777777" w:rsidR="00702564" w:rsidRPr="00B15134" w:rsidRDefault="00702564" w:rsidP="00702564">
      <w:pPr>
        <w:rPr>
          <w:sz w:val="24"/>
          <w:szCs w:val="24"/>
        </w:rPr>
      </w:pPr>
      <w:r w:rsidRPr="3A20558F">
        <w:rPr>
          <w:b/>
          <w:bCs/>
          <w:sz w:val="24"/>
          <w:szCs w:val="24"/>
        </w:rPr>
        <w:t>OBS!</w:t>
      </w:r>
      <w:r w:rsidRPr="3A20558F">
        <w:rPr>
          <w:sz w:val="24"/>
          <w:szCs w:val="24"/>
        </w:rPr>
        <w:t xml:space="preserve"> Informera om symtom och använd icke-farmakologiska ångesthanteringsstrategier i </w:t>
      </w:r>
      <w:r>
        <w:br/>
      </w:r>
      <w:r w:rsidRPr="3A20558F">
        <w:rPr>
          <w:sz w:val="24"/>
          <w:szCs w:val="24"/>
        </w:rPr>
        <w:t xml:space="preserve">första hand. </w:t>
      </w:r>
    </w:p>
    <w:p w14:paraId="578AFB1F" w14:textId="77777777" w:rsidR="00702564" w:rsidRDefault="00702564" w:rsidP="00702564"/>
    <w:tbl>
      <w:tblPr>
        <w:tblStyle w:val="RegionBlekinge-medlinjer"/>
        <w:tblW w:w="0" w:type="auto"/>
        <w:tblLook w:val="04A0" w:firstRow="1" w:lastRow="0" w:firstColumn="1" w:lastColumn="0" w:noHBand="0" w:noVBand="1"/>
      </w:tblPr>
      <w:tblGrid>
        <w:gridCol w:w="4602"/>
        <w:gridCol w:w="4602"/>
      </w:tblGrid>
      <w:tr w:rsidR="00702564" w:rsidRPr="008453A0" w14:paraId="198E3F2A" w14:textId="77777777" w:rsidTr="00632FCC">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602" w:type="dxa"/>
          </w:tcPr>
          <w:p w14:paraId="09D0C99A" w14:textId="77777777" w:rsidR="00702564" w:rsidRPr="008453A0" w:rsidRDefault="00702564" w:rsidP="00632FCC">
            <w:pPr>
              <w:rPr>
                <w:sz w:val="24"/>
                <w:szCs w:val="24"/>
              </w:rPr>
            </w:pPr>
            <w:r w:rsidRPr="3A20558F">
              <w:rPr>
                <w:rFonts w:eastAsia="Garamond" w:cs="Garamond"/>
                <w:color w:val="211F1A"/>
                <w:sz w:val="24"/>
                <w:szCs w:val="24"/>
              </w:rPr>
              <w:t>1 hyd</w:t>
            </w:r>
            <w:r w:rsidRPr="3A20558F">
              <w:rPr>
                <w:rFonts w:eastAsia="Garamond" w:cs="Garamond"/>
                <w:color w:val="211F1A"/>
                <w:spacing w:val="-1"/>
                <w:sz w:val="24"/>
                <w:szCs w:val="24"/>
              </w:rPr>
              <w:t>r</w:t>
            </w:r>
            <w:r w:rsidRPr="3A20558F">
              <w:rPr>
                <w:rFonts w:eastAsia="Garamond" w:cs="Garamond"/>
                <w:color w:val="211F1A"/>
                <w:spacing w:val="-2"/>
                <w:sz w:val="24"/>
                <w:szCs w:val="24"/>
              </w:rPr>
              <w:t>o</w:t>
            </w:r>
            <w:r w:rsidRPr="3A20558F">
              <w:rPr>
                <w:rFonts w:eastAsia="Garamond" w:cs="Garamond"/>
                <w:color w:val="211F1A"/>
                <w:sz w:val="24"/>
                <w:szCs w:val="24"/>
              </w:rPr>
              <w:t>xi</w:t>
            </w:r>
            <w:r w:rsidRPr="3A20558F">
              <w:rPr>
                <w:rFonts w:eastAsia="Garamond" w:cs="Garamond"/>
                <w:color w:val="211F1A"/>
                <w:spacing w:val="-5"/>
                <w:sz w:val="24"/>
                <w:szCs w:val="24"/>
              </w:rPr>
              <w:t>z</w:t>
            </w:r>
            <w:r w:rsidRPr="3A20558F">
              <w:rPr>
                <w:rFonts w:eastAsia="Garamond" w:cs="Garamond"/>
                <w:color w:val="211F1A"/>
                <w:sz w:val="24"/>
                <w:szCs w:val="24"/>
              </w:rPr>
              <w:t>in</w:t>
            </w:r>
            <w:r w:rsidRPr="3A20558F">
              <w:rPr>
                <w:rFonts w:eastAsia="Garamond" w:cs="Garamond"/>
                <w:b w:val="0"/>
                <w:color w:val="211F1A"/>
                <w:sz w:val="24"/>
                <w:szCs w:val="24"/>
              </w:rPr>
              <w:t>**</w:t>
            </w:r>
          </w:p>
        </w:tc>
        <w:tc>
          <w:tcPr>
            <w:tcW w:w="4602" w:type="dxa"/>
          </w:tcPr>
          <w:p w14:paraId="29D2DDA8" w14:textId="77777777" w:rsidR="00702564" w:rsidRPr="008453A0" w:rsidRDefault="00702564" w:rsidP="00632FCC">
            <w:pPr>
              <w:cnfStyle w:val="100000000000" w:firstRow="1" w:lastRow="0" w:firstColumn="0" w:lastColumn="0" w:oddVBand="0" w:evenVBand="0" w:oddHBand="0" w:evenHBand="0" w:firstRowFirstColumn="0" w:firstRowLastColumn="0" w:lastRowFirstColumn="0" w:lastRowLastColumn="0"/>
              <w:rPr>
                <w:b w:val="0"/>
                <w:sz w:val="24"/>
                <w:szCs w:val="24"/>
              </w:rPr>
            </w:pPr>
            <w:r w:rsidRPr="3A20558F">
              <w:rPr>
                <w:rFonts w:eastAsia="Garamond" w:cs="Garamond"/>
                <w:b w:val="0"/>
                <w:color w:val="211F1A"/>
                <w:spacing w:val="-2"/>
                <w:sz w:val="24"/>
                <w:szCs w:val="24"/>
              </w:rPr>
              <w:t>A</w:t>
            </w:r>
            <w:r w:rsidRPr="3A20558F">
              <w:rPr>
                <w:rFonts w:eastAsia="Garamond" w:cs="Garamond"/>
                <w:b w:val="0"/>
                <w:color w:val="211F1A"/>
                <w:spacing w:val="-1"/>
                <w:sz w:val="24"/>
                <w:szCs w:val="24"/>
              </w:rPr>
              <w:t>t</w:t>
            </w:r>
            <w:r w:rsidRPr="3A20558F">
              <w:rPr>
                <w:rFonts w:eastAsia="Garamond" w:cs="Garamond"/>
                <w:b w:val="0"/>
                <w:color w:val="211F1A"/>
                <w:sz w:val="24"/>
                <w:szCs w:val="24"/>
              </w:rPr>
              <w:t>a</w:t>
            </w:r>
            <w:r w:rsidRPr="3A20558F">
              <w:rPr>
                <w:rFonts w:eastAsia="Garamond" w:cs="Garamond"/>
                <w:b w:val="0"/>
                <w:color w:val="211F1A"/>
                <w:spacing w:val="-1"/>
                <w:sz w:val="24"/>
                <w:szCs w:val="24"/>
              </w:rPr>
              <w:t>r</w:t>
            </w:r>
            <w:r w:rsidRPr="3A20558F">
              <w:rPr>
                <w:rFonts w:eastAsia="Garamond" w:cs="Garamond"/>
                <w:b w:val="0"/>
                <w:color w:val="211F1A"/>
                <w:sz w:val="24"/>
                <w:szCs w:val="24"/>
              </w:rPr>
              <w:t>ax</w:t>
            </w:r>
          </w:p>
        </w:tc>
      </w:tr>
      <w:tr w:rsidR="00702564" w:rsidRPr="008453A0" w14:paraId="6DAE25BD" w14:textId="77777777" w:rsidTr="00632FCC">
        <w:trPr>
          <w:trHeight w:val="306"/>
        </w:trPr>
        <w:tc>
          <w:tcPr>
            <w:cnfStyle w:val="001000000000" w:firstRow="0" w:lastRow="0" w:firstColumn="1" w:lastColumn="0" w:oddVBand="0" w:evenVBand="0" w:oddHBand="0" w:evenHBand="0" w:firstRowFirstColumn="0" w:firstRowLastColumn="0" w:lastRowFirstColumn="0" w:lastRowLastColumn="0"/>
            <w:tcW w:w="4602" w:type="dxa"/>
          </w:tcPr>
          <w:p w14:paraId="0119EC87" w14:textId="77777777" w:rsidR="00702564" w:rsidRPr="008453A0" w:rsidRDefault="00702564" w:rsidP="00632FCC">
            <w:pPr>
              <w:rPr>
                <w:sz w:val="24"/>
                <w:szCs w:val="24"/>
              </w:rPr>
            </w:pPr>
            <w:r w:rsidRPr="3A20558F">
              <w:rPr>
                <w:rFonts w:eastAsia="Garamond" w:cs="Garamond"/>
                <w:color w:val="211F1A"/>
                <w:sz w:val="24"/>
                <w:szCs w:val="24"/>
              </w:rPr>
              <w:t>1 prometazin</w:t>
            </w:r>
            <w:r w:rsidRPr="3A20558F">
              <w:rPr>
                <w:rFonts w:eastAsia="Garamond" w:cs="Garamond"/>
                <w:b w:val="0"/>
                <w:color w:val="211F1A"/>
                <w:sz w:val="24"/>
                <w:szCs w:val="24"/>
              </w:rPr>
              <w:t>**</w:t>
            </w:r>
          </w:p>
        </w:tc>
        <w:tc>
          <w:tcPr>
            <w:tcW w:w="4602" w:type="dxa"/>
          </w:tcPr>
          <w:p w14:paraId="5A93A858"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sz w:val="24"/>
                <w:szCs w:val="24"/>
              </w:rPr>
            </w:pPr>
            <w:r w:rsidRPr="3A20558F">
              <w:rPr>
                <w:rFonts w:eastAsia="Garamond" w:cs="Garamond"/>
                <w:color w:val="211F1A"/>
                <w:sz w:val="24"/>
                <w:szCs w:val="24"/>
              </w:rPr>
              <w:t>Lergigan</w:t>
            </w:r>
          </w:p>
        </w:tc>
      </w:tr>
      <w:tr w:rsidR="00702564" w:rsidRPr="008453A0" w14:paraId="2F7DCBB9" w14:textId="77777777" w:rsidTr="00632FCC">
        <w:trPr>
          <w:trHeight w:val="293"/>
        </w:trPr>
        <w:tc>
          <w:tcPr>
            <w:cnfStyle w:val="001000000000" w:firstRow="0" w:lastRow="0" w:firstColumn="1" w:lastColumn="0" w:oddVBand="0" w:evenVBand="0" w:oddHBand="0" w:evenHBand="0" w:firstRowFirstColumn="0" w:firstRowLastColumn="0" w:lastRowFirstColumn="0" w:lastRowLastColumn="0"/>
            <w:tcW w:w="4602" w:type="dxa"/>
          </w:tcPr>
          <w:p w14:paraId="4CEAACEF" w14:textId="77777777" w:rsidR="00702564" w:rsidRPr="008453A0" w:rsidRDefault="00702564" w:rsidP="00632FCC">
            <w:pPr>
              <w:rPr>
                <w:sz w:val="24"/>
                <w:szCs w:val="24"/>
              </w:rPr>
            </w:pPr>
            <w:r w:rsidRPr="008453A0">
              <w:rPr>
                <w:rFonts w:eastAsia="Garamond" w:cs="Garamond"/>
                <w:color w:val="211F1A"/>
                <w:spacing w:val="-1"/>
                <w:sz w:val="24"/>
                <w:szCs w:val="24"/>
              </w:rPr>
              <w:t>2 o</w:t>
            </w:r>
            <w:r w:rsidRPr="008453A0">
              <w:rPr>
                <w:rFonts w:eastAsia="Garamond" w:cs="Garamond"/>
                <w:color w:val="211F1A"/>
                <w:spacing w:val="-3"/>
                <w:sz w:val="24"/>
                <w:szCs w:val="24"/>
              </w:rPr>
              <w:t>x</w:t>
            </w:r>
            <w:r w:rsidRPr="008453A0">
              <w:rPr>
                <w:rFonts w:eastAsia="Garamond" w:cs="Garamond"/>
                <w:color w:val="211F1A"/>
                <w:spacing w:val="3"/>
                <w:sz w:val="24"/>
                <w:szCs w:val="24"/>
              </w:rPr>
              <w:t>a</w:t>
            </w:r>
            <w:r w:rsidRPr="008453A0">
              <w:rPr>
                <w:rFonts w:eastAsia="Garamond" w:cs="Garamond"/>
                <w:color w:val="211F1A"/>
                <w:spacing w:val="-8"/>
                <w:sz w:val="24"/>
                <w:szCs w:val="24"/>
              </w:rPr>
              <w:t>z</w:t>
            </w:r>
            <w:r w:rsidRPr="008453A0">
              <w:rPr>
                <w:rFonts w:eastAsia="Garamond" w:cs="Garamond"/>
                <w:color w:val="211F1A"/>
                <w:spacing w:val="-1"/>
                <w:sz w:val="24"/>
                <w:szCs w:val="24"/>
              </w:rPr>
              <w:t>e</w:t>
            </w:r>
            <w:r w:rsidRPr="008453A0">
              <w:rPr>
                <w:rFonts w:eastAsia="Garamond" w:cs="Garamond"/>
                <w:color w:val="211F1A"/>
                <w:sz w:val="24"/>
                <w:szCs w:val="24"/>
              </w:rPr>
              <w:t>pam</w:t>
            </w:r>
            <w:r w:rsidRPr="008453A0">
              <w:rPr>
                <w:rFonts w:eastAsia="Garamond" w:cs="Garamond"/>
                <w:color w:val="211F1A"/>
                <w:sz w:val="24"/>
                <w:szCs w:val="24"/>
              </w:rPr>
              <w:tab/>
            </w:r>
          </w:p>
        </w:tc>
        <w:tc>
          <w:tcPr>
            <w:tcW w:w="4602" w:type="dxa"/>
          </w:tcPr>
          <w:p w14:paraId="61F92E9B"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sz w:val="24"/>
                <w:szCs w:val="24"/>
              </w:rPr>
            </w:pPr>
            <w:r w:rsidRPr="3A20558F">
              <w:rPr>
                <w:rFonts w:eastAsia="Garamond" w:cs="Garamond"/>
                <w:color w:val="211F1A"/>
                <w:sz w:val="24"/>
                <w:szCs w:val="24"/>
              </w:rPr>
              <w:t>Oxascand</w:t>
            </w:r>
          </w:p>
        </w:tc>
      </w:tr>
      <w:tr w:rsidR="00702564" w:rsidRPr="008453A0" w14:paraId="19F7026B" w14:textId="77777777" w:rsidTr="00632FCC">
        <w:trPr>
          <w:trHeight w:val="306"/>
        </w:trPr>
        <w:tc>
          <w:tcPr>
            <w:cnfStyle w:val="001000000000" w:firstRow="0" w:lastRow="0" w:firstColumn="1" w:lastColumn="0" w:oddVBand="0" w:evenVBand="0" w:oddHBand="0" w:evenHBand="0" w:firstRowFirstColumn="0" w:firstRowLastColumn="0" w:lastRowFirstColumn="0" w:lastRowLastColumn="0"/>
            <w:tcW w:w="9204" w:type="dxa"/>
            <w:gridSpan w:val="2"/>
          </w:tcPr>
          <w:p w14:paraId="07FD42C4" w14:textId="77777777" w:rsidR="00702564" w:rsidRPr="008453A0" w:rsidRDefault="00702564" w:rsidP="00632FCC">
            <w:pPr>
              <w:rPr>
                <w:b w:val="0"/>
                <w:sz w:val="24"/>
                <w:szCs w:val="24"/>
              </w:rPr>
            </w:pPr>
            <w:r w:rsidRPr="3A20558F">
              <w:rPr>
                <w:rFonts w:eastAsia="Garamond" w:cs="Garamond"/>
                <w:b w:val="0"/>
                <w:color w:val="211F1A"/>
                <w:sz w:val="24"/>
                <w:szCs w:val="24"/>
              </w:rPr>
              <w:t>*</w:t>
            </w:r>
            <w:r w:rsidRPr="3A20558F">
              <w:rPr>
                <w:rFonts w:eastAsia="Garamond" w:cs="Garamond"/>
                <w:b w:val="0"/>
                <w:sz w:val="24"/>
                <w:szCs w:val="24"/>
              </w:rPr>
              <w:t>* OBS! Risk för dosberoende QT-påverkan.</w:t>
            </w:r>
          </w:p>
        </w:tc>
      </w:tr>
    </w:tbl>
    <w:p w14:paraId="3424729A" w14:textId="77777777" w:rsidR="00702564" w:rsidRPr="000F62BE" w:rsidRDefault="00702564" w:rsidP="00702564">
      <w:pPr>
        <w:pStyle w:val="Rubrik3"/>
      </w:pPr>
      <w:r w:rsidRPr="000F62BE">
        <w:t>I</w:t>
      </w:r>
      <w:r w:rsidRPr="000F62BE">
        <w:rPr>
          <w:spacing w:val="-1"/>
        </w:rPr>
        <w:t>n</w:t>
      </w:r>
      <w:r w:rsidRPr="000F62BE">
        <w:t>le</w:t>
      </w:r>
      <w:r w:rsidRPr="000F62BE">
        <w:rPr>
          <w:spacing w:val="-6"/>
        </w:rPr>
        <w:t>d</w:t>
      </w:r>
      <w:r w:rsidRPr="000F62BE">
        <w:rPr>
          <w:spacing w:val="-1"/>
        </w:rPr>
        <w:t>n</w:t>
      </w:r>
      <w:r w:rsidRPr="000F62BE">
        <w:t>i</w:t>
      </w:r>
      <w:r w:rsidRPr="000F62BE">
        <w:rPr>
          <w:spacing w:val="-3"/>
        </w:rPr>
        <w:t>ng</w:t>
      </w:r>
    </w:p>
    <w:p w14:paraId="754D4C78" w14:textId="77777777" w:rsidR="00702564" w:rsidRPr="00B15134" w:rsidRDefault="00702564" w:rsidP="00702564">
      <w:pPr>
        <w:spacing w:before="120"/>
        <w:rPr>
          <w:sz w:val="24"/>
          <w:szCs w:val="24"/>
        </w:rPr>
      </w:pPr>
      <w:r w:rsidRPr="00B15134">
        <w:rPr>
          <w:color w:val="211F1A"/>
          <w:spacing w:val="1"/>
          <w:sz w:val="24"/>
          <w:szCs w:val="24"/>
        </w:rPr>
        <w:t xml:space="preserve">Tillfällig ångest är mycket vanligt förekommande i befolkningen. Så gott som alla vuxna har upplevt tillfällig ångest, men de flesta söker inte hjälp av sjukvården. När en person söker hjälp för tillfällig ångest är det ofta för att personen inte klarar av att hantera ångesten själv. </w:t>
      </w:r>
    </w:p>
    <w:p w14:paraId="317B7F39" w14:textId="77777777" w:rsidR="00702564" w:rsidRPr="000F62BE" w:rsidRDefault="00702564" w:rsidP="00702564">
      <w:pPr>
        <w:pStyle w:val="Rubrik3"/>
      </w:pPr>
      <w:r>
        <w:t>Behandlingsmål</w:t>
      </w:r>
    </w:p>
    <w:p w14:paraId="69CC6946" w14:textId="77777777" w:rsidR="00702564" w:rsidRPr="00B15134" w:rsidRDefault="00702564" w:rsidP="00702564">
      <w:pPr>
        <w:spacing w:before="120"/>
        <w:rPr>
          <w:color w:val="211F1A"/>
          <w:sz w:val="24"/>
          <w:szCs w:val="24"/>
        </w:rPr>
      </w:pPr>
      <w:r w:rsidRPr="00B15134">
        <w:rPr>
          <w:color w:val="211F1A"/>
          <w:spacing w:val="1"/>
          <w:sz w:val="24"/>
          <w:szCs w:val="24"/>
        </w:rPr>
        <w:t xml:space="preserve">Dämpning av ångestsymtom. </w:t>
      </w:r>
    </w:p>
    <w:p w14:paraId="61EF8BC7" w14:textId="77777777" w:rsidR="00702564" w:rsidRPr="000F62BE" w:rsidRDefault="00702564" w:rsidP="00702564">
      <w:pPr>
        <w:pStyle w:val="Rubrik3"/>
      </w:pPr>
      <w:r>
        <w:t>Utredning</w:t>
      </w:r>
    </w:p>
    <w:p w14:paraId="3DD239F8" w14:textId="77777777" w:rsidR="00702564" w:rsidRPr="00B15134" w:rsidRDefault="00702564" w:rsidP="00702564">
      <w:pPr>
        <w:spacing w:before="120"/>
        <w:rPr>
          <w:color w:val="211F1A"/>
          <w:sz w:val="24"/>
          <w:szCs w:val="24"/>
        </w:rPr>
      </w:pPr>
      <w:r w:rsidRPr="00B15134">
        <w:rPr>
          <w:color w:val="211F1A"/>
          <w:spacing w:val="1"/>
          <w:sz w:val="24"/>
          <w:szCs w:val="24"/>
        </w:rPr>
        <w:t xml:space="preserve">Anamnes. Förekomst av trauma eller stressande livsomständigheter. Beskrivning av ångestrelaterade symtom. Uteslut somatisk orsak till tillfällig ångest. Uteslut missbruk/beroende som orsak till ångest (t.ex. drogutlöst eller abstinensrelaterad ångest). Skattning av ångestsymtom: </w:t>
      </w:r>
      <w:hyperlink r:id="rId165" w:history="1">
        <w:r w:rsidRPr="00B15134">
          <w:rPr>
            <w:color w:val="211F1A"/>
            <w:spacing w:val="1"/>
            <w:sz w:val="24"/>
            <w:szCs w:val="24"/>
          </w:rPr>
          <w:t>HAD (</w:t>
        </w:r>
        <w:r w:rsidRPr="004767B6">
          <w:rPr>
            <w:color w:val="211F1A"/>
            <w:spacing w:val="1"/>
            <w:sz w:val="24"/>
            <w:szCs w:val="24"/>
            <w:u w:val="single"/>
          </w:rPr>
          <w:t>Hospital Anxiety and Depression Scale</w:t>
        </w:r>
        <w:r w:rsidRPr="00B15134">
          <w:rPr>
            <w:color w:val="211F1A"/>
            <w:spacing w:val="1"/>
            <w:sz w:val="24"/>
            <w:szCs w:val="24"/>
          </w:rPr>
          <w:t>)</w:t>
        </w:r>
      </w:hyperlink>
      <w:r w:rsidRPr="00B15134">
        <w:rPr>
          <w:color w:val="211F1A"/>
          <w:spacing w:val="1"/>
          <w:sz w:val="24"/>
          <w:szCs w:val="24"/>
        </w:rPr>
        <w:t>. Vid ordination av oxazepam ska missbruks</w:t>
      </w:r>
      <w:r w:rsidRPr="00B15134">
        <w:rPr>
          <w:color w:val="211F1A"/>
          <w:spacing w:val="1"/>
          <w:sz w:val="24"/>
          <w:szCs w:val="24"/>
        </w:rPr>
        <w:softHyphen/>
        <w:t xml:space="preserve">anamnes efterfrågas och dokumenteras. </w:t>
      </w:r>
    </w:p>
    <w:p w14:paraId="4506AF6B" w14:textId="77777777" w:rsidR="00702564" w:rsidRPr="005B24BA" w:rsidRDefault="00702564" w:rsidP="00702564">
      <w:pPr>
        <w:pStyle w:val="Rubrik3"/>
      </w:pPr>
      <w:r>
        <w:lastRenderedPageBreak/>
        <w:t>Observera</w:t>
      </w:r>
    </w:p>
    <w:p w14:paraId="6DEAC684" w14:textId="21B3CD73" w:rsidR="00702564" w:rsidRPr="00B15134" w:rsidRDefault="00702564" w:rsidP="00702564">
      <w:pPr>
        <w:spacing w:before="120"/>
        <w:rPr>
          <w:color w:val="211F1A"/>
          <w:sz w:val="24"/>
          <w:szCs w:val="24"/>
        </w:rPr>
      </w:pPr>
      <w:r w:rsidRPr="00B15134">
        <w:rPr>
          <w:color w:val="211F1A"/>
          <w:spacing w:val="1"/>
          <w:sz w:val="24"/>
          <w:szCs w:val="24"/>
        </w:rPr>
        <w:t xml:space="preserve">Observera att hydroxizin och prometazin orsakar dosberoende QT-påverkan. </w:t>
      </w:r>
      <w:r w:rsidR="00BB6263">
        <w:rPr>
          <w:color w:val="211F1A"/>
          <w:sz w:val="24"/>
          <w:szCs w:val="24"/>
        </w:rPr>
        <w:br/>
      </w:r>
      <w:r w:rsidRPr="00B15134">
        <w:rPr>
          <w:color w:val="211F1A"/>
          <w:spacing w:val="1"/>
          <w:sz w:val="24"/>
          <w:szCs w:val="24"/>
        </w:rPr>
        <w:t>Hydroxizin och prometazin har även antikolinerg effekt, påverkar kognition hos äldre, är olämpligt för personer med alla former av kognitiv svikt och som läkemedel till patienter över 60 års ålder.</w:t>
      </w:r>
      <w:r w:rsidR="00BB6263">
        <w:rPr>
          <w:color w:val="211F1A"/>
          <w:sz w:val="24"/>
          <w:szCs w:val="24"/>
        </w:rPr>
        <w:t xml:space="preserve"> </w:t>
      </w:r>
      <w:r w:rsidR="00BB6263">
        <w:rPr>
          <w:color w:val="211F1A"/>
          <w:sz w:val="24"/>
          <w:szCs w:val="24"/>
        </w:rPr>
        <w:br/>
      </w:r>
      <w:r w:rsidRPr="00B15134">
        <w:rPr>
          <w:color w:val="211F1A"/>
          <w:spacing w:val="1"/>
          <w:sz w:val="24"/>
          <w:szCs w:val="24"/>
        </w:rPr>
        <w:t>Om ångest beror på ett läkemedel kan man se ett tidsmässigt samband mellan insättning av läkemedlet och uppkomsten av ångesten. Ångesten kan dock debutera först efter några dagar eller veckor. Även läkemedel som används vid behandling av t.ex. depressions- och ångesttillstånd kan initialt öka ångesten. Andra läkemedel som kan orsaka ångest som biverkan är kortikosteroider, tyreoideahormoner, betareceptorblockare, alfa-1-receptorblockare, angiotensin</w:t>
      </w:r>
      <w:r w:rsidRPr="00B15134">
        <w:rPr>
          <w:color w:val="211F1A"/>
          <w:spacing w:val="1"/>
          <w:sz w:val="24"/>
          <w:szCs w:val="24"/>
        </w:rPr>
        <w:softHyphen/>
        <w:t xml:space="preserve"> II-antagonister med flera. Det finns sammantaget fler än 100 läkemedel i många olika läkemedels</w:t>
      </w:r>
      <w:r w:rsidRPr="00B15134">
        <w:rPr>
          <w:color w:val="211F1A"/>
          <w:spacing w:val="1"/>
          <w:sz w:val="24"/>
          <w:szCs w:val="24"/>
        </w:rPr>
        <w:softHyphen/>
        <w:t>grupper som kan orsaka ångest.</w:t>
      </w:r>
    </w:p>
    <w:p w14:paraId="62CE9B08" w14:textId="77777777" w:rsidR="00702564" w:rsidRPr="000F62BE" w:rsidRDefault="00702564" w:rsidP="00702564">
      <w:pPr>
        <w:pStyle w:val="Rubrik3"/>
      </w:pPr>
      <w:r>
        <w:t>Behandling</w:t>
      </w:r>
    </w:p>
    <w:p w14:paraId="2B1E5D18" w14:textId="77777777" w:rsidR="00702564" w:rsidRPr="00043C8C" w:rsidRDefault="00702564" w:rsidP="00702564">
      <w:pPr>
        <w:pStyle w:val="Rubrik3"/>
      </w:pPr>
      <w:r>
        <w:t>Icke-farmakologisk behandling</w:t>
      </w:r>
    </w:p>
    <w:p w14:paraId="46E63DBB" w14:textId="77777777" w:rsidR="00702564" w:rsidRPr="00B15134" w:rsidRDefault="00702564" w:rsidP="00702564">
      <w:pPr>
        <w:spacing w:before="120"/>
        <w:rPr>
          <w:color w:val="211F1A"/>
          <w:sz w:val="24"/>
          <w:szCs w:val="24"/>
        </w:rPr>
      </w:pPr>
      <w:r w:rsidRPr="00B15134">
        <w:rPr>
          <w:color w:val="211F1A"/>
          <w:spacing w:val="1"/>
          <w:sz w:val="24"/>
          <w:szCs w:val="24"/>
        </w:rPr>
        <w:t xml:space="preserve">Är den tillfälliga ångesten orsakad av dödsfall, trauma eller stressande livsomständigheter bör man överväga kortare tids samtalsbehandling: krissamtal eller kortare tid traumabearbetning med </w:t>
      </w:r>
      <w:hyperlink r:id="rId166" w:history="1">
        <w:r w:rsidRPr="00B15134">
          <w:rPr>
            <w:color w:val="211F1A"/>
            <w:spacing w:val="1"/>
            <w:sz w:val="24"/>
            <w:szCs w:val="24"/>
          </w:rPr>
          <w:t>KBT</w:t>
        </w:r>
      </w:hyperlink>
      <w:r w:rsidRPr="00B15134">
        <w:rPr>
          <w:color w:val="211F1A"/>
          <w:spacing w:val="1"/>
          <w:sz w:val="24"/>
          <w:szCs w:val="24"/>
        </w:rPr>
        <w:t>-tekniker. Observera dock, att bensodiazepiner minskar effektiviteten av krissamtal och trauma</w:t>
      </w:r>
      <w:r w:rsidRPr="00B15134">
        <w:rPr>
          <w:color w:val="211F1A"/>
          <w:spacing w:val="1"/>
          <w:sz w:val="24"/>
          <w:szCs w:val="24"/>
        </w:rPr>
        <w:softHyphen/>
        <w:t>bearbetning.</w:t>
      </w:r>
    </w:p>
    <w:p w14:paraId="09DB0AE0" w14:textId="77777777" w:rsidR="00702564" w:rsidRPr="00043C8C" w:rsidRDefault="00702564" w:rsidP="00702564">
      <w:pPr>
        <w:pStyle w:val="Rubrik3"/>
      </w:pPr>
      <w:r>
        <w:t>Farmakologisk behandling</w:t>
      </w:r>
    </w:p>
    <w:p w14:paraId="333CE1FB" w14:textId="77777777" w:rsidR="00702564" w:rsidRPr="00B15134" w:rsidRDefault="00702564" w:rsidP="00702564">
      <w:pPr>
        <w:spacing w:before="120"/>
        <w:rPr>
          <w:color w:val="211F1A"/>
          <w:sz w:val="24"/>
          <w:szCs w:val="24"/>
        </w:rPr>
      </w:pPr>
      <w:r w:rsidRPr="00B15134">
        <w:rPr>
          <w:color w:val="211F1A"/>
          <w:spacing w:val="1"/>
          <w:sz w:val="24"/>
          <w:szCs w:val="24"/>
        </w:rPr>
        <w:t>Vid tillfällig ångest, till exempel efter psykiskt trauma eller vid stressfulla levnadsomständigheter, då symtomatisk ångestlindring behövs under kortare tid rekommenderas i första hand icke beroende</w:t>
      </w:r>
      <w:r w:rsidRPr="00B15134">
        <w:rPr>
          <w:color w:val="211F1A"/>
          <w:spacing w:val="1"/>
          <w:sz w:val="24"/>
          <w:szCs w:val="24"/>
        </w:rPr>
        <w:softHyphen/>
        <w:t>framkallande medel. Detta kan också vara fallet i initialskedet av depressionsbehandling, i väntan på att antidepressiva ska hinna få effekt eller för att dämpa den ångestförstärkning man kan se i början av behandling av ångestsyndrom, framför allt vid paniksyndrom, med selektiva serotonin</w:t>
      </w:r>
      <w:r w:rsidRPr="00B15134">
        <w:rPr>
          <w:color w:val="211F1A"/>
          <w:spacing w:val="1"/>
          <w:sz w:val="24"/>
          <w:szCs w:val="24"/>
        </w:rPr>
        <w:softHyphen/>
        <w:t>återupptags</w:t>
      </w:r>
      <w:r w:rsidRPr="00B15134">
        <w:rPr>
          <w:color w:val="211F1A"/>
          <w:spacing w:val="1"/>
          <w:sz w:val="24"/>
          <w:szCs w:val="24"/>
        </w:rPr>
        <w:softHyphen/>
        <w:t xml:space="preserve">hämmare (SSRI) eller selektiva noradrenalin-serotoninåterupptagshämmare (SNRI). </w:t>
      </w:r>
    </w:p>
    <w:p w14:paraId="41B63346" w14:textId="77777777" w:rsidR="00702564" w:rsidRPr="0071138D" w:rsidRDefault="00702564" w:rsidP="00702564">
      <w:pPr>
        <w:spacing w:before="120"/>
      </w:pPr>
    </w:p>
    <w:p w14:paraId="05D9DD26" w14:textId="77777777" w:rsidR="00702564" w:rsidRPr="00B15134" w:rsidRDefault="00702564" w:rsidP="00702564">
      <w:pPr>
        <w:spacing w:before="120"/>
        <w:rPr>
          <w:sz w:val="24"/>
          <w:szCs w:val="24"/>
        </w:rPr>
      </w:pPr>
      <w:r w:rsidRPr="00B15134">
        <w:rPr>
          <w:b/>
          <w:bCs/>
          <w:color w:val="211F1A"/>
          <w:spacing w:val="-3"/>
          <w:sz w:val="24"/>
          <w:szCs w:val="24"/>
        </w:rPr>
        <w:t>H</w:t>
      </w:r>
      <w:r w:rsidRPr="00B15134">
        <w:rPr>
          <w:b/>
          <w:bCs/>
          <w:color w:val="211F1A"/>
          <w:spacing w:val="-2"/>
          <w:sz w:val="24"/>
          <w:szCs w:val="24"/>
        </w:rPr>
        <w:t>y</w:t>
      </w:r>
      <w:r w:rsidRPr="00B15134">
        <w:rPr>
          <w:b/>
          <w:bCs/>
          <w:color w:val="211F1A"/>
          <w:sz w:val="24"/>
          <w:szCs w:val="24"/>
        </w:rPr>
        <w:t>d</w:t>
      </w:r>
      <w:r w:rsidRPr="00B15134">
        <w:rPr>
          <w:b/>
          <w:bCs/>
          <w:color w:val="211F1A"/>
          <w:spacing w:val="-1"/>
          <w:sz w:val="24"/>
          <w:szCs w:val="24"/>
        </w:rPr>
        <w:t>r</w:t>
      </w:r>
      <w:r w:rsidRPr="00B15134">
        <w:rPr>
          <w:b/>
          <w:bCs/>
          <w:color w:val="211F1A"/>
          <w:sz w:val="24"/>
          <w:szCs w:val="24"/>
        </w:rPr>
        <w:t>oxi</w:t>
      </w:r>
      <w:r w:rsidRPr="00B15134">
        <w:rPr>
          <w:b/>
          <w:bCs/>
          <w:color w:val="211F1A"/>
          <w:spacing w:val="-5"/>
          <w:sz w:val="24"/>
          <w:szCs w:val="24"/>
        </w:rPr>
        <w:t>z</w:t>
      </w:r>
      <w:r w:rsidRPr="00B15134">
        <w:rPr>
          <w:b/>
          <w:bCs/>
          <w:color w:val="211F1A"/>
          <w:sz w:val="24"/>
          <w:szCs w:val="24"/>
        </w:rPr>
        <w:t>in</w:t>
      </w:r>
      <w:r w:rsidRPr="00B15134">
        <w:rPr>
          <w:color w:val="211F1A"/>
          <w:sz w:val="24"/>
          <w:szCs w:val="24"/>
        </w:rPr>
        <w:t xml:space="preserve"> (</w:t>
      </w:r>
      <w:r w:rsidRPr="00B15134">
        <w:rPr>
          <w:rFonts w:cs="Garamond"/>
          <w:color w:val="211F1A"/>
          <w:spacing w:val="-2"/>
          <w:sz w:val="24"/>
          <w:szCs w:val="24"/>
        </w:rPr>
        <w:t>A</w:t>
      </w:r>
      <w:r w:rsidRPr="00B15134">
        <w:rPr>
          <w:rFonts w:cs="Garamond"/>
          <w:color w:val="211F1A"/>
          <w:spacing w:val="-1"/>
          <w:sz w:val="24"/>
          <w:szCs w:val="24"/>
        </w:rPr>
        <w:t>t</w:t>
      </w:r>
      <w:r w:rsidRPr="00B15134">
        <w:rPr>
          <w:rFonts w:cs="Garamond"/>
          <w:color w:val="211F1A"/>
          <w:sz w:val="24"/>
          <w:szCs w:val="24"/>
        </w:rPr>
        <w:t>a</w:t>
      </w:r>
      <w:r w:rsidRPr="00B15134">
        <w:rPr>
          <w:rFonts w:cs="Garamond"/>
          <w:color w:val="211F1A"/>
          <w:spacing w:val="-1"/>
          <w:sz w:val="24"/>
          <w:szCs w:val="24"/>
        </w:rPr>
        <w:t>r</w:t>
      </w:r>
      <w:r w:rsidRPr="00B15134">
        <w:rPr>
          <w:rFonts w:cs="Garamond"/>
          <w:color w:val="211F1A"/>
          <w:sz w:val="24"/>
          <w:szCs w:val="24"/>
        </w:rPr>
        <w:t>ax</w:t>
      </w:r>
      <w:r w:rsidRPr="00B15134">
        <w:rPr>
          <w:color w:val="211F1A"/>
          <w:sz w:val="24"/>
          <w:szCs w:val="24"/>
        </w:rPr>
        <w:t>)</w:t>
      </w:r>
      <w:r w:rsidRPr="00B15134">
        <w:rPr>
          <w:color w:val="211F1A"/>
          <w:spacing w:val="-11"/>
          <w:sz w:val="24"/>
          <w:szCs w:val="24"/>
        </w:rPr>
        <w:t xml:space="preserve"> </w:t>
      </w:r>
      <w:r w:rsidRPr="00B15134">
        <w:rPr>
          <w:color w:val="211F1A"/>
          <w:sz w:val="24"/>
          <w:szCs w:val="24"/>
        </w:rPr>
        <w:t>är</w:t>
      </w:r>
      <w:r w:rsidRPr="00B15134">
        <w:rPr>
          <w:color w:val="211F1A"/>
          <w:spacing w:val="-6"/>
          <w:sz w:val="24"/>
          <w:szCs w:val="24"/>
        </w:rPr>
        <w:t xml:space="preserve"> </w:t>
      </w:r>
      <w:r w:rsidRPr="00B15134">
        <w:rPr>
          <w:color w:val="211F1A"/>
          <w:sz w:val="24"/>
          <w:szCs w:val="24"/>
        </w:rPr>
        <w:t>ett</w:t>
      </w:r>
      <w:r w:rsidRPr="00B15134">
        <w:rPr>
          <w:color w:val="211F1A"/>
          <w:spacing w:val="-13"/>
          <w:sz w:val="24"/>
          <w:szCs w:val="24"/>
        </w:rPr>
        <w:t xml:space="preserve"> </w:t>
      </w:r>
      <w:r w:rsidRPr="00B15134">
        <w:rPr>
          <w:color w:val="211F1A"/>
          <w:spacing w:val="-2"/>
          <w:sz w:val="24"/>
          <w:szCs w:val="24"/>
        </w:rPr>
        <w:t>a</w:t>
      </w:r>
      <w:r w:rsidRPr="00B15134">
        <w:rPr>
          <w:color w:val="211F1A"/>
          <w:spacing w:val="-1"/>
          <w:sz w:val="24"/>
          <w:szCs w:val="24"/>
        </w:rPr>
        <w:t>nt</w:t>
      </w:r>
      <w:r w:rsidRPr="00B15134">
        <w:rPr>
          <w:color w:val="211F1A"/>
          <w:sz w:val="24"/>
          <w:szCs w:val="24"/>
        </w:rPr>
        <w:t>i</w:t>
      </w:r>
      <w:r w:rsidRPr="00B15134">
        <w:rPr>
          <w:color w:val="211F1A"/>
          <w:spacing w:val="-1"/>
          <w:sz w:val="24"/>
          <w:szCs w:val="24"/>
        </w:rPr>
        <w:t>h</w:t>
      </w:r>
      <w:r w:rsidRPr="00B15134">
        <w:rPr>
          <w:color w:val="211F1A"/>
          <w:spacing w:val="-3"/>
          <w:sz w:val="24"/>
          <w:szCs w:val="24"/>
        </w:rPr>
        <w:t>i</w:t>
      </w:r>
      <w:r w:rsidRPr="00B15134">
        <w:rPr>
          <w:color w:val="211F1A"/>
          <w:spacing w:val="-2"/>
          <w:sz w:val="24"/>
          <w:szCs w:val="24"/>
        </w:rPr>
        <w:t>s</w:t>
      </w:r>
      <w:r w:rsidRPr="00B15134">
        <w:rPr>
          <w:color w:val="211F1A"/>
          <w:spacing w:val="-3"/>
          <w:sz w:val="24"/>
          <w:szCs w:val="24"/>
        </w:rPr>
        <w:t>t</w:t>
      </w:r>
      <w:r w:rsidRPr="00B15134">
        <w:rPr>
          <w:color w:val="211F1A"/>
          <w:sz w:val="24"/>
          <w:szCs w:val="24"/>
        </w:rPr>
        <w:t>a</w:t>
      </w:r>
      <w:r w:rsidRPr="00B15134">
        <w:rPr>
          <w:color w:val="211F1A"/>
          <w:spacing w:val="-1"/>
          <w:sz w:val="24"/>
          <w:szCs w:val="24"/>
        </w:rPr>
        <w:t>m</w:t>
      </w:r>
      <w:r w:rsidRPr="00B15134">
        <w:rPr>
          <w:color w:val="211F1A"/>
          <w:sz w:val="24"/>
          <w:szCs w:val="24"/>
        </w:rPr>
        <w:t>i</w:t>
      </w:r>
      <w:r w:rsidRPr="00B15134">
        <w:rPr>
          <w:color w:val="211F1A"/>
          <w:spacing w:val="-5"/>
          <w:sz w:val="24"/>
          <w:szCs w:val="24"/>
        </w:rPr>
        <w:t>n</w:t>
      </w:r>
      <w:r w:rsidRPr="00B15134">
        <w:rPr>
          <w:color w:val="211F1A"/>
          <w:sz w:val="24"/>
          <w:szCs w:val="24"/>
        </w:rPr>
        <w:t>p</w:t>
      </w:r>
      <w:r w:rsidRPr="00B15134">
        <w:rPr>
          <w:color w:val="211F1A"/>
          <w:spacing w:val="-1"/>
          <w:sz w:val="24"/>
          <w:szCs w:val="24"/>
        </w:rPr>
        <w:t>r</w:t>
      </w:r>
      <w:r w:rsidRPr="00B15134">
        <w:rPr>
          <w:color w:val="211F1A"/>
          <w:sz w:val="24"/>
          <w:szCs w:val="24"/>
        </w:rPr>
        <w:t>e</w:t>
      </w:r>
      <w:r w:rsidRPr="00B15134">
        <w:rPr>
          <w:color w:val="211F1A"/>
          <w:spacing w:val="-5"/>
          <w:sz w:val="24"/>
          <w:szCs w:val="24"/>
        </w:rPr>
        <w:t>p</w:t>
      </w:r>
      <w:r w:rsidRPr="00B15134">
        <w:rPr>
          <w:color w:val="000000"/>
          <w:sz w:val="24"/>
          <w:szCs w:val="24"/>
        </w:rPr>
        <w:t>a</w:t>
      </w:r>
      <w:r w:rsidRPr="00B15134">
        <w:rPr>
          <w:color w:val="000000"/>
          <w:spacing w:val="-1"/>
          <w:sz w:val="24"/>
          <w:szCs w:val="24"/>
        </w:rPr>
        <w:t>r</w:t>
      </w:r>
      <w:r w:rsidRPr="00B15134">
        <w:rPr>
          <w:color w:val="000000"/>
          <w:spacing w:val="-2"/>
          <w:sz w:val="24"/>
          <w:szCs w:val="24"/>
        </w:rPr>
        <w:t>a</w:t>
      </w:r>
      <w:r w:rsidRPr="00B15134">
        <w:rPr>
          <w:color w:val="000000"/>
          <w:sz w:val="24"/>
          <w:szCs w:val="24"/>
        </w:rPr>
        <w:t>t</w:t>
      </w:r>
      <w:r w:rsidRPr="00B15134">
        <w:rPr>
          <w:color w:val="000000"/>
          <w:spacing w:val="-10"/>
          <w:sz w:val="24"/>
          <w:szCs w:val="24"/>
        </w:rPr>
        <w:t xml:space="preserve"> </w:t>
      </w:r>
      <w:r w:rsidRPr="00B15134">
        <w:rPr>
          <w:color w:val="000000"/>
          <w:spacing w:val="-2"/>
          <w:sz w:val="24"/>
          <w:szCs w:val="24"/>
        </w:rPr>
        <w:t>s</w:t>
      </w:r>
      <w:r w:rsidRPr="00B15134">
        <w:rPr>
          <w:color w:val="000000"/>
          <w:sz w:val="24"/>
          <w:szCs w:val="24"/>
        </w:rPr>
        <w:t>om</w:t>
      </w:r>
      <w:r w:rsidRPr="00B15134">
        <w:rPr>
          <w:color w:val="000000"/>
          <w:spacing w:val="-9"/>
          <w:sz w:val="24"/>
          <w:szCs w:val="24"/>
        </w:rPr>
        <w:t xml:space="preserve"> </w:t>
      </w:r>
      <w:r w:rsidRPr="00B15134">
        <w:rPr>
          <w:color w:val="000000"/>
          <w:spacing w:val="-1"/>
          <w:sz w:val="24"/>
          <w:szCs w:val="24"/>
        </w:rPr>
        <w:t>r</w:t>
      </w:r>
      <w:r w:rsidRPr="00B15134">
        <w:rPr>
          <w:color w:val="000000"/>
          <w:sz w:val="24"/>
          <w:szCs w:val="24"/>
        </w:rPr>
        <w:t>ek</w:t>
      </w:r>
      <w:r w:rsidRPr="00B15134">
        <w:rPr>
          <w:color w:val="000000"/>
          <w:spacing w:val="-3"/>
          <w:sz w:val="24"/>
          <w:szCs w:val="24"/>
        </w:rPr>
        <w:t>o</w:t>
      </w:r>
      <w:r w:rsidRPr="00B15134">
        <w:rPr>
          <w:color w:val="000000"/>
          <w:spacing w:val="-1"/>
          <w:sz w:val="24"/>
          <w:szCs w:val="24"/>
        </w:rPr>
        <w:t>m</w:t>
      </w:r>
      <w:r w:rsidRPr="00B15134">
        <w:rPr>
          <w:color w:val="000000"/>
          <w:sz w:val="24"/>
          <w:szCs w:val="24"/>
        </w:rPr>
        <w:t>m</w:t>
      </w:r>
      <w:r w:rsidRPr="00B15134">
        <w:rPr>
          <w:color w:val="000000"/>
          <w:spacing w:val="-2"/>
          <w:sz w:val="24"/>
          <w:szCs w:val="24"/>
        </w:rPr>
        <w:t>e</w:t>
      </w:r>
      <w:r w:rsidRPr="00B15134">
        <w:rPr>
          <w:color w:val="000000"/>
          <w:spacing w:val="-3"/>
          <w:sz w:val="24"/>
          <w:szCs w:val="24"/>
        </w:rPr>
        <w:t>n</w:t>
      </w:r>
      <w:r w:rsidRPr="00B15134">
        <w:rPr>
          <w:color w:val="000000"/>
          <w:sz w:val="24"/>
          <w:szCs w:val="24"/>
        </w:rPr>
        <w:t>de</w:t>
      </w:r>
      <w:r w:rsidRPr="00B15134">
        <w:rPr>
          <w:color w:val="000000"/>
          <w:spacing w:val="-1"/>
          <w:sz w:val="24"/>
          <w:szCs w:val="24"/>
        </w:rPr>
        <w:t>r</w:t>
      </w:r>
      <w:r w:rsidRPr="00B15134">
        <w:rPr>
          <w:color w:val="000000"/>
          <w:spacing w:val="-2"/>
          <w:sz w:val="24"/>
          <w:szCs w:val="24"/>
        </w:rPr>
        <w:t>a</w:t>
      </w:r>
      <w:r w:rsidRPr="00B15134">
        <w:rPr>
          <w:color w:val="000000"/>
          <w:sz w:val="24"/>
          <w:szCs w:val="24"/>
        </w:rPr>
        <w:t>s</w:t>
      </w:r>
      <w:r w:rsidRPr="00B15134">
        <w:rPr>
          <w:color w:val="000000"/>
          <w:spacing w:val="-8"/>
          <w:sz w:val="24"/>
          <w:szCs w:val="24"/>
        </w:rPr>
        <w:t xml:space="preserve"> </w:t>
      </w:r>
      <w:r w:rsidRPr="00B15134">
        <w:rPr>
          <w:color w:val="000000"/>
          <w:sz w:val="24"/>
          <w:szCs w:val="24"/>
        </w:rPr>
        <w:t>i</w:t>
      </w:r>
      <w:r w:rsidRPr="00B15134">
        <w:rPr>
          <w:color w:val="000000"/>
          <w:spacing w:val="-6"/>
          <w:sz w:val="24"/>
          <w:szCs w:val="24"/>
        </w:rPr>
        <w:t xml:space="preserve"> </w:t>
      </w:r>
      <w:r w:rsidRPr="00B15134">
        <w:rPr>
          <w:color w:val="000000"/>
          <w:spacing w:val="-1"/>
          <w:sz w:val="24"/>
          <w:szCs w:val="24"/>
        </w:rPr>
        <w:t>för</w:t>
      </w:r>
      <w:r w:rsidRPr="00B15134">
        <w:rPr>
          <w:color w:val="000000"/>
          <w:spacing w:val="-2"/>
          <w:sz w:val="24"/>
          <w:szCs w:val="24"/>
        </w:rPr>
        <w:t>s</w:t>
      </w:r>
      <w:r w:rsidRPr="00B15134">
        <w:rPr>
          <w:color w:val="000000"/>
          <w:spacing w:val="-1"/>
          <w:sz w:val="24"/>
          <w:szCs w:val="24"/>
        </w:rPr>
        <w:t>t</w:t>
      </w:r>
      <w:r w:rsidRPr="00B15134">
        <w:rPr>
          <w:color w:val="000000"/>
          <w:sz w:val="24"/>
          <w:szCs w:val="24"/>
        </w:rPr>
        <w:t>a</w:t>
      </w:r>
      <w:r w:rsidRPr="00B15134">
        <w:rPr>
          <w:color w:val="000000"/>
          <w:spacing w:val="-5"/>
          <w:sz w:val="24"/>
          <w:szCs w:val="24"/>
        </w:rPr>
        <w:t xml:space="preserve"> h</w:t>
      </w:r>
      <w:r w:rsidRPr="00B15134">
        <w:rPr>
          <w:color w:val="000000"/>
          <w:spacing w:val="-2"/>
          <w:sz w:val="24"/>
          <w:szCs w:val="24"/>
        </w:rPr>
        <w:t>a</w:t>
      </w:r>
      <w:r w:rsidRPr="00B15134">
        <w:rPr>
          <w:color w:val="000000"/>
          <w:spacing w:val="-3"/>
          <w:sz w:val="24"/>
          <w:szCs w:val="24"/>
        </w:rPr>
        <w:t>n</w:t>
      </w:r>
      <w:r w:rsidRPr="00B15134">
        <w:rPr>
          <w:color w:val="000000"/>
          <w:sz w:val="24"/>
          <w:szCs w:val="24"/>
        </w:rPr>
        <w:t>d</w:t>
      </w:r>
      <w:r w:rsidRPr="00B15134">
        <w:rPr>
          <w:color w:val="000000"/>
          <w:spacing w:val="-6"/>
          <w:sz w:val="24"/>
          <w:szCs w:val="24"/>
        </w:rPr>
        <w:t xml:space="preserve"> </w:t>
      </w:r>
      <w:r w:rsidRPr="00B15134">
        <w:rPr>
          <w:color w:val="000000"/>
          <w:spacing w:val="-3"/>
          <w:sz w:val="24"/>
          <w:szCs w:val="24"/>
        </w:rPr>
        <w:t>d</w:t>
      </w:r>
      <w:r w:rsidRPr="00B15134">
        <w:rPr>
          <w:color w:val="000000"/>
          <w:sz w:val="24"/>
          <w:szCs w:val="24"/>
        </w:rPr>
        <w:t>å</w:t>
      </w:r>
      <w:r w:rsidRPr="00B15134">
        <w:rPr>
          <w:color w:val="000000"/>
          <w:spacing w:val="-6"/>
          <w:sz w:val="24"/>
          <w:szCs w:val="24"/>
        </w:rPr>
        <w:t xml:space="preserve"> </w:t>
      </w:r>
      <w:r w:rsidRPr="00B15134">
        <w:rPr>
          <w:color w:val="000000"/>
          <w:spacing w:val="-3"/>
          <w:sz w:val="24"/>
          <w:szCs w:val="24"/>
        </w:rPr>
        <w:t>d</w:t>
      </w:r>
      <w:r w:rsidRPr="00B15134">
        <w:rPr>
          <w:color w:val="000000"/>
          <w:sz w:val="24"/>
          <w:szCs w:val="24"/>
        </w:rPr>
        <w:t>et</w:t>
      </w:r>
      <w:r w:rsidRPr="00B15134">
        <w:rPr>
          <w:color w:val="000000"/>
          <w:spacing w:val="-6"/>
          <w:sz w:val="24"/>
          <w:szCs w:val="24"/>
        </w:rPr>
        <w:t xml:space="preserve"> </w:t>
      </w:r>
      <w:r w:rsidRPr="00B15134">
        <w:rPr>
          <w:color w:val="000000"/>
          <w:sz w:val="24"/>
          <w:szCs w:val="24"/>
        </w:rPr>
        <w:t>inte</w:t>
      </w:r>
      <w:r w:rsidRPr="00B15134">
        <w:rPr>
          <w:color w:val="000000"/>
          <w:spacing w:val="-5"/>
          <w:sz w:val="24"/>
          <w:szCs w:val="24"/>
        </w:rPr>
        <w:t xml:space="preserve"> </w:t>
      </w:r>
      <w:r w:rsidRPr="00B15134">
        <w:rPr>
          <w:color w:val="000000"/>
          <w:sz w:val="24"/>
          <w:szCs w:val="24"/>
        </w:rPr>
        <w:t>är be</w:t>
      </w:r>
      <w:r w:rsidRPr="00B15134">
        <w:rPr>
          <w:color w:val="000000"/>
          <w:spacing w:val="-1"/>
          <w:sz w:val="24"/>
          <w:szCs w:val="24"/>
        </w:rPr>
        <w:t>r</w:t>
      </w:r>
      <w:r w:rsidRPr="00B15134">
        <w:rPr>
          <w:color w:val="000000"/>
          <w:spacing w:val="-3"/>
          <w:sz w:val="24"/>
          <w:szCs w:val="24"/>
        </w:rPr>
        <w:t>o</w:t>
      </w:r>
      <w:r w:rsidRPr="00B15134">
        <w:rPr>
          <w:color w:val="000000"/>
          <w:sz w:val="24"/>
          <w:szCs w:val="24"/>
        </w:rPr>
        <w:t>en</w:t>
      </w:r>
      <w:r w:rsidRPr="00B15134">
        <w:rPr>
          <w:color w:val="000000"/>
          <w:spacing w:val="-3"/>
          <w:sz w:val="24"/>
          <w:szCs w:val="24"/>
        </w:rPr>
        <w:t>d</w:t>
      </w:r>
      <w:r w:rsidRPr="00B15134">
        <w:rPr>
          <w:color w:val="000000"/>
          <w:spacing w:val="-2"/>
          <w:sz w:val="24"/>
          <w:szCs w:val="24"/>
        </w:rPr>
        <w:t>e</w:t>
      </w:r>
      <w:r w:rsidRPr="00B15134">
        <w:rPr>
          <w:color w:val="000000"/>
          <w:spacing w:val="-1"/>
          <w:sz w:val="24"/>
          <w:szCs w:val="24"/>
        </w:rPr>
        <w:t>fr</w:t>
      </w:r>
      <w:r w:rsidRPr="00B15134">
        <w:rPr>
          <w:color w:val="000000"/>
          <w:spacing w:val="-2"/>
          <w:sz w:val="24"/>
          <w:szCs w:val="24"/>
        </w:rPr>
        <w:t>a</w:t>
      </w:r>
      <w:r w:rsidRPr="00B15134">
        <w:rPr>
          <w:color w:val="000000"/>
          <w:spacing w:val="-1"/>
          <w:sz w:val="24"/>
          <w:szCs w:val="24"/>
        </w:rPr>
        <w:t>m</w:t>
      </w:r>
      <w:r w:rsidRPr="00B15134">
        <w:rPr>
          <w:color w:val="000000"/>
          <w:spacing w:val="-6"/>
          <w:sz w:val="24"/>
          <w:szCs w:val="24"/>
        </w:rPr>
        <w:t>k</w:t>
      </w:r>
      <w:r w:rsidRPr="00B15134">
        <w:rPr>
          <w:color w:val="000000"/>
          <w:sz w:val="24"/>
          <w:szCs w:val="24"/>
        </w:rPr>
        <w:t>a</w:t>
      </w:r>
      <w:r w:rsidRPr="00B15134">
        <w:rPr>
          <w:color w:val="000000"/>
          <w:spacing w:val="-3"/>
          <w:sz w:val="24"/>
          <w:szCs w:val="24"/>
        </w:rPr>
        <w:t>l</w:t>
      </w:r>
      <w:r w:rsidRPr="00B15134">
        <w:rPr>
          <w:color w:val="000000"/>
          <w:sz w:val="24"/>
          <w:szCs w:val="24"/>
        </w:rPr>
        <w:t>l</w:t>
      </w:r>
      <w:r w:rsidRPr="00B15134">
        <w:rPr>
          <w:color w:val="000000"/>
          <w:spacing w:val="-2"/>
          <w:sz w:val="24"/>
          <w:szCs w:val="24"/>
        </w:rPr>
        <w:t>a</w:t>
      </w:r>
      <w:r w:rsidRPr="00B15134">
        <w:rPr>
          <w:color w:val="000000"/>
          <w:spacing w:val="-1"/>
          <w:sz w:val="24"/>
          <w:szCs w:val="24"/>
        </w:rPr>
        <w:t>n</w:t>
      </w:r>
      <w:r w:rsidRPr="00B15134">
        <w:rPr>
          <w:color w:val="000000"/>
          <w:spacing w:val="-3"/>
          <w:sz w:val="24"/>
          <w:szCs w:val="24"/>
        </w:rPr>
        <w:t>d</w:t>
      </w:r>
      <w:r w:rsidRPr="00B15134">
        <w:rPr>
          <w:color w:val="000000"/>
          <w:spacing w:val="-2"/>
          <w:sz w:val="24"/>
          <w:szCs w:val="24"/>
        </w:rPr>
        <w:t>e</w:t>
      </w:r>
      <w:r w:rsidRPr="00B15134">
        <w:rPr>
          <w:color w:val="000000"/>
          <w:sz w:val="24"/>
          <w:szCs w:val="24"/>
        </w:rPr>
        <w:t>.</w:t>
      </w:r>
      <w:r w:rsidRPr="00B15134">
        <w:rPr>
          <w:color w:val="000000"/>
          <w:spacing w:val="-9"/>
          <w:sz w:val="24"/>
          <w:szCs w:val="24"/>
        </w:rPr>
        <w:t xml:space="preserve"> </w:t>
      </w:r>
      <w:r w:rsidRPr="00B15134">
        <w:rPr>
          <w:color w:val="000000"/>
          <w:spacing w:val="-3"/>
          <w:sz w:val="24"/>
          <w:szCs w:val="24"/>
        </w:rPr>
        <w:t>D</w:t>
      </w:r>
      <w:r w:rsidRPr="00B15134">
        <w:rPr>
          <w:color w:val="000000"/>
          <w:spacing w:val="-8"/>
          <w:sz w:val="24"/>
          <w:szCs w:val="24"/>
        </w:rPr>
        <w:t>e</w:t>
      </w:r>
      <w:r w:rsidRPr="00B15134">
        <w:rPr>
          <w:color w:val="000000"/>
          <w:sz w:val="24"/>
          <w:szCs w:val="24"/>
        </w:rPr>
        <w:t>n</w:t>
      </w:r>
      <w:r w:rsidRPr="00B15134">
        <w:rPr>
          <w:color w:val="000000"/>
          <w:spacing w:val="-9"/>
          <w:sz w:val="24"/>
          <w:szCs w:val="24"/>
        </w:rPr>
        <w:t xml:space="preserve"> </w:t>
      </w:r>
      <w:r w:rsidRPr="00B15134">
        <w:rPr>
          <w:color w:val="000000"/>
          <w:spacing w:val="-3"/>
          <w:sz w:val="24"/>
          <w:szCs w:val="24"/>
        </w:rPr>
        <w:t>v</w:t>
      </w:r>
      <w:r w:rsidRPr="00B15134">
        <w:rPr>
          <w:color w:val="000000"/>
          <w:spacing w:val="1"/>
          <w:sz w:val="24"/>
          <w:szCs w:val="24"/>
        </w:rPr>
        <w:t>a</w:t>
      </w:r>
      <w:r w:rsidRPr="00B15134">
        <w:rPr>
          <w:color w:val="000000"/>
          <w:spacing w:val="-1"/>
          <w:sz w:val="24"/>
          <w:szCs w:val="24"/>
        </w:rPr>
        <w:t>n</w:t>
      </w:r>
      <w:r w:rsidRPr="00B15134">
        <w:rPr>
          <w:color w:val="000000"/>
          <w:sz w:val="24"/>
          <w:szCs w:val="24"/>
        </w:rPr>
        <w:t>li</w:t>
      </w:r>
      <w:r w:rsidRPr="00B15134">
        <w:rPr>
          <w:color w:val="000000"/>
          <w:spacing w:val="-8"/>
          <w:sz w:val="24"/>
          <w:szCs w:val="24"/>
        </w:rPr>
        <w:t>g</w:t>
      </w:r>
      <w:r w:rsidRPr="00B15134">
        <w:rPr>
          <w:color w:val="000000"/>
          <w:sz w:val="24"/>
          <w:szCs w:val="24"/>
        </w:rPr>
        <w:t>a</w:t>
      </w:r>
      <w:r w:rsidRPr="00B15134">
        <w:rPr>
          <w:color w:val="000000"/>
          <w:spacing w:val="-2"/>
          <w:sz w:val="24"/>
          <w:szCs w:val="24"/>
        </w:rPr>
        <w:t>s</w:t>
      </w:r>
      <w:r w:rsidRPr="00B15134">
        <w:rPr>
          <w:color w:val="000000"/>
          <w:spacing w:val="-1"/>
          <w:sz w:val="24"/>
          <w:szCs w:val="24"/>
        </w:rPr>
        <w:t>t</w:t>
      </w:r>
      <w:r w:rsidRPr="00B15134">
        <w:rPr>
          <w:color w:val="000000"/>
          <w:sz w:val="24"/>
          <w:szCs w:val="24"/>
        </w:rPr>
        <w:t>e</w:t>
      </w:r>
      <w:r w:rsidRPr="00B15134">
        <w:rPr>
          <w:color w:val="000000"/>
          <w:spacing w:val="-7"/>
          <w:sz w:val="24"/>
          <w:szCs w:val="24"/>
        </w:rPr>
        <w:t xml:space="preserve"> </w:t>
      </w:r>
      <w:r w:rsidRPr="00B15134">
        <w:rPr>
          <w:color w:val="000000"/>
          <w:spacing w:val="-3"/>
          <w:sz w:val="24"/>
          <w:szCs w:val="24"/>
        </w:rPr>
        <w:t>b</w:t>
      </w:r>
      <w:r w:rsidRPr="00B15134">
        <w:rPr>
          <w:color w:val="000000"/>
          <w:sz w:val="24"/>
          <w:szCs w:val="24"/>
        </w:rPr>
        <w:t>i</w:t>
      </w:r>
      <w:r w:rsidRPr="00B15134">
        <w:rPr>
          <w:color w:val="000000"/>
          <w:spacing w:val="-3"/>
          <w:sz w:val="24"/>
          <w:szCs w:val="24"/>
        </w:rPr>
        <w:t>v</w:t>
      </w:r>
      <w:r w:rsidRPr="00B15134">
        <w:rPr>
          <w:color w:val="000000"/>
          <w:sz w:val="24"/>
          <w:szCs w:val="24"/>
        </w:rPr>
        <w:t>e</w:t>
      </w:r>
      <w:r w:rsidRPr="00B15134">
        <w:rPr>
          <w:color w:val="000000"/>
          <w:spacing w:val="-1"/>
          <w:sz w:val="24"/>
          <w:szCs w:val="24"/>
        </w:rPr>
        <w:t>r</w:t>
      </w:r>
      <w:r w:rsidRPr="00B15134">
        <w:rPr>
          <w:color w:val="000000"/>
          <w:spacing w:val="-6"/>
          <w:sz w:val="24"/>
          <w:szCs w:val="24"/>
        </w:rPr>
        <w:t>k</w:t>
      </w:r>
      <w:r w:rsidRPr="00B15134">
        <w:rPr>
          <w:color w:val="000000"/>
          <w:sz w:val="24"/>
          <w:szCs w:val="24"/>
        </w:rPr>
        <w:t>an</w:t>
      </w:r>
      <w:r w:rsidRPr="00B15134">
        <w:rPr>
          <w:color w:val="000000"/>
          <w:spacing w:val="-9"/>
          <w:sz w:val="24"/>
          <w:szCs w:val="24"/>
        </w:rPr>
        <w:t xml:space="preserve"> </w:t>
      </w:r>
      <w:r w:rsidRPr="00B15134">
        <w:rPr>
          <w:color w:val="000000"/>
          <w:sz w:val="24"/>
          <w:szCs w:val="24"/>
        </w:rPr>
        <w:t>är</w:t>
      </w:r>
      <w:r w:rsidRPr="00B15134">
        <w:rPr>
          <w:color w:val="000000"/>
          <w:spacing w:val="-9"/>
          <w:sz w:val="24"/>
          <w:szCs w:val="24"/>
        </w:rPr>
        <w:t xml:space="preserve"> </w:t>
      </w:r>
      <w:r w:rsidRPr="00B15134">
        <w:rPr>
          <w:color w:val="000000"/>
          <w:spacing w:val="-1"/>
          <w:sz w:val="24"/>
          <w:szCs w:val="24"/>
        </w:rPr>
        <w:t>t</w:t>
      </w:r>
      <w:r w:rsidRPr="00B15134">
        <w:rPr>
          <w:color w:val="000000"/>
          <w:spacing w:val="-6"/>
          <w:sz w:val="24"/>
          <w:szCs w:val="24"/>
        </w:rPr>
        <w:t>r</w:t>
      </w:r>
      <w:r w:rsidRPr="00B15134">
        <w:rPr>
          <w:color w:val="000000"/>
          <w:spacing w:val="-3"/>
          <w:sz w:val="24"/>
          <w:szCs w:val="24"/>
        </w:rPr>
        <w:t>ö</w:t>
      </w:r>
      <w:r w:rsidRPr="00B15134">
        <w:rPr>
          <w:color w:val="000000"/>
          <w:spacing w:val="-1"/>
          <w:sz w:val="24"/>
          <w:szCs w:val="24"/>
        </w:rPr>
        <w:t>tt</w:t>
      </w:r>
      <w:r w:rsidRPr="00B15134">
        <w:rPr>
          <w:color w:val="000000"/>
          <w:spacing w:val="-3"/>
          <w:sz w:val="24"/>
          <w:szCs w:val="24"/>
        </w:rPr>
        <w:t>h</w:t>
      </w:r>
      <w:r w:rsidRPr="00B15134">
        <w:rPr>
          <w:color w:val="000000"/>
          <w:sz w:val="24"/>
          <w:szCs w:val="24"/>
        </w:rPr>
        <w:t>et</w:t>
      </w:r>
      <w:r w:rsidRPr="00B15134">
        <w:rPr>
          <w:color w:val="000000"/>
          <w:spacing w:val="-10"/>
          <w:sz w:val="24"/>
          <w:szCs w:val="24"/>
        </w:rPr>
        <w:t xml:space="preserve"> </w:t>
      </w:r>
      <w:r w:rsidRPr="00B15134">
        <w:rPr>
          <w:color w:val="000000"/>
          <w:spacing w:val="-3"/>
          <w:sz w:val="24"/>
          <w:szCs w:val="24"/>
        </w:rPr>
        <w:t>o</w:t>
      </w:r>
      <w:r w:rsidRPr="00B15134">
        <w:rPr>
          <w:color w:val="000000"/>
          <w:sz w:val="24"/>
          <w:szCs w:val="24"/>
        </w:rPr>
        <w:t>ch</w:t>
      </w:r>
      <w:r w:rsidRPr="00B15134">
        <w:rPr>
          <w:color w:val="000000"/>
          <w:spacing w:val="-8"/>
          <w:sz w:val="24"/>
          <w:szCs w:val="24"/>
        </w:rPr>
        <w:t xml:space="preserve"> </w:t>
      </w:r>
      <w:r w:rsidRPr="00B15134">
        <w:rPr>
          <w:color w:val="000000"/>
          <w:spacing w:val="-2"/>
          <w:sz w:val="24"/>
          <w:szCs w:val="24"/>
        </w:rPr>
        <w:t>a</w:t>
      </w:r>
      <w:r w:rsidRPr="00B15134">
        <w:rPr>
          <w:color w:val="000000"/>
          <w:spacing w:val="-3"/>
          <w:sz w:val="24"/>
          <w:szCs w:val="24"/>
        </w:rPr>
        <w:t>v</w:t>
      </w:r>
      <w:r w:rsidRPr="00B15134">
        <w:rPr>
          <w:color w:val="000000"/>
          <w:sz w:val="24"/>
          <w:szCs w:val="24"/>
        </w:rPr>
        <w:t>kli</w:t>
      </w:r>
      <w:r w:rsidRPr="00B15134">
        <w:rPr>
          <w:color w:val="000000"/>
          <w:spacing w:val="-3"/>
          <w:sz w:val="24"/>
          <w:szCs w:val="24"/>
        </w:rPr>
        <w:t>n</w:t>
      </w:r>
      <w:r w:rsidRPr="00B15134">
        <w:rPr>
          <w:color w:val="000000"/>
          <w:spacing w:val="-2"/>
          <w:sz w:val="24"/>
          <w:szCs w:val="24"/>
        </w:rPr>
        <w:t>g</w:t>
      </w:r>
      <w:r w:rsidRPr="00B15134">
        <w:rPr>
          <w:color w:val="000000"/>
          <w:sz w:val="24"/>
          <w:szCs w:val="24"/>
        </w:rPr>
        <w:t>ar</w:t>
      </w:r>
      <w:r w:rsidRPr="00B15134">
        <w:rPr>
          <w:color w:val="000000"/>
          <w:spacing w:val="-12"/>
          <w:sz w:val="24"/>
          <w:szCs w:val="24"/>
        </w:rPr>
        <w:t xml:space="preserve"> </w:t>
      </w:r>
      <w:r w:rsidRPr="00B15134">
        <w:rPr>
          <w:color w:val="000000"/>
          <w:spacing w:val="-1"/>
          <w:sz w:val="24"/>
          <w:szCs w:val="24"/>
        </w:rPr>
        <w:t>of</w:t>
      </w:r>
      <w:r w:rsidRPr="00B15134">
        <w:rPr>
          <w:color w:val="000000"/>
          <w:spacing w:val="-3"/>
          <w:sz w:val="24"/>
          <w:szCs w:val="24"/>
        </w:rPr>
        <w:t>t</w:t>
      </w:r>
      <w:r w:rsidRPr="00B15134">
        <w:rPr>
          <w:color w:val="000000"/>
          <w:sz w:val="24"/>
          <w:szCs w:val="24"/>
        </w:rPr>
        <w:t>a</w:t>
      </w:r>
      <w:r w:rsidRPr="00B15134">
        <w:rPr>
          <w:color w:val="000000"/>
          <w:spacing w:val="-2"/>
          <w:sz w:val="24"/>
          <w:szCs w:val="24"/>
        </w:rPr>
        <w:t>s</w:t>
      </w:r>
      <w:r w:rsidRPr="00B15134">
        <w:rPr>
          <w:color w:val="000000"/>
          <w:sz w:val="24"/>
          <w:szCs w:val="24"/>
        </w:rPr>
        <w:t>t</w:t>
      </w:r>
      <w:r w:rsidRPr="00B15134">
        <w:rPr>
          <w:color w:val="000000"/>
          <w:spacing w:val="-12"/>
          <w:sz w:val="24"/>
          <w:szCs w:val="24"/>
        </w:rPr>
        <w:t xml:space="preserve"> </w:t>
      </w:r>
      <w:r w:rsidRPr="00B15134">
        <w:rPr>
          <w:color w:val="000000"/>
          <w:spacing w:val="-3"/>
          <w:sz w:val="24"/>
          <w:szCs w:val="24"/>
        </w:rPr>
        <w:t>v</w:t>
      </w:r>
      <w:r w:rsidRPr="00B15134">
        <w:rPr>
          <w:color w:val="000000"/>
          <w:sz w:val="24"/>
          <w:szCs w:val="24"/>
        </w:rPr>
        <w:t>id</w:t>
      </w:r>
      <w:r w:rsidRPr="00B15134">
        <w:rPr>
          <w:color w:val="000000"/>
          <w:spacing w:val="-8"/>
          <w:sz w:val="24"/>
          <w:szCs w:val="24"/>
        </w:rPr>
        <w:t xml:space="preserve"> </w:t>
      </w:r>
      <w:r w:rsidRPr="00B15134">
        <w:rPr>
          <w:color w:val="000000"/>
          <w:spacing w:val="-1"/>
          <w:sz w:val="24"/>
          <w:szCs w:val="24"/>
        </w:rPr>
        <w:t>f</w:t>
      </w:r>
      <w:r w:rsidRPr="00B15134">
        <w:rPr>
          <w:color w:val="000000"/>
          <w:sz w:val="24"/>
          <w:szCs w:val="24"/>
        </w:rPr>
        <w:t>o</w:t>
      </w:r>
      <w:r w:rsidRPr="00B15134">
        <w:rPr>
          <w:color w:val="000000"/>
          <w:spacing w:val="-1"/>
          <w:sz w:val="24"/>
          <w:szCs w:val="24"/>
        </w:rPr>
        <w:t>rt</w:t>
      </w:r>
      <w:r w:rsidRPr="00B15134">
        <w:rPr>
          <w:color w:val="000000"/>
          <w:spacing w:val="-2"/>
          <w:sz w:val="24"/>
          <w:szCs w:val="24"/>
        </w:rPr>
        <w:t>s</w:t>
      </w:r>
      <w:r w:rsidRPr="00B15134">
        <w:rPr>
          <w:color w:val="000000"/>
          <w:spacing w:val="3"/>
          <w:sz w:val="24"/>
          <w:szCs w:val="24"/>
        </w:rPr>
        <w:t>a</w:t>
      </w:r>
      <w:r w:rsidRPr="00B15134">
        <w:rPr>
          <w:color w:val="000000"/>
          <w:spacing w:val="-3"/>
          <w:sz w:val="24"/>
          <w:szCs w:val="24"/>
        </w:rPr>
        <w:t>t</w:t>
      </w:r>
      <w:r w:rsidRPr="00B15134">
        <w:rPr>
          <w:color w:val="000000"/>
          <w:sz w:val="24"/>
          <w:szCs w:val="24"/>
        </w:rPr>
        <w:t>t</w:t>
      </w:r>
      <w:r w:rsidRPr="00B15134">
        <w:rPr>
          <w:color w:val="000000"/>
          <w:w w:val="99"/>
          <w:sz w:val="24"/>
          <w:szCs w:val="24"/>
        </w:rPr>
        <w:t xml:space="preserve"> </w:t>
      </w:r>
      <w:r w:rsidRPr="00B15134">
        <w:rPr>
          <w:color w:val="000000"/>
          <w:spacing w:val="-2"/>
          <w:sz w:val="24"/>
          <w:szCs w:val="24"/>
        </w:rPr>
        <w:t>b</w:t>
      </w:r>
      <w:r w:rsidRPr="00B15134">
        <w:rPr>
          <w:color w:val="000000"/>
          <w:sz w:val="24"/>
          <w:szCs w:val="24"/>
        </w:rPr>
        <w:t>eh</w:t>
      </w:r>
      <w:r w:rsidRPr="00B15134">
        <w:rPr>
          <w:color w:val="000000"/>
          <w:spacing w:val="-2"/>
          <w:sz w:val="24"/>
          <w:szCs w:val="24"/>
        </w:rPr>
        <w:t>a</w:t>
      </w:r>
      <w:r w:rsidRPr="00B15134">
        <w:rPr>
          <w:color w:val="000000"/>
          <w:spacing w:val="-1"/>
          <w:sz w:val="24"/>
          <w:szCs w:val="24"/>
        </w:rPr>
        <w:t>n</w:t>
      </w:r>
      <w:r w:rsidRPr="00B15134">
        <w:rPr>
          <w:color w:val="000000"/>
          <w:sz w:val="24"/>
          <w:szCs w:val="24"/>
        </w:rPr>
        <w:t>dlin</w:t>
      </w:r>
      <w:r w:rsidRPr="00B15134">
        <w:rPr>
          <w:color w:val="000000"/>
          <w:spacing w:val="-2"/>
          <w:sz w:val="24"/>
          <w:szCs w:val="24"/>
        </w:rPr>
        <w:t>g</w:t>
      </w:r>
      <w:r w:rsidRPr="00B15134">
        <w:rPr>
          <w:color w:val="000000"/>
          <w:sz w:val="24"/>
          <w:szCs w:val="24"/>
        </w:rPr>
        <w:t>.</w:t>
      </w:r>
      <w:r w:rsidRPr="00B15134">
        <w:rPr>
          <w:color w:val="000000"/>
          <w:spacing w:val="-16"/>
          <w:sz w:val="24"/>
          <w:szCs w:val="24"/>
        </w:rPr>
        <w:t xml:space="preserve"> </w:t>
      </w:r>
      <w:r w:rsidRPr="00B15134">
        <w:rPr>
          <w:color w:val="000000"/>
          <w:sz w:val="24"/>
          <w:szCs w:val="24"/>
        </w:rPr>
        <w:t>Ä</w:t>
      </w:r>
      <w:r w:rsidRPr="00B15134">
        <w:rPr>
          <w:color w:val="000000"/>
          <w:spacing w:val="-6"/>
          <w:sz w:val="24"/>
          <w:szCs w:val="24"/>
        </w:rPr>
        <w:t>v</w:t>
      </w:r>
      <w:r w:rsidRPr="00B15134">
        <w:rPr>
          <w:color w:val="000000"/>
          <w:sz w:val="24"/>
          <w:szCs w:val="24"/>
        </w:rPr>
        <w:t>en</w:t>
      </w:r>
      <w:r w:rsidRPr="00B15134">
        <w:rPr>
          <w:color w:val="000000"/>
          <w:spacing w:val="-10"/>
          <w:sz w:val="24"/>
          <w:szCs w:val="24"/>
        </w:rPr>
        <w:t xml:space="preserve"> </w:t>
      </w:r>
      <w:r w:rsidRPr="00B15134">
        <w:rPr>
          <w:color w:val="000000"/>
          <w:spacing w:val="-3"/>
          <w:sz w:val="24"/>
          <w:szCs w:val="24"/>
        </w:rPr>
        <w:t>i</w:t>
      </w:r>
      <w:r w:rsidRPr="00B15134">
        <w:rPr>
          <w:color w:val="000000"/>
          <w:sz w:val="24"/>
          <w:szCs w:val="24"/>
        </w:rPr>
        <w:t>l</w:t>
      </w:r>
      <w:r w:rsidRPr="00B15134">
        <w:rPr>
          <w:color w:val="000000"/>
          <w:spacing w:val="-3"/>
          <w:sz w:val="24"/>
          <w:szCs w:val="24"/>
        </w:rPr>
        <w:t>l</w:t>
      </w:r>
      <w:r w:rsidRPr="00B15134">
        <w:rPr>
          <w:color w:val="000000"/>
          <w:spacing w:val="-2"/>
          <w:sz w:val="24"/>
          <w:szCs w:val="24"/>
        </w:rPr>
        <w:t>a</w:t>
      </w:r>
      <w:r w:rsidRPr="00B15134">
        <w:rPr>
          <w:color w:val="000000"/>
          <w:spacing w:val="-1"/>
          <w:sz w:val="24"/>
          <w:szCs w:val="24"/>
        </w:rPr>
        <w:t>m</w:t>
      </w:r>
      <w:r w:rsidRPr="00B15134">
        <w:rPr>
          <w:color w:val="000000"/>
          <w:spacing w:val="-2"/>
          <w:sz w:val="24"/>
          <w:szCs w:val="24"/>
        </w:rPr>
        <w:t>å</w:t>
      </w:r>
      <w:r w:rsidRPr="00B15134">
        <w:rPr>
          <w:color w:val="000000"/>
          <w:sz w:val="24"/>
          <w:szCs w:val="24"/>
        </w:rPr>
        <w:t>e</w:t>
      </w:r>
      <w:r w:rsidRPr="00B15134">
        <w:rPr>
          <w:color w:val="000000"/>
          <w:spacing w:val="-8"/>
          <w:sz w:val="24"/>
          <w:szCs w:val="24"/>
        </w:rPr>
        <w:t>n</w:t>
      </w:r>
      <w:r w:rsidRPr="00B15134">
        <w:rPr>
          <w:color w:val="000000"/>
          <w:sz w:val="24"/>
          <w:szCs w:val="24"/>
        </w:rPr>
        <w:t>de</w:t>
      </w:r>
      <w:r w:rsidRPr="00B15134">
        <w:rPr>
          <w:color w:val="000000"/>
          <w:spacing w:val="-8"/>
          <w:sz w:val="24"/>
          <w:szCs w:val="24"/>
        </w:rPr>
        <w:t xml:space="preserve"> </w:t>
      </w:r>
      <w:r w:rsidRPr="00B15134">
        <w:rPr>
          <w:color w:val="000000"/>
          <w:sz w:val="24"/>
          <w:szCs w:val="24"/>
        </w:rPr>
        <w:t>och</w:t>
      </w:r>
      <w:r w:rsidRPr="00B15134">
        <w:rPr>
          <w:color w:val="000000"/>
          <w:spacing w:val="-10"/>
          <w:sz w:val="24"/>
          <w:szCs w:val="24"/>
        </w:rPr>
        <w:t xml:space="preserve"> </w:t>
      </w:r>
      <w:r w:rsidRPr="00B15134">
        <w:rPr>
          <w:color w:val="000000"/>
          <w:spacing w:val="-1"/>
          <w:sz w:val="24"/>
          <w:szCs w:val="24"/>
        </w:rPr>
        <w:t>m</w:t>
      </w:r>
      <w:r w:rsidRPr="00B15134">
        <w:rPr>
          <w:color w:val="000000"/>
          <w:sz w:val="24"/>
          <w:szCs w:val="24"/>
        </w:rPr>
        <w:t>u</w:t>
      </w:r>
      <w:r w:rsidRPr="00B15134">
        <w:rPr>
          <w:color w:val="000000"/>
          <w:spacing w:val="-5"/>
          <w:sz w:val="24"/>
          <w:szCs w:val="24"/>
        </w:rPr>
        <w:t>n</w:t>
      </w:r>
      <w:r w:rsidRPr="00B15134">
        <w:rPr>
          <w:color w:val="000000"/>
          <w:spacing w:val="-1"/>
          <w:sz w:val="24"/>
          <w:szCs w:val="24"/>
        </w:rPr>
        <w:t>torr</w:t>
      </w:r>
      <w:r w:rsidRPr="00B15134">
        <w:rPr>
          <w:color w:val="000000"/>
          <w:sz w:val="24"/>
          <w:szCs w:val="24"/>
        </w:rPr>
        <w:t>het</w:t>
      </w:r>
      <w:r w:rsidRPr="00B15134">
        <w:rPr>
          <w:color w:val="000000"/>
          <w:spacing w:val="-14"/>
          <w:sz w:val="24"/>
          <w:szCs w:val="24"/>
        </w:rPr>
        <w:t xml:space="preserve"> </w:t>
      </w:r>
      <w:r w:rsidRPr="00B15134">
        <w:rPr>
          <w:color w:val="000000"/>
          <w:spacing w:val="-1"/>
          <w:sz w:val="24"/>
          <w:szCs w:val="24"/>
        </w:rPr>
        <w:t>f</w:t>
      </w:r>
      <w:r w:rsidRPr="00B15134">
        <w:rPr>
          <w:color w:val="000000"/>
          <w:sz w:val="24"/>
          <w:szCs w:val="24"/>
        </w:rPr>
        <w:t>ö</w:t>
      </w:r>
      <w:r w:rsidRPr="00B15134">
        <w:rPr>
          <w:color w:val="000000"/>
          <w:spacing w:val="-1"/>
          <w:sz w:val="24"/>
          <w:szCs w:val="24"/>
        </w:rPr>
        <w:t>r</w:t>
      </w:r>
      <w:r w:rsidRPr="00B15134">
        <w:rPr>
          <w:color w:val="000000"/>
          <w:spacing w:val="-2"/>
          <w:sz w:val="24"/>
          <w:szCs w:val="24"/>
        </w:rPr>
        <w:t>e</w:t>
      </w:r>
      <w:r w:rsidRPr="00B15134">
        <w:rPr>
          <w:color w:val="000000"/>
          <w:spacing w:val="-3"/>
          <w:sz w:val="24"/>
          <w:szCs w:val="24"/>
        </w:rPr>
        <w:t>k</w:t>
      </w:r>
      <w:r w:rsidRPr="00B15134">
        <w:rPr>
          <w:color w:val="000000"/>
          <w:spacing w:val="-5"/>
          <w:sz w:val="24"/>
          <w:szCs w:val="24"/>
        </w:rPr>
        <w:t>o</w:t>
      </w:r>
      <w:r w:rsidRPr="00B15134">
        <w:rPr>
          <w:color w:val="000000"/>
          <w:spacing w:val="-1"/>
          <w:sz w:val="24"/>
          <w:szCs w:val="24"/>
        </w:rPr>
        <w:t>mm</w:t>
      </w:r>
      <w:r w:rsidRPr="00B15134">
        <w:rPr>
          <w:color w:val="000000"/>
          <w:spacing w:val="-2"/>
          <w:sz w:val="24"/>
          <w:szCs w:val="24"/>
        </w:rPr>
        <w:t>e</w:t>
      </w:r>
      <w:r w:rsidRPr="00B15134">
        <w:rPr>
          <w:color w:val="000000"/>
          <w:spacing w:val="-1"/>
          <w:sz w:val="24"/>
          <w:szCs w:val="24"/>
        </w:rPr>
        <w:t>r</w:t>
      </w:r>
      <w:r w:rsidRPr="00B15134">
        <w:rPr>
          <w:color w:val="000000"/>
          <w:sz w:val="24"/>
          <w:szCs w:val="24"/>
        </w:rPr>
        <w:t>.</w:t>
      </w:r>
      <w:r w:rsidRPr="00B15134">
        <w:rPr>
          <w:color w:val="000000"/>
          <w:spacing w:val="-9"/>
          <w:sz w:val="24"/>
          <w:szCs w:val="24"/>
        </w:rPr>
        <w:t xml:space="preserve"> </w:t>
      </w:r>
      <w:r w:rsidRPr="00B15134">
        <w:rPr>
          <w:color w:val="000000"/>
          <w:spacing w:val="-3"/>
          <w:sz w:val="24"/>
          <w:szCs w:val="24"/>
        </w:rPr>
        <w:t>Do</w:t>
      </w:r>
      <w:r w:rsidRPr="00B15134">
        <w:rPr>
          <w:color w:val="000000"/>
          <w:spacing w:val="-2"/>
          <w:sz w:val="24"/>
          <w:szCs w:val="24"/>
        </w:rPr>
        <w:t>s</w:t>
      </w:r>
      <w:r w:rsidRPr="00B15134">
        <w:rPr>
          <w:color w:val="000000"/>
          <w:sz w:val="24"/>
          <w:szCs w:val="24"/>
        </w:rPr>
        <w:t>en</w:t>
      </w:r>
      <w:r w:rsidRPr="00B15134">
        <w:rPr>
          <w:color w:val="000000"/>
          <w:spacing w:val="-12"/>
          <w:sz w:val="24"/>
          <w:szCs w:val="24"/>
        </w:rPr>
        <w:t xml:space="preserve"> </w:t>
      </w:r>
      <w:r w:rsidRPr="00B15134">
        <w:rPr>
          <w:color w:val="000000"/>
          <w:sz w:val="24"/>
          <w:szCs w:val="24"/>
        </w:rPr>
        <w:t>a</w:t>
      </w:r>
      <w:r w:rsidRPr="00B15134">
        <w:rPr>
          <w:color w:val="000000"/>
          <w:spacing w:val="-1"/>
          <w:sz w:val="24"/>
          <w:szCs w:val="24"/>
        </w:rPr>
        <w:t>n</w:t>
      </w:r>
      <w:r w:rsidRPr="00B15134">
        <w:rPr>
          <w:color w:val="000000"/>
          <w:spacing w:val="-3"/>
          <w:sz w:val="24"/>
          <w:szCs w:val="24"/>
        </w:rPr>
        <w:t>p</w:t>
      </w:r>
      <w:r w:rsidRPr="00B15134">
        <w:rPr>
          <w:color w:val="000000"/>
          <w:spacing w:val="-2"/>
          <w:sz w:val="24"/>
          <w:szCs w:val="24"/>
        </w:rPr>
        <w:t>assa</w:t>
      </w:r>
      <w:r w:rsidRPr="00B15134">
        <w:rPr>
          <w:color w:val="000000"/>
          <w:sz w:val="24"/>
          <w:szCs w:val="24"/>
        </w:rPr>
        <w:t>s</w:t>
      </w:r>
      <w:r w:rsidRPr="00B15134">
        <w:rPr>
          <w:color w:val="000000"/>
          <w:spacing w:val="-11"/>
          <w:sz w:val="24"/>
          <w:szCs w:val="24"/>
        </w:rPr>
        <w:t xml:space="preserve"> </w:t>
      </w:r>
      <w:r w:rsidRPr="00B15134">
        <w:rPr>
          <w:color w:val="000000"/>
          <w:sz w:val="24"/>
          <w:szCs w:val="24"/>
        </w:rPr>
        <w:t>i</w:t>
      </w:r>
      <w:r w:rsidRPr="00B15134">
        <w:rPr>
          <w:color w:val="000000"/>
          <w:spacing w:val="-1"/>
          <w:sz w:val="24"/>
          <w:szCs w:val="24"/>
        </w:rPr>
        <w:t>n</w:t>
      </w:r>
      <w:r w:rsidRPr="00B15134">
        <w:rPr>
          <w:color w:val="000000"/>
          <w:sz w:val="24"/>
          <w:szCs w:val="24"/>
        </w:rPr>
        <w:t>di</w:t>
      </w:r>
      <w:r w:rsidRPr="00B15134">
        <w:rPr>
          <w:color w:val="000000"/>
          <w:spacing w:val="-3"/>
          <w:sz w:val="24"/>
          <w:szCs w:val="24"/>
        </w:rPr>
        <w:t>v</w:t>
      </w:r>
      <w:r w:rsidRPr="00B15134">
        <w:rPr>
          <w:color w:val="000000"/>
          <w:sz w:val="24"/>
          <w:szCs w:val="24"/>
        </w:rPr>
        <w:t>id</w:t>
      </w:r>
      <w:r w:rsidRPr="00B15134">
        <w:rPr>
          <w:color w:val="000000"/>
          <w:spacing w:val="-6"/>
          <w:sz w:val="24"/>
          <w:szCs w:val="24"/>
        </w:rPr>
        <w:t>u</w:t>
      </w:r>
      <w:r w:rsidRPr="00B15134">
        <w:rPr>
          <w:color w:val="000000"/>
          <w:sz w:val="24"/>
          <w:szCs w:val="24"/>
        </w:rPr>
        <w:t>e</w:t>
      </w:r>
      <w:r w:rsidRPr="00B15134">
        <w:rPr>
          <w:color w:val="000000"/>
          <w:spacing w:val="-3"/>
          <w:sz w:val="24"/>
          <w:szCs w:val="24"/>
        </w:rPr>
        <w:t>l</w:t>
      </w:r>
      <w:r w:rsidRPr="00B15134">
        <w:rPr>
          <w:color w:val="000000"/>
          <w:sz w:val="24"/>
          <w:szCs w:val="24"/>
        </w:rPr>
        <w:t>lt, den maximala dygnsdosen för vuxna och barn som väger över 40 kg är 100 mg/dag.</w:t>
      </w:r>
      <w:r w:rsidRPr="00B15134">
        <w:rPr>
          <w:color w:val="000000"/>
          <w:spacing w:val="-9"/>
          <w:sz w:val="24"/>
          <w:szCs w:val="24"/>
        </w:rPr>
        <w:t xml:space="preserve"> </w:t>
      </w:r>
      <w:r w:rsidRPr="00B15134">
        <w:rPr>
          <w:color w:val="000000"/>
          <w:spacing w:val="-3"/>
          <w:sz w:val="24"/>
          <w:szCs w:val="24"/>
        </w:rPr>
        <w:t>H</w:t>
      </w:r>
      <w:r w:rsidRPr="00B15134">
        <w:rPr>
          <w:color w:val="000000"/>
          <w:spacing w:val="-2"/>
          <w:sz w:val="24"/>
          <w:szCs w:val="24"/>
        </w:rPr>
        <w:t>y</w:t>
      </w:r>
      <w:r w:rsidRPr="00B15134">
        <w:rPr>
          <w:color w:val="000000"/>
          <w:spacing w:val="-3"/>
          <w:sz w:val="24"/>
          <w:szCs w:val="24"/>
        </w:rPr>
        <w:t>d</w:t>
      </w:r>
      <w:r w:rsidRPr="00B15134">
        <w:rPr>
          <w:color w:val="000000"/>
          <w:spacing w:val="-1"/>
          <w:sz w:val="24"/>
          <w:szCs w:val="24"/>
        </w:rPr>
        <w:t>ro</w:t>
      </w:r>
      <w:r w:rsidRPr="00B15134">
        <w:rPr>
          <w:color w:val="000000"/>
          <w:spacing w:val="-3"/>
          <w:sz w:val="24"/>
          <w:szCs w:val="24"/>
        </w:rPr>
        <w:t>xi</w:t>
      </w:r>
      <w:r w:rsidRPr="00B15134">
        <w:rPr>
          <w:color w:val="000000"/>
          <w:spacing w:val="-2"/>
          <w:sz w:val="24"/>
          <w:szCs w:val="24"/>
        </w:rPr>
        <w:t>z</w:t>
      </w:r>
      <w:r w:rsidRPr="00B15134">
        <w:rPr>
          <w:color w:val="000000"/>
          <w:sz w:val="24"/>
          <w:szCs w:val="24"/>
        </w:rPr>
        <w:t>in har</w:t>
      </w:r>
      <w:r w:rsidRPr="00B15134">
        <w:rPr>
          <w:color w:val="000000"/>
          <w:spacing w:val="-8"/>
          <w:sz w:val="24"/>
          <w:szCs w:val="24"/>
        </w:rPr>
        <w:t xml:space="preserve"> </w:t>
      </w:r>
      <w:r w:rsidRPr="00B15134">
        <w:rPr>
          <w:color w:val="000000"/>
          <w:sz w:val="24"/>
          <w:szCs w:val="24"/>
        </w:rPr>
        <w:t>a</w:t>
      </w:r>
      <w:r w:rsidRPr="00B15134">
        <w:rPr>
          <w:color w:val="000000"/>
          <w:spacing w:val="-3"/>
          <w:sz w:val="24"/>
          <w:szCs w:val="24"/>
        </w:rPr>
        <w:t>n</w:t>
      </w:r>
      <w:r w:rsidRPr="00B15134">
        <w:rPr>
          <w:color w:val="000000"/>
          <w:spacing w:val="-1"/>
          <w:sz w:val="24"/>
          <w:szCs w:val="24"/>
        </w:rPr>
        <w:t>t</w:t>
      </w:r>
      <w:r w:rsidRPr="00B15134">
        <w:rPr>
          <w:color w:val="000000"/>
          <w:sz w:val="24"/>
          <w:szCs w:val="24"/>
        </w:rPr>
        <w:t>ik</w:t>
      </w:r>
      <w:r w:rsidRPr="00B15134">
        <w:rPr>
          <w:color w:val="000000"/>
          <w:spacing w:val="-3"/>
          <w:sz w:val="24"/>
          <w:szCs w:val="24"/>
        </w:rPr>
        <w:t>o</w:t>
      </w:r>
      <w:r w:rsidRPr="00B15134">
        <w:rPr>
          <w:color w:val="000000"/>
          <w:sz w:val="24"/>
          <w:szCs w:val="24"/>
        </w:rPr>
        <w:t>lin</w:t>
      </w:r>
      <w:r w:rsidRPr="00B15134">
        <w:rPr>
          <w:color w:val="000000"/>
          <w:spacing w:val="1"/>
          <w:sz w:val="24"/>
          <w:szCs w:val="24"/>
        </w:rPr>
        <w:t>e</w:t>
      </w:r>
      <w:r w:rsidRPr="00B15134">
        <w:rPr>
          <w:color w:val="000000"/>
          <w:spacing w:val="-6"/>
          <w:sz w:val="24"/>
          <w:szCs w:val="24"/>
        </w:rPr>
        <w:t>r</w:t>
      </w:r>
      <w:r w:rsidRPr="00B15134">
        <w:rPr>
          <w:color w:val="000000"/>
          <w:sz w:val="24"/>
          <w:szCs w:val="24"/>
        </w:rPr>
        <w:t>g</w:t>
      </w:r>
      <w:r w:rsidRPr="00B15134">
        <w:rPr>
          <w:color w:val="000000"/>
          <w:spacing w:val="-4"/>
          <w:sz w:val="24"/>
          <w:szCs w:val="24"/>
        </w:rPr>
        <w:t xml:space="preserve"> </w:t>
      </w:r>
      <w:r w:rsidRPr="00B15134">
        <w:rPr>
          <w:color w:val="000000"/>
          <w:spacing w:val="-2"/>
          <w:sz w:val="24"/>
          <w:szCs w:val="24"/>
        </w:rPr>
        <w:t>e</w:t>
      </w:r>
      <w:r w:rsidRPr="00B15134">
        <w:rPr>
          <w:color w:val="000000"/>
          <w:spacing w:val="-1"/>
          <w:sz w:val="24"/>
          <w:szCs w:val="24"/>
        </w:rPr>
        <w:t>f</w:t>
      </w:r>
      <w:r w:rsidRPr="00B15134">
        <w:rPr>
          <w:color w:val="000000"/>
          <w:spacing w:val="-3"/>
          <w:sz w:val="24"/>
          <w:szCs w:val="24"/>
        </w:rPr>
        <w:t>f</w:t>
      </w:r>
      <w:r w:rsidRPr="00B15134">
        <w:rPr>
          <w:color w:val="000000"/>
          <w:sz w:val="24"/>
          <w:szCs w:val="24"/>
        </w:rPr>
        <w:t>ekt</w:t>
      </w:r>
      <w:r w:rsidRPr="00B15134">
        <w:rPr>
          <w:color w:val="000000"/>
          <w:spacing w:val="-7"/>
          <w:sz w:val="24"/>
          <w:szCs w:val="24"/>
        </w:rPr>
        <w:t xml:space="preserve"> </w:t>
      </w:r>
      <w:r w:rsidRPr="00B15134">
        <w:rPr>
          <w:color w:val="000000"/>
          <w:spacing w:val="-8"/>
          <w:sz w:val="24"/>
          <w:szCs w:val="24"/>
        </w:rPr>
        <w:t>v</w:t>
      </w:r>
      <w:r w:rsidRPr="00B15134">
        <w:rPr>
          <w:color w:val="000000"/>
          <w:sz w:val="24"/>
          <w:szCs w:val="24"/>
        </w:rPr>
        <w:t>a</w:t>
      </w:r>
      <w:r w:rsidRPr="00B15134">
        <w:rPr>
          <w:color w:val="000000"/>
          <w:spacing w:val="-6"/>
          <w:sz w:val="24"/>
          <w:szCs w:val="24"/>
        </w:rPr>
        <w:t>r</w:t>
      </w:r>
      <w:r w:rsidRPr="00B15134">
        <w:rPr>
          <w:color w:val="000000"/>
          <w:spacing w:val="1"/>
          <w:sz w:val="24"/>
          <w:szCs w:val="24"/>
        </w:rPr>
        <w:t>f</w:t>
      </w:r>
      <w:r w:rsidRPr="00B15134">
        <w:rPr>
          <w:color w:val="000000"/>
          <w:sz w:val="24"/>
          <w:szCs w:val="24"/>
        </w:rPr>
        <w:t>ör</w:t>
      </w:r>
      <w:r w:rsidRPr="00B15134">
        <w:rPr>
          <w:color w:val="000000"/>
          <w:spacing w:val="-6"/>
          <w:sz w:val="24"/>
          <w:szCs w:val="24"/>
        </w:rPr>
        <w:t xml:space="preserve"> </w:t>
      </w:r>
      <w:r w:rsidRPr="00B15134">
        <w:rPr>
          <w:color w:val="000000"/>
          <w:sz w:val="24"/>
          <w:szCs w:val="24"/>
        </w:rPr>
        <w:t>d</w:t>
      </w:r>
      <w:r w:rsidRPr="00B15134">
        <w:rPr>
          <w:color w:val="000000"/>
          <w:spacing w:val="-2"/>
          <w:sz w:val="24"/>
          <w:szCs w:val="24"/>
        </w:rPr>
        <w:t>e</w:t>
      </w:r>
      <w:r w:rsidRPr="00B15134">
        <w:rPr>
          <w:color w:val="000000"/>
          <w:sz w:val="24"/>
          <w:szCs w:val="24"/>
        </w:rPr>
        <w:t>t</w:t>
      </w:r>
      <w:r w:rsidRPr="00B15134">
        <w:rPr>
          <w:color w:val="000000"/>
          <w:spacing w:val="-6"/>
          <w:sz w:val="24"/>
          <w:szCs w:val="24"/>
        </w:rPr>
        <w:t xml:space="preserve"> </w:t>
      </w:r>
      <w:r w:rsidRPr="00B15134">
        <w:rPr>
          <w:color w:val="000000"/>
          <w:sz w:val="24"/>
          <w:szCs w:val="24"/>
        </w:rPr>
        <w:t>är</w:t>
      </w:r>
      <w:r w:rsidRPr="00B15134">
        <w:rPr>
          <w:color w:val="000000"/>
          <w:spacing w:val="-6"/>
          <w:sz w:val="24"/>
          <w:szCs w:val="24"/>
        </w:rPr>
        <w:t xml:space="preserve"> </w:t>
      </w:r>
      <w:r w:rsidRPr="00B15134">
        <w:rPr>
          <w:color w:val="000000"/>
          <w:spacing w:val="-2"/>
          <w:sz w:val="24"/>
          <w:szCs w:val="24"/>
        </w:rPr>
        <w:t>e</w:t>
      </w:r>
      <w:r w:rsidRPr="00B15134">
        <w:rPr>
          <w:color w:val="000000"/>
          <w:spacing w:val="-1"/>
          <w:sz w:val="24"/>
          <w:szCs w:val="24"/>
        </w:rPr>
        <w:t>t</w:t>
      </w:r>
      <w:r w:rsidRPr="00B15134">
        <w:rPr>
          <w:color w:val="000000"/>
          <w:sz w:val="24"/>
          <w:szCs w:val="24"/>
        </w:rPr>
        <w:t>t</w:t>
      </w:r>
      <w:r w:rsidRPr="00B15134">
        <w:rPr>
          <w:color w:val="000000"/>
          <w:spacing w:val="-8"/>
          <w:sz w:val="24"/>
          <w:szCs w:val="24"/>
        </w:rPr>
        <w:t xml:space="preserve"> </w:t>
      </w:r>
      <w:r w:rsidRPr="00B15134">
        <w:rPr>
          <w:color w:val="000000"/>
          <w:spacing w:val="-1"/>
          <w:sz w:val="24"/>
          <w:szCs w:val="24"/>
        </w:rPr>
        <w:t>o</w:t>
      </w:r>
      <w:r w:rsidRPr="00B15134">
        <w:rPr>
          <w:color w:val="000000"/>
          <w:spacing w:val="-3"/>
          <w:sz w:val="24"/>
          <w:szCs w:val="24"/>
        </w:rPr>
        <w:t>l</w:t>
      </w:r>
      <w:r w:rsidRPr="00B15134">
        <w:rPr>
          <w:color w:val="000000"/>
          <w:sz w:val="24"/>
          <w:szCs w:val="24"/>
        </w:rPr>
        <w:t>ä</w:t>
      </w:r>
      <w:r w:rsidRPr="00B15134">
        <w:rPr>
          <w:color w:val="000000"/>
          <w:spacing w:val="-3"/>
          <w:sz w:val="24"/>
          <w:szCs w:val="24"/>
        </w:rPr>
        <w:t>m</w:t>
      </w:r>
      <w:r w:rsidRPr="00B15134">
        <w:rPr>
          <w:color w:val="000000"/>
          <w:spacing w:val="-1"/>
          <w:sz w:val="24"/>
          <w:szCs w:val="24"/>
        </w:rPr>
        <w:t>p</w:t>
      </w:r>
      <w:r w:rsidRPr="00B15134">
        <w:rPr>
          <w:color w:val="000000"/>
          <w:spacing w:val="-3"/>
          <w:sz w:val="24"/>
          <w:szCs w:val="24"/>
        </w:rPr>
        <w:t>li</w:t>
      </w:r>
      <w:r w:rsidRPr="00B15134">
        <w:rPr>
          <w:color w:val="000000"/>
          <w:spacing w:val="-2"/>
          <w:sz w:val="24"/>
          <w:szCs w:val="24"/>
        </w:rPr>
        <w:t>g</w:t>
      </w:r>
      <w:r w:rsidRPr="00B15134">
        <w:rPr>
          <w:color w:val="000000"/>
          <w:sz w:val="24"/>
          <w:szCs w:val="24"/>
        </w:rPr>
        <w:t>t</w:t>
      </w:r>
      <w:r w:rsidRPr="00B15134">
        <w:rPr>
          <w:color w:val="000000"/>
          <w:spacing w:val="-5"/>
          <w:sz w:val="24"/>
          <w:szCs w:val="24"/>
        </w:rPr>
        <w:t xml:space="preserve"> </w:t>
      </w:r>
      <w:r w:rsidRPr="00B15134">
        <w:rPr>
          <w:color w:val="000000"/>
          <w:sz w:val="24"/>
          <w:szCs w:val="24"/>
        </w:rPr>
        <w:t>al</w:t>
      </w:r>
      <w:r w:rsidRPr="00B15134">
        <w:rPr>
          <w:color w:val="000000"/>
          <w:spacing w:val="-3"/>
          <w:sz w:val="24"/>
          <w:szCs w:val="24"/>
        </w:rPr>
        <w:t>t</w:t>
      </w:r>
      <w:r w:rsidRPr="00B15134">
        <w:rPr>
          <w:color w:val="000000"/>
          <w:sz w:val="24"/>
          <w:szCs w:val="24"/>
        </w:rPr>
        <w:t>e</w:t>
      </w:r>
      <w:r w:rsidRPr="00B15134">
        <w:rPr>
          <w:color w:val="000000"/>
          <w:spacing w:val="-1"/>
          <w:sz w:val="24"/>
          <w:szCs w:val="24"/>
        </w:rPr>
        <w:t>r</w:t>
      </w:r>
      <w:r w:rsidRPr="00B15134">
        <w:rPr>
          <w:color w:val="000000"/>
          <w:spacing w:val="-3"/>
          <w:sz w:val="24"/>
          <w:szCs w:val="24"/>
        </w:rPr>
        <w:t>n</w:t>
      </w:r>
      <w:r w:rsidRPr="00B15134">
        <w:rPr>
          <w:color w:val="000000"/>
          <w:spacing w:val="-2"/>
          <w:sz w:val="24"/>
          <w:szCs w:val="24"/>
        </w:rPr>
        <w:t>a</w:t>
      </w:r>
      <w:r w:rsidRPr="00B15134">
        <w:rPr>
          <w:color w:val="000000"/>
          <w:spacing w:val="-1"/>
          <w:sz w:val="24"/>
          <w:szCs w:val="24"/>
        </w:rPr>
        <w:t>t</w:t>
      </w:r>
      <w:r w:rsidRPr="00B15134">
        <w:rPr>
          <w:color w:val="000000"/>
          <w:sz w:val="24"/>
          <w:szCs w:val="24"/>
        </w:rPr>
        <w:t>iv</w:t>
      </w:r>
      <w:r w:rsidRPr="00B15134">
        <w:rPr>
          <w:color w:val="000000"/>
          <w:spacing w:val="-5"/>
          <w:sz w:val="24"/>
          <w:szCs w:val="24"/>
        </w:rPr>
        <w:t xml:space="preserve"> </w:t>
      </w:r>
      <w:r w:rsidRPr="00B15134">
        <w:rPr>
          <w:color w:val="000000"/>
          <w:spacing w:val="-3"/>
          <w:sz w:val="24"/>
          <w:szCs w:val="24"/>
        </w:rPr>
        <w:t>t</w:t>
      </w:r>
      <w:r w:rsidRPr="00B15134">
        <w:rPr>
          <w:color w:val="000000"/>
          <w:sz w:val="24"/>
          <w:szCs w:val="24"/>
        </w:rPr>
        <w:t>ill</w:t>
      </w:r>
      <w:r w:rsidRPr="00B15134">
        <w:rPr>
          <w:color w:val="000000"/>
          <w:spacing w:val="-7"/>
          <w:sz w:val="24"/>
          <w:szCs w:val="24"/>
        </w:rPr>
        <w:t xml:space="preserve"> </w:t>
      </w:r>
      <w:r w:rsidRPr="00B15134">
        <w:rPr>
          <w:color w:val="000000"/>
          <w:spacing w:val="-2"/>
          <w:sz w:val="24"/>
          <w:szCs w:val="24"/>
        </w:rPr>
        <w:t>ä</w:t>
      </w:r>
      <w:r w:rsidRPr="00B15134">
        <w:rPr>
          <w:color w:val="000000"/>
          <w:sz w:val="24"/>
          <w:szCs w:val="24"/>
        </w:rPr>
        <w:t>ld</w:t>
      </w:r>
      <w:r w:rsidRPr="00B15134">
        <w:rPr>
          <w:color w:val="000000"/>
          <w:spacing w:val="-1"/>
          <w:sz w:val="24"/>
          <w:szCs w:val="24"/>
        </w:rPr>
        <w:t>r</w:t>
      </w:r>
      <w:r w:rsidRPr="00B15134">
        <w:rPr>
          <w:color w:val="000000"/>
          <w:spacing w:val="-2"/>
          <w:sz w:val="24"/>
          <w:szCs w:val="24"/>
        </w:rPr>
        <w:t>e</w:t>
      </w:r>
      <w:r w:rsidRPr="00B15134">
        <w:rPr>
          <w:color w:val="000000"/>
          <w:sz w:val="24"/>
          <w:szCs w:val="24"/>
        </w:rPr>
        <w:t>.</w:t>
      </w:r>
      <w:r w:rsidRPr="00B15134">
        <w:rPr>
          <w:color w:val="000000"/>
          <w:spacing w:val="-6"/>
          <w:sz w:val="24"/>
          <w:szCs w:val="24"/>
        </w:rPr>
        <w:t xml:space="preserve"> </w:t>
      </w:r>
    </w:p>
    <w:p w14:paraId="1205B0AE" w14:textId="77777777" w:rsidR="00702564" w:rsidRPr="00B15134" w:rsidRDefault="00702564" w:rsidP="00702564">
      <w:pPr>
        <w:spacing w:before="120"/>
        <w:rPr>
          <w:sz w:val="24"/>
          <w:szCs w:val="24"/>
        </w:rPr>
      </w:pPr>
    </w:p>
    <w:p w14:paraId="7F57CDB0" w14:textId="77777777" w:rsidR="00702564" w:rsidRPr="00B15134" w:rsidRDefault="00702564" w:rsidP="00702564">
      <w:pPr>
        <w:spacing w:before="120"/>
        <w:rPr>
          <w:sz w:val="24"/>
          <w:szCs w:val="24"/>
        </w:rPr>
      </w:pPr>
      <w:r w:rsidRPr="3A20558F">
        <w:rPr>
          <w:rFonts w:cs="Garamond"/>
          <w:b/>
          <w:bCs/>
          <w:color w:val="211F1A"/>
          <w:sz w:val="24"/>
          <w:szCs w:val="24"/>
        </w:rPr>
        <w:t>Prometazin</w:t>
      </w:r>
      <w:r w:rsidRPr="00B15134">
        <w:rPr>
          <w:rFonts w:cs="Garamond"/>
          <w:b/>
          <w:bCs/>
          <w:spacing w:val="-14"/>
          <w:sz w:val="24"/>
          <w:szCs w:val="24"/>
        </w:rPr>
        <w:t xml:space="preserve"> </w:t>
      </w:r>
      <w:r w:rsidRPr="00B15134">
        <w:rPr>
          <w:spacing w:val="-1"/>
          <w:sz w:val="24"/>
          <w:szCs w:val="24"/>
        </w:rPr>
        <w:t>(</w:t>
      </w:r>
      <w:r w:rsidRPr="00B15134">
        <w:rPr>
          <w:rFonts w:cs="Garamond"/>
          <w:color w:val="211F1A"/>
          <w:sz w:val="24"/>
          <w:szCs w:val="24"/>
        </w:rPr>
        <w:t>Lergigan</w:t>
      </w:r>
      <w:r w:rsidRPr="00B15134">
        <w:rPr>
          <w:sz w:val="24"/>
          <w:szCs w:val="24"/>
        </w:rPr>
        <w:t>)</w:t>
      </w:r>
      <w:r w:rsidRPr="00B15134">
        <w:rPr>
          <w:spacing w:val="-13"/>
          <w:sz w:val="24"/>
          <w:szCs w:val="24"/>
        </w:rPr>
        <w:t xml:space="preserve"> </w:t>
      </w:r>
      <w:r w:rsidRPr="00B15134">
        <w:rPr>
          <w:sz w:val="24"/>
          <w:szCs w:val="24"/>
        </w:rPr>
        <w:t>är</w:t>
      </w:r>
      <w:r w:rsidRPr="00B15134">
        <w:rPr>
          <w:spacing w:val="-16"/>
          <w:sz w:val="24"/>
          <w:szCs w:val="24"/>
        </w:rPr>
        <w:t xml:space="preserve"> </w:t>
      </w:r>
      <w:r w:rsidRPr="00B15134">
        <w:rPr>
          <w:sz w:val="24"/>
          <w:szCs w:val="24"/>
        </w:rPr>
        <w:t>ett</w:t>
      </w:r>
      <w:r w:rsidRPr="00B15134">
        <w:rPr>
          <w:spacing w:val="-14"/>
          <w:sz w:val="24"/>
          <w:szCs w:val="24"/>
        </w:rPr>
        <w:t xml:space="preserve"> </w:t>
      </w:r>
      <w:r w:rsidRPr="00B15134">
        <w:rPr>
          <w:sz w:val="24"/>
          <w:szCs w:val="24"/>
        </w:rPr>
        <w:t>antihistamin (H1-antagonist)</w:t>
      </w:r>
      <w:r w:rsidRPr="00B15134">
        <w:rPr>
          <w:spacing w:val="-12"/>
          <w:sz w:val="24"/>
          <w:szCs w:val="24"/>
        </w:rPr>
        <w:t xml:space="preserve"> </w:t>
      </w:r>
      <w:r w:rsidRPr="00B15134">
        <w:rPr>
          <w:spacing w:val="-1"/>
          <w:sz w:val="24"/>
          <w:szCs w:val="24"/>
        </w:rPr>
        <w:t>m</w:t>
      </w:r>
      <w:r w:rsidRPr="00B15134">
        <w:rPr>
          <w:spacing w:val="-2"/>
          <w:sz w:val="24"/>
          <w:szCs w:val="24"/>
        </w:rPr>
        <w:t>e</w:t>
      </w:r>
      <w:r w:rsidRPr="00B15134">
        <w:rPr>
          <w:sz w:val="24"/>
          <w:szCs w:val="24"/>
        </w:rPr>
        <w:t>d</w:t>
      </w:r>
      <w:r w:rsidRPr="00B15134">
        <w:rPr>
          <w:spacing w:val="-14"/>
          <w:sz w:val="24"/>
          <w:szCs w:val="24"/>
        </w:rPr>
        <w:t xml:space="preserve"> </w:t>
      </w:r>
      <w:r w:rsidRPr="00B15134">
        <w:rPr>
          <w:spacing w:val="-2"/>
          <w:sz w:val="24"/>
          <w:szCs w:val="24"/>
        </w:rPr>
        <w:t>s</w:t>
      </w:r>
      <w:r w:rsidRPr="00B15134">
        <w:rPr>
          <w:sz w:val="24"/>
          <w:szCs w:val="24"/>
        </w:rPr>
        <w:t>e</w:t>
      </w:r>
      <w:r w:rsidRPr="00B15134">
        <w:rPr>
          <w:spacing w:val="-3"/>
          <w:sz w:val="24"/>
          <w:szCs w:val="24"/>
        </w:rPr>
        <w:t>d</w:t>
      </w:r>
      <w:r w:rsidRPr="00B15134">
        <w:rPr>
          <w:sz w:val="24"/>
          <w:szCs w:val="24"/>
        </w:rPr>
        <w:t>e</w:t>
      </w:r>
      <w:r w:rsidRPr="00B15134">
        <w:rPr>
          <w:spacing w:val="-6"/>
          <w:sz w:val="24"/>
          <w:szCs w:val="24"/>
        </w:rPr>
        <w:t>r</w:t>
      </w:r>
      <w:r w:rsidRPr="00B15134">
        <w:rPr>
          <w:sz w:val="24"/>
          <w:szCs w:val="24"/>
        </w:rPr>
        <w:t>a</w:t>
      </w:r>
      <w:r w:rsidRPr="00B15134">
        <w:rPr>
          <w:spacing w:val="-3"/>
          <w:sz w:val="24"/>
          <w:szCs w:val="24"/>
        </w:rPr>
        <w:t>n</w:t>
      </w:r>
      <w:r w:rsidRPr="00B15134">
        <w:rPr>
          <w:sz w:val="24"/>
          <w:szCs w:val="24"/>
        </w:rPr>
        <w:t>de</w:t>
      </w:r>
      <w:r w:rsidRPr="00B15134">
        <w:rPr>
          <w:spacing w:val="-9"/>
          <w:sz w:val="24"/>
          <w:szCs w:val="24"/>
        </w:rPr>
        <w:t xml:space="preserve"> </w:t>
      </w:r>
      <w:r w:rsidRPr="00B15134">
        <w:rPr>
          <w:spacing w:val="1"/>
          <w:sz w:val="24"/>
          <w:szCs w:val="24"/>
        </w:rPr>
        <w:t>e</w:t>
      </w:r>
      <w:r w:rsidRPr="00B15134">
        <w:rPr>
          <w:spacing w:val="-8"/>
          <w:sz w:val="24"/>
          <w:szCs w:val="24"/>
        </w:rPr>
        <w:t>g</w:t>
      </w:r>
      <w:r w:rsidRPr="00B15134">
        <w:rPr>
          <w:sz w:val="24"/>
          <w:szCs w:val="24"/>
        </w:rPr>
        <w:t>en</w:t>
      </w:r>
      <w:r w:rsidRPr="00B15134">
        <w:rPr>
          <w:spacing w:val="-2"/>
          <w:sz w:val="24"/>
          <w:szCs w:val="24"/>
        </w:rPr>
        <w:t>s</w:t>
      </w:r>
      <w:r w:rsidRPr="00B15134">
        <w:rPr>
          <w:spacing w:val="-3"/>
          <w:sz w:val="24"/>
          <w:szCs w:val="24"/>
        </w:rPr>
        <w:t>k</w:t>
      </w:r>
      <w:r w:rsidRPr="00B15134">
        <w:rPr>
          <w:spacing w:val="-2"/>
          <w:sz w:val="24"/>
          <w:szCs w:val="24"/>
        </w:rPr>
        <w:t>a</w:t>
      </w:r>
      <w:r w:rsidRPr="00B15134">
        <w:rPr>
          <w:spacing w:val="-3"/>
          <w:sz w:val="24"/>
          <w:szCs w:val="24"/>
        </w:rPr>
        <w:t>p</w:t>
      </w:r>
      <w:r w:rsidRPr="00B15134">
        <w:rPr>
          <w:sz w:val="24"/>
          <w:szCs w:val="24"/>
        </w:rPr>
        <w:t xml:space="preserve">er. </w:t>
      </w:r>
      <w:r w:rsidRPr="3A20558F">
        <w:rPr>
          <w:rFonts w:cs="Garamond"/>
          <w:color w:val="211F1A"/>
          <w:sz w:val="24"/>
          <w:szCs w:val="24"/>
        </w:rPr>
        <w:t>Prometazin</w:t>
      </w:r>
      <w:r w:rsidRPr="00B15134">
        <w:rPr>
          <w:spacing w:val="-10"/>
          <w:sz w:val="24"/>
          <w:szCs w:val="24"/>
        </w:rPr>
        <w:t xml:space="preserve"> </w:t>
      </w:r>
      <w:r w:rsidRPr="00B15134">
        <w:rPr>
          <w:sz w:val="24"/>
          <w:szCs w:val="24"/>
        </w:rPr>
        <w:t>är</w:t>
      </w:r>
      <w:r w:rsidRPr="00B15134">
        <w:rPr>
          <w:spacing w:val="-10"/>
          <w:sz w:val="24"/>
          <w:szCs w:val="24"/>
        </w:rPr>
        <w:t xml:space="preserve"> </w:t>
      </w:r>
      <w:r w:rsidRPr="00B15134">
        <w:rPr>
          <w:spacing w:val="-3"/>
          <w:sz w:val="24"/>
          <w:szCs w:val="24"/>
        </w:rPr>
        <w:t>i</w:t>
      </w:r>
      <w:r w:rsidRPr="00B15134">
        <w:rPr>
          <w:spacing w:val="-1"/>
          <w:sz w:val="24"/>
          <w:szCs w:val="24"/>
        </w:rPr>
        <w:t>n</w:t>
      </w:r>
      <w:r w:rsidRPr="00B15134">
        <w:rPr>
          <w:spacing w:val="-3"/>
          <w:sz w:val="24"/>
          <w:szCs w:val="24"/>
        </w:rPr>
        <w:t>t</w:t>
      </w:r>
      <w:r w:rsidRPr="00B15134">
        <w:rPr>
          <w:sz w:val="24"/>
          <w:szCs w:val="24"/>
        </w:rPr>
        <w:t>e</w:t>
      </w:r>
      <w:r w:rsidRPr="00B15134">
        <w:rPr>
          <w:spacing w:val="-8"/>
          <w:sz w:val="24"/>
          <w:szCs w:val="24"/>
        </w:rPr>
        <w:t xml:space="preserve"> </w:t>
      </w:r>
      <w:r w:rsidRPr="00B15134">
        <w:rPr>
          <w:spacing w:val="-3"/>
          <w:sz w:val="24"/>
          <w:szCs w:val="24"/>
        </w:rPr>
        <w:t>b</w:t>
      </w:r>
      <w:r w:rsidRPr="00B15134">
        <w:rPr>
          <w:sz w:val="24"/>
          <w:szCs w:val="24"/>
        </w:rPr>
        <w:t>e</w:t>
      </w:r>
      <w:r w:rsidRPr="00B15134">
        <w:rPr>
          <w:spacing w:val="-4"/>
          <w:sz w:val="24"/>
          <w:szCs w:val="24"/>
        </w:rPr>
        <w:t>r</w:t>
      </w:r>
      <w:r w:rsidRPr="00B15134">
        <w:rPr>
          <w:spacing w:val="-1"/>
          <w:sz w:val="24"/>
          <w:szCs w:val="24"/>
        </w:rPr>
        <w:t>o</w:t>
      </w:r>
      <w:r w:rsidRPr="00B15134">
        <w:rPr>
          <w:spacing w:val="-5"/>
          <w:sz w:val="24"/>
          <w:szCs w:val="24"/>
        </w:rPr>
        <w:t>e</w:t>
      </w:r>
      <w:r w:rsidRPr="00B15134">
        <w:rPr>
          <w:spacing w:val="-3"/>
          <w:sz w:val="24"/>
          <w:szCs w:val="24"/>
        </w:rPr>
        <w:t>n</w:t>
      </w:r>
      <w:r w:rsidRPr="00B15134">
        <w:rPr>
          <w:sz w:val="24"/>
          <w:szCs w:val="24"/>
        </w:rPr>
        <w:t>d</w:t>
      </w:r>
      <w:r w:rsidRPr="00B15134">
        <w:rPr>
          <w:spacing w:val="-2"/>
          <w:sz w:val="24"/>
          <w:szCs w:val="24"/>
        </w:rPr>
        <w:t>e</w:t>
      </w:r>
      <w:r w:rsidRPr="00B15134">
        <w:rPr>
          <w:spacing w:val="1"/>
          <w:sz w:val="24"/>
          <w:szCs w:val="24"/>
        </w:rPr>
        <w:t>f</w:t>
      </w:r>
      <w:r w:rsidRPr="00B15134">
        <w:rPr>
          <w:spacing w:val="-1"/>
          <w:sz w:val="24"/>
          <w:szCs w:val="24"/>
        </w:rPr>
        <w:t>r</w:t>
      </w:r>
      <w:r w:rsidRPr="00B15134">
        <w:rPr>
          <w:spacing w:val="-2"/>
          <w:sz w:val="24"/>
          <w:szCs w:val="24"/>
        </w:rPr>
        <w:t>a</w:t>
      </w:r>
      <w:r w:rsidRPr="00B15134">
        <w:rPr>
          <w:spacing w:val="-1"/>
          <w:sz w:val="24"/>
          <w:szCs w:val="24"/>
        </w:rPr>
        <w:t>m</w:t>
      </w:r>
      <w:r w:rsidRPr="00B15134">
        <w:rPr>
          <w:spacing w:val="-6"/>
          <w:sz w:val="24"/>
          <w:szCs w:val="24"/>
        </w:rPr>
        <w:t>k</w:t>
      </w:r>
      <w:r w:rsidRPr="00B15134">
        <w:rPr>
          <w:sz w:val="24"/>
          <w:szCs w:val="24"/>
        </w:rPr>
        <w:t>a</w:t>
      </w:r>
      <w:r w:rsidRPr="00B15134">
        <w:rPr>
          <w:spacing w:val="-3"/>
          <w:sz w:val="24"/>
          <w:szCs w:val="24"/>
        </w:rPr>
        <w:t>ll</w:t>
      </w:r>
      <w:r w:rsidRPr="00B15134">
        <w:rPr>
          <w:sz w:val="24"/>
          <w:szCs w:val="24"/>
        </w:rPr>
        <w:t>a</w:t>
      </w:r>
      <w:r w:rsidRPr="00B15134">
        <w:rPr>
          <w:spacing w:val="-1"/>
          <w:sz w:val="24"/>
          <w:szCs w:val="24"/>
        </w:rPr>
        <w:t>n</w:t>
      </w:r>
      <w:r w:rsidRPr="00B15134">
        <w:rPr>
          <w:spacing w:val="-5"/>
          <w:sz w:val="24"/>
          <w:szCs w:val="24"/>
        </w:rPr>
        <w:t>d</w:t>
      </w:r>
      <w:r w:rsidRPr="00B15134">
        <w:rPr>
          <w:sz w:val="24"/>
          <w:szCs w:val="24"/>
        </w:rPr>
        <w:t>e.</w:t>
      </w:r>
      <w:r w:rsidRPr="00B15134">
        <w:rPr>
          <w:spacing w:val="-9"/>
          <w:sz w:val="24"/>
          <w:szCs w:val="24"/>
        </w:rPr>
        <w:t xml:space="preserve"> </w:t>
      </w:r>
      <w:r w:rsidRPr="00B15134">
        <w:rPr>
          <w:color w:val="000000"/>
          <w:spacing w:val="-3"/>
          <w:sz w:val="24"/>
          <w:szCs w:val="24"/>
        </w:rPr>
        <w:t>D</w:t>
      </w:r>
      <w:r w:rsidRPr="00B15134">
        <w:rPr>
          <w:color w:val="000000"/>
          <w:spacing w:val="-8"/>
          <w:sz w:val="24"/>
          <w:szCs w:val="24"/>
        </w:rPr>
        <w:t>e</w:t>
      </w:r>
      <w:r w:rsidRPr="00B15134">
        <w:rPr>
          <w:color w:val="000000"/>
          <w:sz w:val="24"/>
          <w:szCs w:val="24"/>
        </w:rPr>
        <w:t>n</w:t>
      </w:r>
      <w:r w:rsidRPr="00B15134">
        <w:rPr>
          <w:color w:val="000000"/>
          <w:spacing w:val="-9"/>
          <w:sz w:val="24"/>
          <w:szCs w:val="24"/>
        </w:rPr>
        <w:t xml:space="preserve"> </w:t>
      </w:r>
      <w:r w:rsidRPr="00B15134">
        <w:rPr>
          <w:color w:val="000000"/>
          <w:spacing w:val="-3"/>
          <w:sz w:val="24"/>
          <w:szCs w:val="24"/>
        </w:rPr>
        <w:t>v</w:t>
      </w:r>
      <w:r w:rsidRPr="00B15134">
        <w:rPr>
          <w:color w:val="000000"/>
          <w:spacing w:val="1"/>
          <w:sz w:val="24"/>
          <w:szCs w:val="24"/>
        </w:rPr>
        <w:t>a</w:t>
      </w:r>
      <w:r w:rsidRPr="00B15134">
        <w:rPr>
          <w:color w:val="000000"/>
          <w:spacing w:val="-1"/>
          <w:sz w:val="24"/>
          <w:szCs w:val="24"/>
        </w:rPr>
        <w:t>n</w:t>
      </w:r>
      <w:r w:rsidRPr="00B15134">
        <w:rPr>
          <w:color w:val="000000"/>
          <w:sz w:val="24"/>
          <w:szCs w:val="24"/>
        </w:rPr>
        <w:t>li</w:t>
      </w:r>
      <w:r w:rsidRPr="00B15134">
        <w:rPr>
          <w:color w:val="000000"/>
          <w:spacing w:val="-8"/>
          <w:sz w:val="24"/>
          <w:szCs w:val="24"/>
        </w:rPr>
        <w:t>g</w:t>
      </w:r>
      <w:r w:rsidRPr="00B15134">
        <w:rPr>
          <w:color w:val="000000"/>
          <w:sz w:val="24"/>
          <w:szCs w:val="24"/>
        </w:rPr>
        <w:t>a</w:t>
      </w:r>
      <w:r w:rsidRPr="00B15134">
        <w:rPr>
          <w:color w:val="000000"/>
          <w:spacing w:val="-2"/>
          <w:sz w:val="24"/>
          <w:szCs w:val="24"/>
        </w:rPr>
        <w:t>s</w:t>
      </w:r>
      <w:r w:rsidRPr="00B15134">
        <w:rPr>
          <w:color w:val="000000"/>
          <w:spacing w:val="-1"/>
          <w:sz w:val="24"/>
          <w:szCs w:val="24"/>
        </w:rPr>
        <w:t>t</w:t>
      </w:r>
      <w:r w:rsidRPr="00B15134">
        <w:rPr>
          <w:color w:val="000000"/>
          <w:sz w:val="24"/>
          <w:szCs w:val="24"/>
        </w:rPr>
        <w:t>e</w:t>
      </w:r>
      <w:r w:rsidRPr="00B15134">
        <w:rPr>
          <w:color w:val="000000"/>
          <w:spacing w:val="-7"/>
          <w:sz w:val="24"/>
          <w:szCs w:val="24"/>
        </w:rPr>
        <w:t xml:space="preserve"> </w:t>
      </w:r>
      <w:r w:rsidRPr="00B15134">
        <w:rPr>
          <w:color w:val="000000"/>
          <w:spacing w:val="-3"/>
          <w:sz w:val="24"/>
          <w:szCs w:val="24"/>
        </w:rPr>
        <w:t>b</w:t>
      </w:r>
      <w:r w:rsidRPr="00B15134">
        <w:rPr>
          <w:color w:val="000000"/>
          <w:sz w:val="24"/>
          <w:szCs w:val="24"/>
        </w:rPr>
        <w:t>i</w:t>
      </w:r>
      <w:r w:rsidRPr="00B15134">
        <w:rPr>
          <w:color w:val="000000"/>
          <w:spacing w:val="-3"/>
          <w:sz w:val="24"/>
          <w:szCs w:val="24"/>
        </w:rPr>
        <w:t>v</w:t>
      </w:r>
      <w:r w:rsidRPr="00B15134">
        <w:rPr>
          <w:color w:val="000000"/>
          <w:sz w:val="24"/>
          <w:szCs w:val="24"/>
        </w:rPr>
        <w:t>e</w:t>
      </w:r>
      <w:r w:rsidRPr="00B15134">
        <w:rPr>
          <w:color w:val="000000"/>
          <w:spacing w:val="-1"/>
          <w:sz w:val="24"/>
          <w:szCs w:val="24"/>
        </w:rPr>
        <w:t>r</w:t>
      </w:r>
      <w:r w:rsidRPr="00B15134">
        <w:rPr>
          <w:color w:val="000000"/>
          <w:spacing w:val="-6"/>
          <w:sz w:val="24"/>
          <w:szCs w:val="24"/>
        </w:rPr>
        <w:t>k</w:t>
      </w:r>
      <w:r w:rsidRPr="00B15134">
        <w:rPr>
          <w:color w:val="000000"/>
          <w:sz w:val="24"/>
          <w:szCs w:val="24"/>
        </w:rPr>
        <w:t>an</w:t>
      </w:r>
      <w:r w:rsidRPr="00B15134">
        <w:rPr>
          <w:color w:val="000000"/>
          <w:spacing w:val="-9"/>
          <w:sz w:val="24"/>
          <w:szCs w:val="24"/>
        </w:rPr>
        <w:t xml:space="preserve"> </w:t>
      </w:r>
      <w:r w:rsidRPr="00B15134">
        <w:rPr>
          <w:color w:val="000000"/>
          <w:sz w:val="24"/>
          <w:szCs w:val="24"/>
        </w:rPr>
        <w:t>är</w:t>
      </w:r>
      <w:r w:rsidRPr="00B15134">
        <w:rPr>
          <w:color w:val="000000"/>
          <w:spacing w:val="-9"/>
          <w:sz w:val="24"/>
          <w:szCs w:val="24"/>
        </w:rPr>
        <w:t xml:space="preserve"> </w:t>
      </w:r>
      <w:r w:rsidRPr="00B15134">
        <w:rPr>
          <w:color w:val="000000"/>
          <w:spacing w:val="-1"/>
          <w:sz w:val="24"/>
          <w:szCs w:val="24"/>
        </w:rPr>
        <w:t>t</w:t>
      </w:r>
      <w:r w:rsidRPr="00B15134">
        <w:rPr>
          <w:color w:val="000000"/>
          <w:spacing w:val="-6"/>
          <w:sz w:val="24"/>
          <w:szCs w:val="24"/>
        </w:rPr>
        <w:t>r</w:t>
      </w:r>
      <w:r w:rsidRPr="00B15134">
        <w:rPr>
          <w:color w:val="000000"/>
          <w:spacing w:val="-3"/>
          <w:sz w:val="24"/>
          <w:szCs w:val="24"/>
        </w:rPr>
        <w:t>ö</w:t>
      </w:r>
      <w:r w:rsidRPr="00B15134">
        <w:rPr>
          <w:color w:val="000000"/>
          <w:spacing w:val="-1"/>
          <w:sz w:val="24"/>
          <w:szCs w:val="24"/>
        </w:rPr>
        <w:t>tt</w:t>
      </w:r>
      <w:r w:rsidRPr="00B15134">
        <w:rPr>
          <w:color w:val="000000"/>
          <w:spacing w:val="-3"/>
          <w:sz w:val="24"/>
          <w:szCs w:val="24"/>
        </w:rPr>
        <w:t>h</w:t>
      </w:r>
      <w:r w:rsidRPr="00B15134">
        <w:rPr>
          <w:color w:val="000000"/>
          <w:sz w:val="24"/>
          <w:szCs w:val="24"/>
        </w:rPr>
        <w:t>et och</w:t>
      </w:r>
      <w:r w:rsidRPr="00B15134">
        <w:rPr>
          <w:color w:val="000000"/>
          <w:spacing w:val="-10"/>
          <w:sz w:val="24"/>
          <w:szCs w:val="24"/>
        </w:rPr>
        <w:t xml:space="preserve"> </w:t>
      </w:r>
      <w:r w:rsidRPr="00B15134">
        <w:rPr>
          <w:color w:val="000000"/>
          <w:spacing w:val="-1"/>
          <w:sz w:val="24"/>
          <w:szCs w:val="24"/>
        </w:rPr>
        <w:t>m</w:t>
      </w:r>
      <w:r w:rsidRPr="00B15134">
        <w:rPr>
          <w:color w:val="000000"/>
          <w:sz w:val="24"/>
          <w:szCs w:val="24"/>
        </w:rPr>
        <w:t>u</w:t>
      </w:r>
      <w:r w:rsidRPr="00B15134">
        <w:rPr>
          <w:color w:val="000000"/>
          <w:spacing w:val="-5"/>
          <w:sz w:val="24"/>
          <w:szCs w:val="24"/>
        </w:rPr>
        <w:t>n</w:t>
      </w:r>
      <w:r w:rsidRPr="00B15134">
        <w:rPr>
          <w:color w:val="000000"/>
          <w:spacing w:val="-1"/>
          <w:sz w:val="24"/>
          <w:szCs w:val="24"/>
        </w:rPr>
        <w:t>torr</w:t>
      </w:r>
      <w:r w:rsidRPr="00B15134">
        <w:rPr>
          <w:color w:val="000000"/>
          <w:sz w:val="24"/>
          <w:szCs w:val="24"/>
        </w:rPr>
        <w:t>het. Obstipation och urinretention</w:t>
      </w:r>
      <w:r w:rsidRPr="00B15134">
        <w:rPr>
          <w:color w:val="000000"/>
          <w:spacing w:val="-14"/>
          <w:sz w:val="24"/>
          <w:szCs w:val="24"/>
        </w:rPr>
        <w:t xml:space="preserve"> </w:t>
      </w:r>
      <w:r w:rsidRPr="00B15134">
        <w:rPr>
          <w:color w:val="000000"/>
          <w:spacing w:val="-1"/>
          <w:sz w:val="24"/>
          <w:szCs w:val="24"/>
        </w:rPr>
        <w:t>f</w:t>
      </w:r>
      <w:r w:rsidRPr="00B15134">
        <w:rPr>
          <w:color w:val="000000"/>
          <w:sz w:val="24"/>
          <w:szCs w:val="24"/>
        </w:rPr>
        <w:t>ö</w:t>
      </w:r>
      <w:r w:rsidRPr="00B15134">
        <w:rPr>
          <w:color w:val="000000"/>
          <w:spacing w:val="-1"/>
          <w:sz w:val="24"/>
          <w:szCs w:val="24"/>
        </w:rPr>
        <w:t>r</w:t>
      </w:r>
      <w:r w:rsidRPr="00B15134">
        <w:rPr>
          <w:color w:val="000000"/>
          <w:spacing w:val="-2"/>
          <w:sz w:val="24"/>
          <w:szCs w:val="24"/>
        </w:rPr>
        <w:t>e</w:t>
      </w:r>
      <w:r w:rsidRPr="00B15134">
        <w:rPr>
          <w:color w:val="000000"/>
          <w:spacing w:val="-3"/>
          <w:sz w:val="24"/>
          <w:szCs w:val="24"/>
        </w:rPr>
        <w:t>k</w:t>
      </w:r>
      <w:r w:rsidRPr="00B15134">
        <w:rPr>
          <w:color w:val="000000"/>
          <w:spacing w:val="-5"/>
          <w:sz w:val="24"/>
          <w:szCs w:val="24"/>
        </w:rPr>
        <w:t>o</w:t>
      </w:r>
      <w:r w:rsidRPr="00B15134">
        <w:rPr>
          <w:color w:val="000000"/>
          <w:spacing w:val="-1"/>
          <w:sz w:val="24"/>
          <w:szCs w:val="24"/>
        </w:rPr>
        <w:t>mm</w:t>
      </w:r>
      <w:r w:rsidRPr="00B15134">
        <w:rPr>
          <w:color w:val="000000"/>
          <w:spacing w:val="-2"/>
          <w:sz w:val="24"/>
          <w:szCs w:val="24"/>
        </w:rPr>
        <w:t>e</w:t>
      </w:r>
      <w:r w:rsidRPr="00B15134">
        <w:rPr>
          <w:color w:val="000000"/>
          <w:spacing w:val="-1"/>
          <w:sz w:val="24"/>
          <w:szCs w:val="24"/>
        </w:rPr>
        <w:t>r också.</w:t>
      </w:r>
      <w:r w:rsidRPr="00B15134">
        <w:rPr>
          <w:spacing w:val="-2"/>
          <w:sz w:val="24"/>
          <w:szCs w:val="24"/>
        </w:rPr>
        <w:t xml:space="preserve"> Då</w:t>
      </w:r>
      <w:r w:rsidRPr="00B15134">
        <w:rPr>
          <w:spacing w:val="-12"/>
          <w:sz w:val="24"/>
          <w:szCs w:val="24"/>
        </w:rPr>
        <w:t xml:space="preserve"> </w:t>
      </w:r>
      <w:r w:rsidRPr="3A20558F">
        <w:rPr>
          <w:rFonts w:cs="Garamond"/>
          <w:color w:val="211F1A"/>
          <w:sz w:val="24"/>
          <w:szCs w:val="24"/>
        </w:rPr>
        <w:t>prometazin</w:t>
      </w:r>
      <w:r w:rsidRPr="00B15134">
        <w:rPr>
          <w:spacing w:val="-9"/>
          <w:sz w:val="24"/>
          <w:szCs w:val="24"/>
        </w:rPr>
        <w:t xml:space="preserve"> </w:t>
      </w:r>
      <w:r w:rsidRPr="00B15134">
        <w:rPr>
          <w:spacing w:val="-5"/>
          <w:sz w:val="24"/>
          <w:szCs w:val="24"/>
        </w:rPr>
        <w:t>h</w:t>
      </w:r>
      <w:r w:rsidRPr="00B15134">
        <w:rPr>
          <w:sz w:val="24"/>
          <w:szCs w:val="24"/>
        </w:rPr>
        <w:t>ar</w:t>
      </w:r>
      <w:r w:rsidRPr="00B15134">
        <w:rPr>
          <w:spacing w:val="-11"/>
          <w:sz w:val="24"/>
          <w:szCs w:val="24"/>
        </w:rPr>
        <w:t xml:space="preserve"> </w:t>
      </w:r>
      <w:r w:rsidRPr="00B15134">
        <w:rPr>
          <w:sz w:val="24"/>
          <w:szCs w:val="24"/>
        </w:rPr>
        <w:t>antiko</w:t>
      </w:r>
      <w:r w:rsidRPr="00B15134">
        <w:rPr>
          <w:spacing w:val="-3"/>
          <w:sz w:val="24"/>
          <w:szCs w:val="24"/>
        </w:rPr>
        <w:t>l</w:t>
      </w:r>
      <w:r w:rsidRPr="00B15134">
        <w:rPr>
          <w:sz w:val="24"/>
          <w:szCs w:val="24"/>
        </w:rPr>
        <w:t>i</w:t>
      </w:r>
      <w:r w:rsidRPr="00B15134">
        <w:rPr>
          <w:spacing w:val="-5"/>
          <w:sz w:val="24"/>
          <w:szCs w:val="24"/>
        </w:rPr>
        <w:t>n</w:t>
      </w:r>
      <w:r w:rsidRPr="00B15134">
        <w:rPr>
          <w:sz w:val="24"/>
          <w:szCs w:val="24"/>
        </w:rPr>
        <w:t>e</w:t>
      </w:r>
      <w:r w:rsidRPr="00B15134">
        <w:rPr>
          <w:spacing w:val="-1"/>
          <w:sz w:val="24"/>
          <w:szCs w:val="24"/>
        </w:rPr>
        <w:t>r</w:t>
      </w:r>
      <w:r w:rsidRPr="00B15134">
        <w:rPr>
          <w:spacing w:val="-2"/>
          <w:sz w:val="24"/>
          <w:szCs w:val="24"/>
        </w:rPr>
        <w:t>g</w:t>
      </w:r>
      <w:r w:rsidRPr="00B15134">
        <w:rPr>
          <w:sz w:val="24"/>
          <w:szCs w:val="24"/>
        </w:rPr>
        <w:t>a</w:t>
      </w:r>
      <w:r w:rsidRPr="00B15134">
        <w:rPr>
          <w:spacing w:val="-11"/>
          <w:sz w:val="24"/>
          <w:szCs w:val="24"/>
        </w:rPr>
        <w:t xml:space="preserve"> </w:t>
      </w:r>
      <w:r w:rsidRPr="00B15134">
        <w:rPr>
          <w:spacing w:val="-2"/>
          <w:sz w:val="24"/>
          <w:szCs w:val="24"/>
        </w:rPr>
        <w:t>eg</w:t>
      </w:r>
      <w:r w:rsidRPr="00B15134">
        <w:rPr>
          <w:sz w:val="24"/>
          <w:szCs w:val="24"/>
        </w:rPr>
        <w:t>en</w:t>
      </w:r>
      <w:r w:rsidRPr="00B15134">
        <w:rPr>
          <w:spacing w:val="-2"/>
          <w:sz w:val="24"/>
          <w:szCs w:val="24"/>
        </w:rPr>
        <w:t>s</w:t>
      </w:r>
      <w:r w:rsidRPr="00B15134">
        <w:rPr>
          <w:sz w:val="24"/>
          <w:szCs w:val="24"/>
        </w:rPr>
        <w:t>k</w:t>
      </w:r>
      <w:r w:rsidRPr="00B15134">
        <w:rPr>
          <w:spacing w:val="-2"/>
          <w:sz w:val="24"/>
          <w:szCs w:val="24"/>
        </w:rPr>
        <w:t>a</w:t>
      </w:r>
      <w:r w:rsidRPr="00B15134">
        <w:rPr>
          <w:sz w:val="24"/>
          <w:szCs w:val="24"/>
        </w:rPr>
        <w:t>per</w:t>
      </w:r>
      <w:r w:rsidRPr="00B15134">
        <w:rPr>
          <w:spacing w:val="-12"/>
          <w:sz w:val="24"/>
          <w:szCs w:val="24"/>
        </w:rPr>
        <w:t xml:space="preserve"> </w:t>
      </w:r>
      <w:r w:rsidRPr="00B15134">
        <w:rPr>
          <w:sz w:val="24"/>
          <w:szCs w:val="24"/>
        </w:rPr>
        <w:t>är det ol</w:t>
      </w:r>
      <w:r w:rsidRPr="00B15134">
        <w:rPr>
          <w:spacing w:val="-2"/>
          <w:sz w:val="24"/>
          <w:szCs w:val="24"/>
        </w:rPr>
        <w:t>ä</w:t>
      </w:r>
      <w:r w:rsidRPr="00B15134">
        <w:rPr>
          <w:spacing w:val="-1"/>
          <w:sz w:val="24"/>
          <w:szCs w:val="24"/>
        </w:rPr>
        <w:t>m</w:t>
      </w:r>
      <w:r w:rsidRPr="00B15134">
        <w:rPr>
          <w:spacing w:val="-3"/>
          <w:sz w:val="24"/>
          <w:szCs w:val="24"/>
        </w:rPr>
        <w:t>pl</w:t>
      </w:r>
      <w:r w:rsidRPr="00B15134">
        <w:rPr>
          <w:sz w:val="24"/>
          <w:szCs w:val="24"/>
        </w:rPr>
        <w:t>i</w:t>
      </w:r>
      <w:r w:rsidRPr="00B15134">
        <w:rPr>
          <w:spacing w:val="-2"/>
          <w:sz w:val="24"/>
          <w:szCs w:val="24"/>
        </w:rPr>
        <w:t>g</w:t>
      </w:r>
      <w:r w:rsidRPr="00B15134">
        <w:rPr>
          <w:sz w:val="24"/>
          <w:szCs w:val="24"/>
        </w:rPr>
        <w:t>t</w:t>
      </w:r>
      <w:r w:rsidRPr="00B15134">
        <w:rPr>
          <w:spacing w:val="-6"/>
          <w:sz w:val="24"/>
          <w:szCs w:val="24"/>
        </w:rPr>
        <w:t xml:space="preserve"> </w:t>
      </w:r>
      <w:r w:rsidRPr="00B15134">
        <w:rPr>
          <w:spacing w:val="-1"/>
          <w:sz w:val="24"/>
          <w:szCs w:val="24"/>
        </w:rPr>
        <w:t>t</w:t>
      </w:r>
      <w:r w:rsidRPr="00B15134">
        <w:rPr>
          <w:sz w:val="24"/>
          <w:szCs w:val="24"/>
        </w:rPr>
        <w:t>ill</w:t>
      </w:r>
      <w:r w:rsidRPr="00B15134">
        <w:rPr>
          <w:spacing w:val="-9"/>
          <w:sz w:val="24"/>
          <w:szCs w:val="24"/>
        </w:rPr>
        <w:t xml:space="preserve"> </w:t>
      </w:r>
      <w:r w:rsidRPr="00B15134">
        <w:rPr>
          <w:sz w:val="24"/>
          <w:szCs w:val="24"/>
        </w:rPr>
        <w:t>äld</w:t>
      </w:r>
      <w:r w:rsidRPr="00B15134">
        <w:rPr>
          <w:spacing w:val="-6"/>
          <w:sz w:val="24"/>
          <w:szCs w:val="24"/>
        </w:rPr>
        <w:t>r</w:t>
      </w:r>
      <w:r w:rsidRPr="00B15134">
        <w:rPr>
          <w:sz w:val="24"/>
          <w:szCs w:val="24"/>
        </w:rPr>
        <w:t>e.</w:t>
      </w:r>
      <w:r w:rsidRPr="00B15134">
        <w:rPr>
          <w:spacing w:val="-8"/>
          <w:sz w:val="24"/>
          <w:szCs w:val="24"/>
        </w:rPr>
        <w:t xml:space="preserve"> </w:t>
      </w:r>
      <w:r w:rsidRPr="00B15134">
        <w:rPr>
          <w:spacing w:val="-6"/>
          <w:sz w:val="24"/>
          <w:szCs w:val="24"/>
        </w:rPr>
        <w:t>R</w:t>
      </w:r>
      <w:r w:rsidRPr="00B15134">
        <w:rPr>
          <w:sz w:val="24"/>
          <w:szCs w:val="24"/>
        </w:rPr>
        <w:t>ek</w:t>
      </w:r>
      <w:r w:rsidRPr="00B15134">
        <w:rPr>
          <w:spacing w:val="-2"/>
          <w:sz w:val="24"/>
          <w:szCs w:val="24"/>
        </w:rPr>
        <w:t>o</w:t>
      </w:r>
      <w:r w:rsidRPr="00B15134">
        <w:rPr>
          <w:spacing w:val="-1"/>
          <w:sz w:val="24"/>
          <w:szCs w:val="24"/>
        </w:rPr>
        <w:t>mm</w:t>
      </w:r>
      <w:r w:rsidRPr="00B15134">
        <w:rPr>
          <w:sz w:val="24"/>
          <w:szCs w:val="24"/>
        </w:rPr>
        <w:t>e</w:t>
      </w:r>
      <w:r w:rsidRPr="00B15134">
        <w:rPr>
          <w:spacing w:val="-3"/>
          <w:sz w:val="24"/>
          <w:szCs w:val="24"/>
        </w:rPr>
        <w:t>nd</w:t>
      </w:r>
      <w:r w:rsidRPr="00B15134">
        <w:rPr>
          <w:sz w:val="24"/>
          <w:szCs w:val="24"/>
        </w:rPr>
        <w:t>e</w:t>
      </w:r>
      <w:r w:rsidRPr="00B15134">
        <w:rPr>
          <w:spacing w:val="-1"/>
          <w:sz w:val="24"/>
          <w:szCs w:val="24"/>
        </w:rPr>
        <w:t>r</w:t>
      </w:r>
      <w:r w:rsidRPr="00B15134">
        <w:rPr>
          <w:spacing w:val="-2"/>
          <w:sz w:val="24"/>
          <w:szCs w:val="24"/>
        </w:rPr>
        <w:t>a</w:t>
      </w:r>
      <w:r w:rsidRPr="00B15134">
        <w:rPr>
          <w:sz w:val="24"/>
          <w:szCs w:val="24"/>
        </w:rPr>
        <w:t>d</w:t>
      </w:r>
      <w:r w:rsidRPr="00B15134">
        <w:rPr>
          <w:spacing w:val="-8"/>
          <w:sz w:val="24"/>
          <w:szCs w:val="24"/>
        </w:rPr>
        <w:t xml:space="preserve"> </w:t>
      </w:r>
      <w:r w:rsidRPr="00B15134">
        <w:rPr>
          <w:spacing w:val="-3"/>
          <w:sz w:val="24"/>
          <w:szCs w:val="24"/>
        </w:rPr>
        <w:t>d</w:t>
      </w:r>
      <w:r w:rsidRPr="00B15134">
        <w:rPr>
          <w:spacing w:val="-1"/>
          <w:sz w:val="24"/>
          <w:szCs w:val="24"/>
        </w:rPr>
        <w:t>o</w:t>
      </w:r>
      <w:r w:rsidRPr="00B15134">
        <w:rPr>
          <w:spacing w:val="-2"/>
          <w:sz w:val="24"/>
          <w:szCs w:val="24"/>
        </w:rPr>
        <w:t>s</w:t>
      </w:r>
      <w:r w:rsidRPr="00B15134">
        <w:rPr>
          <w:sz w:val="24"/>
          <w:szCs w:val="24"/>
        </w:rPr>
        <w:t>e</w:t>
      </w:r>
      <w:r w:rsidRPr="00B15134">
        <w:rPr>
          <w:spacing w:val="-6"/>
          <w:sz w:val="24"/>
          <w:szCs w:val="24"/>
        </w:rPr>
        <w:t>r</w:t>
      </w:r>
      <w:r w:rsidRPr="00B15134">
        <w:rPr>
          <w:sz w:val="24"/>
          <w:szCs w:val="24"/>
        </w:rPr>
        <w:t>ing</w:t>
      </w:r>
      <w:r w:rsidRPr="00B15134">
        <w:rPr>
          <w:spacing w:val="-5"/>
          <w:sz w:val="24"/>
          <w:szCs w:val="24"/>
        </w:rPr>
        <w:t xml:space="preserve"> </w:t>
      </w:r>
      <w:r w:rsidRPr="00B15134">
        <w:rPr>
          <w:spacing w:val="-2"/>
          <w:sz w:val="24"/>
          <w:szCs w:val="24"/>
        </w:rPr>
        <w:t>ä</w:t>
      </w:r>
      <w:r w:rsidRPr="00B15134">
        <w:rPr>
          <w:sz w:val="24"/>
          <w:szCs w:val="24"/>
        </w:rPr>
        <w:t>r</w:t>
      </w:r>
      <w:r w:rsidRPr="00B15134">
        <w:rPr>
          <w:spacing w:val="-9"/>
          <w:sz w:val="24"/>
          <w:szCs w:val="24"/>
        </w:rPr>
        <w:t xml:space="preserve"> </w:t>
      </w:r>
      <w:r w:rsidRPr="00B15134">
        <w:rPr>
          <w:sz w:val="24"/>
          <w:szCs w:val="24"/>
        </w:rPr>
        <w:t>10–50</w:t>
      </w:r>
      <w:r w:rsidRPr="00B15134">
        <w:rPr>
          <w:spacing w:val="-5"/>
          <w:sz w:val="24"/>
          <w:szCs w:val="24"/>
        </w:rPr>
        <w:t> </w:t>
      </w:r>
      <w:r w:rsidRPr="00B15134">
        <w:rPr>
          <w:spacing w:val="-1"/>
          <w:sz w:val="24"/>
          <w:szCs w:val="24"/>
        </w:rPr>
        <w:t>m</w:t>
      </w:r>
      <w:r w:rsidRPr="00B15134">
        <w:rPr>
          <w:sz w:val="24"/>
          <w:szCs w:val="24"/>
        </w:rPr>
        <w:t>g 1</w:t>
      </w:r>
      <w:r w:rsidRPr="00B15134">
        <w:rPr>
          <w:spacing w:val="-9"/>
          <w:sz w:val="24"/>
          <w:szCs w:val="24"/>
        </w:rPr>
        <w:t>–</w:t>
      </w:r>
      <w:r w:rsidRPr="00B15134">
        <w:rPr>
          <w:sz w:val="24"/>
          <w:szCs w:val="24"/>
        </w:rPr>
        <w:t>3</w:t>
      </w:r>
      <w:r w:rsidRPr="00B15134">
        <w:rPr>
          <w:spacing w:val="-6"/>
          <w:sz w:val="24"/>
          <w:szCs w:val="24"/>
        </w:rPr>
        <w:t xml:space="preserve"> </w:t>
      </w:r>
      <w:r w:rsidRPr="00B15134">
        <w:rPr>
          <w:spacing w:val="-2"/>
          <w:sz w:val="24"/>
          <w:szCs w:val="24"/>
        </w:rPr>
        <w:t>gå</w:t>
      </w:r>
      <w:r w:rsidRPr="00B15134">
        <w:rPr>
          <w:spacing w:val="-1"/>
          <w:sz w:val="24"/>
          <w:szCs w:val="24"/>
        </w:rPr>
        <w:t>n</w:t>
      </w:r>
      <w:r w:rsidRPr="00B15134">
        <w:rPr>
          <w:spacing w:val="-2"/>
          <w:sz w:val="24"/>
          <w:szCs w:val="24"/>
        </w:rPr>
        <w:t>ge</w:t>
      </w:r>
      <w:r w:rsidRPr="00B15134">
        <w:rPr>
          <w:sz w:val="24"/>
          <w:szCs w:val="24"/>
        </w:rPr>
        <w:t>r</w:t>
      </w:r>
      <w:r w:rsidRPr="00B15134">
        <w:rPr>
          <w:spacing w:val="-9"/>
          <w:sz w:val="24"/>
          <w:szCs w:val="24"/>
        </w:rPr>
        <w:t xml:space="preserve"> </w:t>
      </w:r>
      <w:r w:rsidRPr="00B15134">
        <w:rPr>
          <w:sz w:val="24"/>
          <w:szCs w:val="24"/>
        </w:rPr>
        <w:t>da</w:t>
      </w:r>
      <w:r w:rsidRPr="00B15134">
        <w:rPr>
          <w:spacing w:val="-8"/>
          <w:sz w:val="24"/>
          <w:szCs w:val="24"/>
        </w:rPr>
        <w:t>g</w:t>
      </w:r>
      <w:r w:rsidRPr="00B15134">
        <w:rPr>
          <w:spacing w:val="-3"/>
          <w:sz w:val="24"/>
          <w:szCs w:val="24"/>
        </w:rPr>
        <w:t>l</w:t>
      </w:r>
      <w:r w:rsidRPr="00B15134">
        <w:rPr>
          <w:sz w:val="24"/>
          <w:szCs w:val="24"/>
        </w:rPr>
        <w:t>i</w:t>
      </w:r>
      <w:r w:rsidRPr="00B15134">
        <w:rPr>
          <w:spacing w:val="-2"/>
          <w:sz w:val="24"/>
          <w:szCs w:val="24"/>
        </w:rPr>
        <w:t>g</w:t>
      </w:r>
      <w:r w:rsidRPr="00B15134">
        <w:rPr>
          <w:sz w:val="24"/>
          <w:szCs w:val="24"/>
        </w:rPr>
        <w:t>en</w:t>
      </w:r>
      <w:r w:rsidRPr="00B15134">
        <w:rPr>
          <w:spacing w:val="-6"/>
          <w:sz w:val="24"/>
          <w:szCs w:val="24"/>
        </w:rPr>
        <w:t xml:space="preserve"> </w:t>
      </w:r>
      <w:r w:rsidRPr="00B15134">
        <w:rPr>
          <w:sz w:val="24"/>
          <w:szCs w:val="24"/>
        </w:rPr>
        <w:t>och</w:t>
      </w:r>
      <w:r w:rsidRPr="00B15134">
        <w:rPr>
          <w:spacing w:val="-5"/>
          <w:sz w:val="24"/>
          <w:szCs w:val="24"/>
        </w:rPr>
        <w:t xml:space="preserve"> </w:t>
      </w:r>
      <w:r w:rsidRPr="00B15134">
        <w:rPr>
          <w:spacing w:val="-4"/>
          <w:sz w:val="24"/>
          <w:szCs w:val="24"/>
        </w:rPr>
        <w:t>a</w:t>
      </w:r>
      <w:r w:rsidRPr="00B15134">
        <w:rPr>
          <w:spacing w:val="-1"/>
          <w:sz w:val="24"/>
          <w:szCs w:val="24"/>
        </w:rPr>
        <w:t>n</w:t>
      </w:r>
      <w:r w:rsidRPr="00B15134">
        <w:rPr>
          <w:spacing w:val="-3"/>
          <w:sz w:val="24"/>
          <w:szCs w:val="24"/>
        </w:rPr>
        <w:t>p</w:t>
      </w:r>
      <w:r w:rsidRPr="00B15134">
        <w:rPr>
          <w:spacing w:val="-2"/>
          <w:sz w:val="24"/>
          <w:szCs w:val="24"/>
        </w:rPr>
        <w:t>as</w:t>
      </w:r>
      <w:r w:rsidRPr="00B15134">
        <w:rPr>
          <w:spacing w:val="-7"/>
          <w:sz w:val="24"/>
          <w:szCs w:val="24"/>
        </w:rPr>
        <w:t>s</w:t>
      </w:r>
      <w:r w:rsidRPr="00B15134">
        <w:rPr>
          <w:sz w:val="24"/>
          <w:szCs w:val="24"/>
        </w:rPr>
        <w:t>as</w:t>
      </w:r>
      <w:r w:rsidRPr="00B15134">
        <w:rPr>
          <w:w w:val="99"/>
          <w:sz w:val="24"/>
          <w:szCs w:val="24"/>
        </w:rPr>
        <w:t xml:space="preserve"> </w:t>
      </w:r>
      <w:r w:rsidRPr="00B15134">
        <w:rPr>
          <w:sz w:val="24"/>
          <w:szCs w:val="24"/>
        </w:rPr>
        <w:t>indi</w:t>
      </w:r>
      <w:r w:rsidRPr="00B15134">
        <w:rPr>
          <w:spacing w:val="-8"/>
          <w:sz w:val="24"/>
          <w:szCs w:val="24"/>
        </w:rPr>
        <w:t>v</w:t>
      </w:r>
      <w:r w:rsidRPr="00B15134">
        <w:rPr>
          <w:sz w:val="24"/>
          <w:szCs w:val="24"/>
        </w:rPr>
        <w:t>idu</w:t>
      </w:r>
      <w:r w:rsidRPr="00B15134">
        <w:rPr>
          <w:spacing w:val="-2"/>
          <w:sz w:val="24"/>
          <w:szCs w:val="24"/>
        </w:rPr>
        <w:t>e</w:t>
      </w:r>
      <w:r w:rsidRPr="00B15134">
        <w:rPr>
          <w:sz w:val="24"/>
          <w:szCs w:val="24"/>
        </w:rPr>
        <w:t>ll</w:t>
      </w:r>
      <w:r w:rsidRPr="00B15134">
        <w:rPr>
          <w:spacing w:val="-1"/>
          <w:sz w:val="24"/>
          <w:szCs w:val="24"/>
        </w:rPr>
        <w:t xml:space="preserve">t. </w:t>
      </w:r>
    </w:p>
    <w:p w14:paraId="667AC7E7" w14:textId="77777777" w:rsidR="00702564" w:rsidRPr="00B15134" w:rsidRDefault="00702564" w:rsidP="00702564">
      <w:pPr>
        <w:spacing w:before="120"/>
        <w:rPr>
          <w:sz w:val="24"/>
          <w:szCs w:val="24"/>
        </w:rPr>
      </w:pPr>
      <w:r w:rsidRPr="00B15134">
        <w:rPr>
          <w:b/>
          <w:bCs/>
          <w:color w:val="211F1A"/>
          <w:spacing w:val="-3"/>
          <w:sz w:val="24"/>
          <w:szCs w:val="24"/>
        </w:rPr>
        <w:t>Ox</w:t>
      </w:r>
      <w:r w:rsidRPr="00B15134">
        <w:rPr>
          <w:b/>
          <w:bCs/>
          <w:color w:val="211F1A"/>
          <w:sz w:val="24"/>
          <w:szCs w:val="24"/>
        </w:rPr>
        <w:t>a</w:t>
      </w:r>
      <w:r w:rsidRPr="00B15134">
        <w:rPr>
          <w:b/>
          <w:bCs/>
          <w:color w:val="211F1A"/>
          <w:spacing w:val="-5"/>
          <w:sz w:val="24"/>
          <w:szCs w:val="24"/>
        </w:rPr>
        <w:t>z</w:t>
      </w:r>
      <w:r w:rsidRPr="00B15134">
        <w:rPr>
          <w:b/>
          <w:bCs/>
          <w:color w:val="211F1A"/>
          <w:sz w:val="24"/>
          <w:szCs w:val="24"/>
        </w:rPr>
        <w:t>ep</w:t>
      </w:r>
      <w:r w:rsidRPr="00B15134">
        <w:rPr>
          <w:b/>
          <w:bCs/>
          <w:color w:val="211F1A"/>
          <w:spacing w:val="-2"/>
          <w:sz w:val="24"/>
          <w:szCs w:val="24"/>
        </w:rPr>
        <w:t>a</w:t>
      </w:r>
      <w:r w:rsidRPr="00B15134">
        <w:rPr>
          <w:b/>
          <w:bCs/>
          <w:color w:val="211F1A"/>
          <w:spacing w:val="-1"/>
          <w:sz w:val="24"/>
          <w:szCs w:val="24"/>
        </w:rPr>
        <w:t xml:space="preserve">m </w:t>
      </w:r>
      <w:r w:rsidRPr="00B15134">
        <w:rPr>
          <w:color w:val="211F1A"/>
          <w:spacing w:val="-1"/>
          <w:sz w:val="24"/>
          <w:szCs w:val="24"/>
        </w:rPr>
        <w:t>(</w:t>
      </w:r>
      <w:r w:rsidRPr="00B15134">
        <w:rPr>
          <w:rFonts w:cs="Garamond"/>
          <w:color w:val="211F1A"/>
          <w:sz w:val="24"/>
          <w:szCs w:val="24"/>
        </w:rPr>
        <w:t>Oxascand</w:t>
      </w:r>
      <w:r w:rsidRPr="00B15134">
        <w:rPr>
          <w:color w:val="211F1A"/>
          <w:sz w:val="24"/>
          <w:szCs w:val="24"/>
        </w:rPr>
        <w:t>)</w:t>
      </w:r>
      <w:r w:rsidRPr="00B15134">
        <w:rPr>
          <w:color w:val="211F1A"/>
          <w:spacing w:val="-9"/>
          <w:sz w:val="24"/>
          <w:szCs w:val="24"/>
        </w:rPr>
        <w:t xml:space="preserve"> </w:t>
      </w:r>
      <w:r w:rsidRPr="00B15134">
        <w:rPr>
          <w:color w:val="211F1A"/>
          <w:spacing w:val="-3"/>
          <w:sz w:val="24"/>
          <w:szCs w:val="24"/>
        </w:rPr>
        <w:t>v</w:t>
      </w:r>
      <w:r w:rsidRPr="00B15134">
        <w:rPr>
          <w:color w:val="211F1A"/>
          <w:spacing w:val="-2"/>
          <w:sz w:val="24"/>
          <w:szCs w:val="24"/>
        </w:rPr>
        <w:t>ä</w:t>
      </w:r>
      <w:r w:rsidRPr="00B15134">
        <w:rPr>
          <w:color w:val="211F1A"/>
          <w:sz w:val="24"/>
          <w:szCs w:val="24"/>
        </w:rPr>
        <w:t>l</w:t>
      </w:r>
      <w:r w:rsidRPr="00B15134">
        <w:rPr>
          <w:color w:val="211F1A"/>
          <w:spacing w:val="-3"/>
          <w:sz w:val="24"/>
          <w:szCs w:val="24"/>
        </w:rPr>
        <w:t>j</w:t>
      </w:r>
      <w:r w:rsidRPr="00B15134">
        <w:rPr>
          <w:color w:val="211F1A"/>
          <w:sz w:val="24"/>
          <w:szCs w:val="24"/>
        </w:rPr>
        <w:t>s</w:t>
      </w:r>
      <w:r w:rsidRPr="00B15134">
        <w:rPr>
          <w:color w:val="211F1A"/>
          <w:spacing w:val="-6"/>
          <w:sz w:val="24"/>
          <w:szCs w:val="24"/>
        </w:rPr>
        <w:t xml:space="preserve"> av bensodiazepinerna </w:t>
      </w:r>
      <w:r w:rsidRPr="00B15134">
        <w:rPr>
          <w:color w:val="211F1A"/>
          <w:spacing w:val="-7"/>
          <w:sz w:val="24"/>
          <w:szCs w:val="24"/>
        </w:rPr>
        <w:t>f</w:t>
      </w:r>
      <w:r w:rsidRPr="00B15134">
        <w:rPr>
          <w:color w:val="211F1A"/>
          <w:sz w:val="24"/>
          <w:szCs w:val="24"/>
        </w:rPr>
        <w:t>ör</w:t>
      </w:r>
      <w:r w:rsidRPr="00B15134">
        <w:rPr>
          <w:color w:val="211F1A"/>
          <w:spacing w:val="-7"/>
          <w:sz w:val="24"/>
          <w:szCs w:val="24"/>
        </w:rPr>
        <w:t xml:space="preserve"> </w:t>
      </w:r>
      <w:r w:rsidRPr="00B15134">
        <w:rPr>
          <w:color w:val="211F1A"/>
          <w:spacing w:val="-2"/>
          <w:sz w:val="24"/>
          <w:szCs w:val="24"/>
        </w:rPr>
        <w:t>s</w:t>
      </w:r>
      <w:r w:rsidRPr="00B15134">
        <w:rPr>
          <w:color w:val="211F1A"/>
          <w:sz w:val="24"/>
          <w:szCs w:val="24"/>
        </w:rPr>
        <w:t>ina</w:t>
      </w:r>
      <w:r w:rsidRPr="00B15134">
        <w:rPr>
          <w:color w:val="211F1A"/>
          <w:spacing w:val="-6"/>
          <w:sz w:val="24"/>
          <w:szCs w:val="24"/>
        </w:rPr>
        <w:t xml:space="preserve"> </w:t>
      </w:r>
      <w:r w:rsidRPr="00B15134">
        <w:rPr>
          <w:color w:val="211F1A"/>
          <w:spacing w:val="-1"/>
          <w:sz w:val="24"/>
          <w:szCs w:val="24"/>
        </w:rPr>
        <w:t>för</w:t>
      </w:r>
      <w:r w:rsidRPr="00B15134">
        <w:rPr>
          <w:color w:val="211F1A"/>
          <w:spacing w:val="-3"/>
          <w:sz w:val="24"/>
          <w:szCs w:val="24"/>
        </w:rPr>
        <w:t>d</w:t>
      </w:r>
      <w:r w:rsidRPr="00B15134">
        <w:rPr>
          <w:color w:val="211F1A"/>
          <w:sz w:val="24"/>
          <w:szCs w:val="24"/>
        </w:rPr>
        <w:t>e</w:t>
      </w:r>
      <w:r w:rsidRPr="00B15134">
        <w:rPr>
          <w:color w:val="211F1A"/>
          <w:spacing w:val="-3"/>
          <w:sz w:val="24"/>
          <w:szCs w:val="24"/>
        </w:rPr>
        <w:t>l</w:t>
      </w:r>
      <w:r w:rsidRPr="00B15134">
        <w:rPr>
          <w:color w:val="211F1A"/>
          <w:sz w:val="24"/>
          <w:szCs w:val="24"/>
        </w:rPr>
        <w:t>ar</w:t>
      </w:r>
      <w:r w:rsidRPr="00B15134">
        <w:rPr>
          <w:color w:val="211F1A"/>
          <w:spacing w:val="-9"/>
          <w:sz w:val="24"/>
          <w:szCs w:val="24"/>
        </w:rPr>
        <w:t xml:space="preserve"> </w:t>
      </w:r>
      <w:r w:rsidRPr="00B15134">
        <w:rPr>
          <w:color w:val="211F1A"/>
          <w:sz w:val="24"/>
          <w:szCs w:val="24"/>
        </w:rPr>
        <w:t>i</w:t>
      </w:r>
      <w:r w:rsidRPr="00B15134">
        <w:rPr>
          <w:color w:val="211F1A"/>
          <w:spacing w:val="-7"/>
          <w:sz w:val="24"/>
          <w:szCs w:val="24"/>
        </w:rPr>
        <w:t xml:space="preserve"> </w:t>
      </w:r>
      <w:r w:rsidRPr="00B15134">
        <w:rPr>
          <w:color w:val="211F1A"/>
          <w:spacing w:val="-1"/>
          <w:sz w:val="24"/>
          <w:szCs w:val="24"/>
        </w:rPr>
        <w:t>f</w:t>
      </w:r>
      <w:r w:rsidRPr="00B15134">
        <w:rPr>
          <w:color w:val="211F1A"/>
          <w:sz w:val="24"/>
          <w:szCs w:val="24"/>
        </w:rPr>
        <w:t>a</w:t>
      </w:r>
      <w:r w:rsidRPr="00B15134">
        <w:rPr>
          <w:color w:val="211F1A"/>
          <w:spacing w:val="-9"/>
          <w:sz w:val="24"/>
          <w:szCs w:val="24"/>
        </w:rPr>
        <w:t>r</w:t>
      </w:r>
      <w:r w:rsidRPr="00B15134">
        <w:rPr>
          <w:color w:val="211F1A"/>
          <w:spacing w:val="-1"/>
          <w:sz w:val="24"/>
          <w:szCs w:val="24"/>
        </w:rPr>
        <w:t>m</w:t>
      </w:r>
      <w:r w:rsidRPr="00B15134">
        <w:rPr>
          <w:color w:val="211F1A"/>
          <w:sz w:val="24"/>
          <w:szCs w:val="24"/>
        </w:rPr>
        <w:t>ak</w:t>
      </w:r>
      <w:r w:rsidRPr="00B15134">
        <w:rPr>
          <w:color w:val="211F1A"/>
          <w:spacing w:val="-3"/>
          <w:sz w:val="24"/>
          <w:szCs w:val="24"/>
        </w:rPr>
        <w:t>o</w:t>
      </w:r>
      <w:r w:rsidRPr="00B15134">
        <w:rPr>
          <w:color w:val="211F1A"/>
          <w:sz w:val="24"/>
          <w:szCs w:val="24"/>
        </w:rPr>
        <w:t>d</w:t>
      </w:r>
      <w:r w:rsidRPr="00B15134">
        <w:rPr>
          <w:color w:val="211F1A"/>
          <w:spacing w:val="-5"/>
          <w:sz w:val="24"/>
          <w:szCs w:val="24"/>
        </w:rPr>
        <w:t>y</w:t>
      </w:r>
      <w:r w:rsidRPr="00B15134">
        <w:rPr>
          <w:color w:val="211F1A"/>
          <w:sz w:val="24"/>
          <w:szCs w:val="24"/>
        </w:rPr>
        <w:t>na</w:t>
      </w:r>
      <w:r w:rsidRPr="00B15134">
        <w:rPr>
          <w:color w:val="211F1A"/>
          <w:spacing w:val="-1"/>
          <w:sz w:val="24"/>
          <w:szCs w:val="24"/>
        </w:rPr>
        <w:t>m</w:t>
      </w:r>
      <w:r w:rsidRPr="00B15134">
        <w:rPr>
          <w:color w:val="211F1A"/>
          <w:sz w:val="24"/>
          <w:szCs w:val="24"/>
        </w:rPr>
        <w:t>i</w:t>
      </w:r>
      <w:r w:rsidRPr="00B15134">
        <w:rPr>
          <w:color w:val="211F1A"/>
          <w:spacing w:val="-5"/>
          <w:sz w:val="24"/>
          <w:szCs w:val="24"/>
        </w:rPr>
        <w:t>s</w:t>
      </w:r>
      <w:r w:rsidRPr="00B15134">
        <w:rPr>
          <w:color w:val="211F1A"/>
          <w:sz w:val="24"/>
          <w:szCs w:val="24"/>
        </w:rPr>
        <w:t>k</w:t>
      </w:r>
      <w:r w:rsidRPr="00B15134">
        <w:rPr>
          <w:color w:val="211F1A"/>
          <w:spacing w:val="-8"/>
          <w:sz w:val="24"/>
          <w:szCs w:val="24"/>
        </w:rPr>
        <w:t xml:space="preserve"> </w:t>
      </w:r>
      <w:r w:rsidRPr="00B15134">
        <w:rPr>
          <w:color w:val="211F1A"/>
          <w:sz w:val="24"/>
          <w:szCs w:val="24"/>
        </w:rPr>
        <w:t>p</w:t>
      </w:r>
      <w:r w:rsidRPr="00B15134">
        <w:rPr>
          <w:color w:val="211F1A"/>
          <w:spacing w:val="-1"/>
          <w:sz w:val="24"/>
          <w:szCs w:val="24"/>
        </w:rPr>
        <w:t>r</w:t>
      </w:r>
      <w:r w:rsidRPr="00B15134">
        <w:rPr>
          <w:color w:val="211F1A"/>
          <w:spacing w:val="-3"/>
          <w:sz w:val="24"/>
          <w:szCs w:val="24"/>
        </w:rPr>
        <w:t>o</w:t>
      </w:r>
      <w:r w:rsidRPr="00B15134">
        <w:rPr>
          <w:color w:val="211F1A"/>
          <w:spacing w:val="-1"/>
          <w:sz w:val="24"/>
          <w:szCs w:val="24"/>
        </w:rPr>
        <w:t>f</w:t>
      </w:r>
      <w:r w:rsidRPr="00B15134">
        <w:rPr>
          <w:color w:val="211F1A"/>
          <w:sz w:val="24"/>
          <w:szCs w:val="24"/>
        </w:rPr>
        <w:t>il</w:t>
      </w:r>
      <w:r w:rsidRPr="00B15134">
        <w:rPr>
          <w:color w:val="211F1A"/>
          <w:spacing w:val="-9"/>
          <w:sz w:val="24"/>
          <w:szCs w:val="24"/>
        </w:rPr>
        <w:t xml:space="preserve"> </w:t>
      </w:r>
      <w:r w:rsidRPr="00B15134">
        <w:rPr>
          <w:color w:val="211F1A"/>
          <w:spacing w:val="-3"/>
          <w:sz w:val="24"/>
          <w:szCs w:val="24"/>
        </w:rPr>
        <w:t>m</w:t>
      </w:r>
      <w:r w:rsidRPr="00B15134">
        <w:rPr>
          <w:color w:val="211F1A"/>
          <w:sz w:val="24"/>
          <w:szCs w:val="24"/>
        </w:rPr>
        <w:t>ed</w:t>
      </w:r>
      <w:r w:rsidRPr="00B15134">
        <w:rPr>
          <w:color w:val="211F1A"/>
          <w:spacing w:val="-6"/>
          <w:sz w:val="24"/>
          <w:szCs w:val="24"/>
        </w:rPr>
        <w:t xml:space="preserve"> </w:t>
      </w:r>
      <w:r w:rsidRPr="00B15134">
        <w:rPr>
          <w:color w:val="211F1A"/>
          <w:sz w:val="24"/>
          <w:szCs w:val="24"/>
        </w:rPr>
        <w:t>a</w:t>
      </w:r>
      <w:r w:rsidRPr="00B15134">
        <w:rPr>
          <w:color w:val="211F1A"/>
          <w:spacing w:val="-2"/>
          <w:sz w:val="24"/>
          <w:szCs w:val="24"/>
        </w:rPr>
        <w:t>c</w:t>
      </w:r>
      <w:r w:rsidRPr="00B15134">
        <w:rPr>
          <w:color w:val="211F1A"/>
          <w:spacing w:val="-5"/>
          <w:sz w:val="24"/>
          <w:szCs w:val="24"/>
        </w:rPr>
        <w:t>c</w:t>
      </w:r>
      <w:r w:rsidRPr="00B15134">
        <w:rPr>
          <w:color w:val="211F1A"/>
          <w:spacing w:val="-2"/>
          <w:sz w:val="24"/>
          <w:szCs w:val="24"/>
        </w:rPr>
        <w:t>e</w:t>
      </w:r>
      <w:r w:rsidRPr="00B15134">
        <w:rPr>
          <w:color w:val="211F1A"/>
          <w:spacing w:val="-1"/>
          <w:sz w:val="24"/>
          <w:szCs w:val="24"/>
        </w:rPr>
        <w:t>p</w:t>
      </w:r>
      <w:r w:rsidRPr="00B15134">
        <w:rPr>
          <w:color w:val="211F1A"/>
          <w:spacing w:val="-3"/>
          <w:sz w:val="24"/>
          <w:szCs w:val="24"/>
        </w:rPr>
        <w:t>t</w:t>
      </w:r>
      <w:r w:rsidRPr="00B15134">
        <w:rPr>
          <w:color w:val="211F1A"/>
          <w:spacing w:val="-2"/>
          <w:sz w:val="24"/>
          <w:szCs w:val="24"/>
        </w:rPr>
        <w:t>a</w:t>
      </w:r>
      <w:r w:rsidRPr="00B15134">
        <w:rPr>
          <w:color w:val="211F1A"/>
          <w:spacing w:val="-3"/>
          <w:sz w:val="24"/>
          <w:szCs w:val="24"/>
        </w:rPr>
        <w:t>b</w:t>
      </w:r>
      <w:r w:rsidRPr="00B15134">
        <w:rPr>
          <w:color w:val="211F1A"/>
          <w:sz w:val="24"/>
          <w:szCs w:val="24"/>
        </w:rPr>
        <w:t>el</w:t>
      </w:r>
      <w:r w:rsidRPr="00B15134">
        <w:rPr>
          <w:color w:val="211F1A"/>
          <w:spacing w:val="-6"/>
          <w:sz w:val="24"/>
          <w:szCs w:val="24"/>
        </w:rPr>
        <w:t xml:space="preserve"> </w:t>
      </w:r>
      <w:r w:rsidRPr="00B15134">
        <w:rPr>
          <w:color w:val="000000"/>
          <w:spacing w:val="-1"/>
          <w:sz w:val="24"/>
          <w:szCs w:val="24"/>
        </w:rPr>
        <w:t>t</w:t>
      </w:r>
      <w:r w:rsidRPr="00B15134">
        <w:rPr>
          <w:color w:val="000000"/>
          <w:sz w:val="24"/>
          <w:szCs w:val="24"/>
        </w:rPr>
        <w:t>i</w:t>
      </w:r>
      <w:r w:rsidRPr="00B15134">
        <w:rPr>
          <w:color w:val="000000"/>
          <w:spacing w:val="-3"/>
          <w:sz w:val="24"/>
          <w:szCs w:val="24"/>
        </w:rPr>
        <w:t>l</w:t>
      </w:r>
      <w:r w:rsidRPr="00B15134">
        <w:rPr>
          <w:color w:val="000000"/>
          <w:sz w:val="24"/>
          <w:szCs w:val="24"/>
        </w:rPr>
        <w:t>l</w:t>
      </w:r>
      <w:r w:rsidRPr="00B15134">
        <w:rPr>
          <w:color w:val="000000"/>
          <w:spacing w:val="-5"/>
          <w:sz w:val="24"/>
          <w:szCs w:val="24"/>
        </w:rPr>
        <w:t>s</w:t>
      </w:r>
      <w:r w:rsidRPr="00B15134">
        <w:rPr>
          <w:color w:val="000000"/>
          <w:sz w:val="24"/>
          <w:szCs w:val="24"/>
        </w:rPr>
        <w:t>la</w:t>
      </w:r>
      <w:r w:rsidRPr="00B15134">
        <w:rPr>
          <w:color w:val="000000"/>
          <w:spacing w:val="-8"/>
          <w:sz w:val="24"/>
          <w:szCs w:val="24"/>
        </w:rPr>
        <w:t>g</w:t>
      </w:r>
      <w:r w:rsidRPr="00B15134">
        <w:rPr>
          <w:color w:val="000000"/>
          <w:spacing w:val="-2"/>
          <w:sz w:val="24"/>
          <w:szCs w:val="24"/>
        </w:rPr>
        <w:t>s</w:t>
      </w:r>
      <w:r w:rsidRPr="00B15134">
        <w:rPr>
          <w:color w:val="000000"/>
          <w:spacing w:val="-1"/>
          <w:sz w:val="24"/>
          <w:szCs w:val="24"/>
        </w:rPr>
        <w:t>t</w:t>
      </w:r>
      <w:r w:rsidRPr="00B15134">
        <w:rPr>
          <w:color w:val="000000"/>
          <w:sz w:val="24"/>
          <w:szCs w:val="24"/>
        </w:rPr>
        <w:t>id</w:t>
      </w:r>
      <w:r w:rsidRPr="00B15134">
        <w:rPr>
          <w:color w:val="000000"/>
          <w:spacing w:val="-5"/>
          <w:sz w:val="24"/>
          <w:szCs w:val="24"/>
        </w:rPr>
        <w:t xml:space="preserve"> </w:t>
      </w:r>
      <w:r w:rsidRPr="00B15134">
        <w:rPr>
          <w:color w:val="000000"/>
          <w:sz w:val="24"/>
          <w:szCs w:val="24"/>
        </w:rPr>
        <w:t>utan</w:t>
      </w:r>
      <w:r w:rsidRPr="00B15134">
        <w:rPr>
          <w:color w:val="000000"/>
          <w:w w:val="99"/>
          <w:sz w:val="24"/>
          <w:szCs w:val="24"/>
        </w:rPr>
        <w:t xml:space="preserve"> </w:t>
      </w:r>
      <w:r w:rsidRPr="00B15134">
        <w:rPr>
          <w:color w:val="000000"/>
          <w:sz w:val="24"/>
          <w:szCs w:val="24"/>
        </w:rPr>
        <w:t>på</w:t>
      </w:r>
      <w:r w:rsidRPr="00B15134">
        <w:rPr>
          <w:color w:val="000000"/>
          <w:spacing w:val="-3"/>
          <w:sz w:val="24"/>
          <w:szCs w:val="24"/>
        </w:rPr>
        <w:t>t</w:t>
      </w:r>
      <w:r w:rsidRPr="00B15134">
        <w:rPr>
          <w:color w:val="000000"/>
          <w:sz w:val="24"/>
          <w:szCs w:val="24"/>
        </w:rPr>
        <w:t>a</w:t>
      </w:r>
      <w:r w:rsidRPr="00B15134">
        <w:rPr>
          <w:color w:val="000000"/>
          <w:spacing w:val="-2"/>
          <w:sz w:val="24"/>
          <w:szCs w:val="24"/>
        </w:rPr>
        <w:t>g</w:t>
      </w:r>
      <w:r w:rsidRPr="00B15134">
        <w:rPr>
          <w:color w:val="000000"/>
          <w:sz w:val="24"/>
          <w:szCs w:val="24"/>
        </w:rPr>
        <w:t>l</w:t>
      </w:r>
      <w:r w:rsidRPr="00B15134">
        <w:rPr>
          <w:color w:val="000000"/>
          <w:spacing w:val="-3"/>
          <w:sz w:val="24"/>
          <w:szCs w:val="24"/>
        </w:rPr>
        <w:t>i</w:t>
      </w:r>
      <w:r w:rsidRPr="00B15134">
        <w:rPr>
          <w:color w:val="000000"/>
          <w:sz w:val="24"/>
          <w:szCs w:val="24"/>
        </w:rPr>
        <w:t>g</w:t>
      </w:r>
      <w:r w:rsidRPr="00B15134">
        <w:rPr>
          <w:color w:val="000000"/>
          <w:spacing w:val="-11"/>
          <w:sz w:val="24"/>
          <w:szCs w:val="24"/>
        </w:rPr>
        <w:t xml:space="preserve"> </w:t>
      </w:r>
      <w:r w:rsidRPr="00B15134">
        <w:rPr>
          <w:rFonts w:cs="Garamond"/>
          <w:color w:val="000000"/>
          <w:sz w:val="24"/>
          <w:szCs w:val="24"/>
        </w:rPr>
        <w:t>”</w:t>
      </w:r>
      <w:r w:rsidRPr="00B15134">
        <w:rPr>
          <w:color w:val="000000"/>
          <w:sz w:val="24"/>
          <w:szCs w:val="24"/>
        </w:rPr>
        <w:t>k</w:t>
      </w:r>
      <w:r w:rsidRPr="00B15134">
        <w:rPr>
          <w:color w:val="000000"/>
          <w:spacing w:val="-5"/>
          <w:sz w:val="24"/>
          <w:szCs w:val="24"/>
        </w:rPr>
        <w:t>i</w:t>
      </w:r>
      <w:r w:rsidRPr="00B15134">
        <w:rPr>
          <w:color w:val="000000"/>
          <w:sz w:val="24"/>
          <w:szCs w:val="24"/>
        </w:rPr>
        <w:t>ck</w:t>
      </w:r>
      <w:r w:rsidRPr="00B15134">
        <w:rPr>
          <w:color w:val="000000"/>
          <w:spacing w:val="-1"/>
          <w:sz w:val="24"/>
          <w:szCs w:val="24"/>
        </w:rPr>
        <w:t>-</w:t>
      </w:r>
      <w:r w:rsidRPr="00B15134">
        <w:rPr>
          <w:color w:val="000000"/>
          <w:sz w:val="24"/>
          <w:szCs w:val="24"/>
        </w:rPr>
        <w:t>e</w:t>
      </w:r>
      <w:r w:rsidRPr="00B15134">
        <w:rPr>
          <w:color w:val="000000"/>
          <w:spacing w:val="-1"/>
          <w:sz w:val="24"/>
          <w:szCs w:val="24"/>
        </w:rPr>
        <w:t>ff</w:t>
      </w:r>
      <w:r w:rsidRPr="00B15134">
        <w:rPr>
          <w:color w:val="000000"/>
          <w:sz w:val="24"/>
          <w:szCs w:val="24"/>
        </w:rPr>
        <w:t>ek</w:t>
      </w:r>
      <w:r w:rsidRPr="00B15134">
        <w:rPr>
          <w:color w:val="000000"/>
          <w:spacing w:val="-7"/>
          <w:sz w:val="24"/>
          <w:szCs w:val="24"/>
        </w:rPr>
        <w:t>t</w:t>
      </w:r>
      <w:r w:rsidRPr="00B15134">
        <w:rPr>
          <w:rFonts w:cs="Garamond"/>
          <w:color w:val="000000"/>
          <w:sz w:val="24"/>
          <w:szCs w:val="24"/>
        </w:rPr>
        <w:t>”</w:t>
      </w:r>
      <w:r w:rsidRPr="00B15134">
        <w:rPr>
          <w:color w:val="000000"/>
          <w:sz w:val="24"/>
          <w:szCs w:val="24"/>
        </w:rPr>
        <w:t>,</w:t>
      </w:r>
      <w:r w:rsidRPr="00B15134">
        <w:rPr>
          <w:color w:val="000000"/>
          <w:spacing w:val="-9"/>
          <w:sz w:val="24"/>
          <w:szCs w:val="24"/>
        </w:rPr>
        <w:t xml:space="preserve"> </w:t>
      </w:r>
      <w:r w:rsidRPr="00B15134">
        <w:rPr>
          <w:color w:val="000000"/>
          <w:spacing w:val="-3"/>
          <w:sz w:val="24"/>
          <w:szCs w:val="24"/>
        </w:rPr>
        <w:t>k</w:t>
      </w:r>
      <w:r w:rsidRPr="00B15134">
        <w:rPr>
          <w:color w:val="000000"/>
          <w:spacing w:val="-1"/>
          <w:sz w:val="24"/>
          <w:szCs w:val="24"/>
        </w:rPr>
        <w:t>o</w:t>
      </w:r>
      <w:r w:rsidRPr="00B15134">
        <w:rPr>
          <w:color w:val="000000"/>
          <w:spacing w:val="-6"/>
          <w:sz w:val="24"/>
          <w:szCs w:val="24"/>
        </w:rPr>
        <w:t>r</w:t>
      </w:r>
      <w:r w:rsidRPr="00B15134">
        <w:rPr>
          <w:color w:val="000000"/>
          <w:sz w:val="24"/>
          <w:szCs w:val="24"/>
        </w:rPr>
        <w:t>t</w:t>
      </w:r>
      <w:r w:rsidRPr="00B15134">
        <w:rPr>
          <w:color w:val="000000"/>
          <w:spacing w:val="-9"/>
          <w:sz w:val="24"/>
          <w:szCs w:val="24"/>
        </w:rPr>
        <w:t xml:space="preserve"> </w:t>
      </w:r>
      <w:r w:rsidRPr="00B15134">
        <w:rPr>
          <w:color w:val="000000"/>
          <w:spacing w:val="-3"/>
          <w:sz w:val="24"/>
          <w:szCs w:val="24"/>
        </w:rPr>
        <w:t>h</w:t>
      </w:r>
      <w:r w:rsidRPr="00B15134">
        <w:rPr>
          <w:color w:val="000000"/>
          <w:sz w:val="24"/>
          <w:szCs w:val="24"/>
        </w:rPr>
        <w:t>al</w:t>
      </w:r>
      <w:r w:rsidRPr="00B15134">
        <w:rPr>
          <w:color w:val="000000"/>
          <w:spacing w:val="-3"/>
          <w:sz w:val="24"/>
          <w:szCs w:val="24"/>
        </w:rPr>
        <w:t>v</w:t>
      </w:r>
      <w:r w:rsidRPr="00B15134">
        <w:rPr>
          <w:color w:val="000000"/>
          <w:sz w:val="24"/>
          <w:szCs w:val="24"/>
        </w:rPr>
        <w:t>e</w:t>
      </w:r>
      <w:r w:rsidRPr="00B15134">
        <w:rPr>
          <w:color w:val="000000"/>
          <w:spacing w:val="-6"/>
          <w:sz w:val="24"/>
          <w:szCs w:val="24"/>
        </w:rPr>
        <w:t>r</w:t>
      </w:r>
      <w:r w:rsidRPr="00B15134">
        <w:rPr>
          <w:color w:val="000000"/>
          <w:sz w:val="24"/>
          <w:szCs w:val="24"/>
        </w:rPr>
        <w:t>i</w:t>
      </w:r>
      <w:r w:rsidRPr="00B15134">
        <w:rPr>
          <w:color w:val="000000"/>
          <w:spacing w:val="-1"/>
          <w:sz w:val="24"/>
          <w:szCs w:val="24"/>
        </w:rPr>
        <w:t>n</w:t>
      </w:r>
      <w:r w:rsidRPr="00B15134">
        <w:rPr>
          <w:color w:val="000000"/>
          <w:spacing w:val="-2"/>
          <w:sz w:val="24"/>
          <w:szCs w:val="24"/>
        </w:rPr>
        <w:t>gs</w:t>
      </w:r>
      <w:r w:rsidRPr="00B15134">
        <w:rPr>
          <w:color w:val="000000"/>
          <w:spacing w:val="-3"/>
          <w:sz w:val="24"/>
          <w:szCs w:val="24"/>
        </w:rPr>
        <w:t>t</w:t>
      </w:r>
      <w:r w:rsidRPr="00B15134">
        <w:rPr>
          <w:color w:val="000000"/>
          <w:sz w:val="24"/>
          <w:szCs w:val="24"/>
        </w:rPr>
        <w:t>id</w:t>
      </w:r>
      <w:r w:rsidRPr="00B15134">
        <w:rPr>
          <w:color w:val="000000"/>
          <w:spacing w:val="-9"/>
          <w:sz w:val="24"/>
          <w:szCs w:val="24"/>
        </w:rPr>
        <w:t xml:space="preserve"> </w:t>
      </w:r>
      <w:r w:rsidRPr="00B15134">
        <w:rPr>
          <w:color w:val="000000"/>
          <w:sz w:val="24"/>
          <w:szCs w:val="24"/>
        </w:rPr>
        <w:t>och</w:t>
      </w:r>
      <w:r w:rsidRPr="00B15134">
        <w:rPr>
          <w:color w:val="000000"/>
          <w:spacing w:val="-9"/>
          <w:sz w:val="24"/>
          <w:szCs w:val="24"/>
        </w:rPr>
        <w:t xml:space="preserve"> </w:t>
      </w:r>
      <w:r w:rsidRPr="00B15134">
        <w:rPr>
          <w:color w:val="000000"/>
          <w:sz w:val="24"/>
          <w:szCs w:val="24"/>
        </w:rPr>
        <w:t>enkel</w:t>
      </w:r>
      <w:r w:rsidRPr="00B15134">
        <w:rPr>
          <w:color w:val="000000"/>
          <w:spacing w:val="-9"/>
          <w:sz w:val="24"/>
          <w:szCs w:val="24"/>
        </w:rPr>
        <w:t xml:space="preserve"> </w:t>
      </w:r>
      <w:r w:rsidRPr="00B15134">
        <w:rPr>
          <w:color w:val="000000"/>
          <w:spacing w:val="-3"/>
          <w:sz w:val="24"/>
          <w:szCs w:val="24"/>
        </w:rPr>
        <w:t>m</w:t>
      </w:r>
      <w:r w:rsidRPr="00B15134">
        <w:rPr>
          <w:color w:val="000000"/>
          <w:sz w:val="24"/>
          <w:szCs w:val="24"/>
        </w:rPr>
        <w:t>e</w:t>
      </w:r>
      <w:r w:rsidRPr="00B15134">
        <w:rPr>
          <w:color w:val="000000"/>
          <w:spacing w:val="-1"/>
          <w:sz w:val="24"/>
          <w:szCs w:val="24"/>
        </w:rPr>
        <w:t>t</w:t>
      </w:r>
      <w:r w:rsidRPr="00B15134">
        <w:rPr>
          <w:color w:val="000000"/>
          <w:sz w:val="24"/>
          <w:szCs w:val="24"/>
        </w:rPr>
        <w:t>a</w:t>
      </w:r>
      <w:r w:rsidRPr="00B15134">
        <w:rPr>
          <w:color w:val="000000"/>
          <w:spacing w:val="-3"/>
          <w:sz w:val="24"/>
          <w:szCs w:val="24"/>
        </w:rPr>
        <w:t>b</w:t>
      </w:r>
      <w:r w:rsidRPr="00B15134">
        <w:rPr>
          <w:color w:val="000000"/>
          <w:spacing w:val="-1"/>
          <w:sz w:val="24"/>
          <w:szCs w:val="24"/>
        </w:rPr>
        <w:t>o</w:t>
      </w:r>
      <w:r w:rsidRPr="00B15134">
        <w:rPr>
          <w:color w:val="000000"/>
          <w:spacing w:val="-3"/>
          <w:sz w:val="24"/>
          <w:szCs w:val="24"/>
        </w:rPr>
        <w:t>l</w:t>
      </w:r>
      <w:r w:rsidRPr="00B15134">
        <w:rPr>
          <w:color w:val="000000"/>
          <w:sz w:val="24"/>
          <w:szCs w:val="24"/>
        </w:rPr>
        <w:t>i</w:t>
      </w:r>
      <w:r w:rsidRPr="00B15134">
        <w:rPr>
          <w:color w:val="000000"/>
          <w:spacing w:val="-2"/>
          <w:sz w:val="24"/>
          <w:szCs w:val="24"/>
        </w:rPr>
        <w:t>s</w:t>
      </w:r>
      <w:r w:rsidRPr="00B15134">
        <w:rPr>
          <w:color w:val="000000"/>
          <w:sz w:val="24"/>
          <w:szCs w:val="24"/>
        </w:rPr>
        <w:t>m</w:t>
      </w:r>
      <w:r w:rsidRPr="00B15134">
        <w:rPr>
          <w:color w:val="000000"/>
          <w:spacing w:val="-10"/>
          <w:sz w:val="24"/>
          <w:szCs w:val="24"/>
        </w:rPr>
        <w:t xml:space="preserve"> </w:t>
      </w:r>
      <w:r w:rsidRPr="00B15134">
        <w:rPr>
          <w:color w:val="000000"/>
          <w:spacing w:val="-1"/>
          <w:sz w:val="24"/>
          <w:szCs w:val="24"/>
        </w:rPr>
        <w:t>(r</w:t>
      </w:r>
      <w:r w:rsidRPr="00B15134">
        <w:rPr>
          <w:color w:val="000000"/>
          <w:sz w:val="24"/>
          <w:szCs w:val="24"/>
        </w:rPr>
        <w:t>e</w:t>
      </w:r>
      <w:r w:rsidRPr="00B15134">
        <w:rPr>
          <w:color w:val="000000"/>
          <w:spacing w:val="-3"/>
          <w:sz w:val="24"/>
          <w:szCs w:val="24"/>
        </w:rPr>
        <w:t>n</w:t>
      </w:r>
      <w:r w:rsidRPr="00B15134">
        <w:rPr>
          <w:color w:val="000000"/>
          <w:sz w:val="24"/>
          <w:szCs w:val="24"/>
        </w:rPr>
        <w:t>al</w:t>
      </w:r>
      <w:r w:rsidRPr="00B15134">
        <w:rPr>
          <w:color w:val="000000"/>
          <w:spacing w:val="-9"/>
          <w:sz w:val="24"/>
          <w:szCs w:val="24"/>
        </w:rPr>
        <w:t xml:space="preserve"> </w:t>
      </w:r>
      <w:r w:rsidRPr="00B15134">
        <w:rPr>
          <w:color w:val="000000"/>
          <w:sz w:val="24"/>
          <w:szCs w:val="24"/>
        </w:rPr>
        <w:t>u</w:t>
      </w:r>
      <w:r w:rsidRPr="00B15134">
        <w:rPr>
          <w:color w:val="000000"/>
          <w:spacing w:val="-3"/>
          <w:sz w:val="24"/>
          <w:szCs w:val="24"/>
        </w:rPr>
        <w:t>t</w:t>
      </w:r>
      <w:r w:rsidRPr="00B15134">
        <w:rPr>
          <w:color w:val="000000"/>
          <w:spacing w:val="-2"/>
          <w:sz w:val="24"/>
          <w:szCs w:val="24"/>
        </w:rPr>
        <w:t>s</w:t>
      </w:r>
      <w:r w:rsidRPr="00B15134">
        <w:rPr>
          <w:color w:val="000000"/>
          <w:spacing w:val="-1"/>
          <w:sz w:val="24"/>
          <w:szCs w:val="24"/>
        </w:rPr>
        <w:t>ö</w:t>
      </w:r>
      <w:r w:rsidRPr="00B15134">
        <w:rPr>
          <w:color w:val="000000"/>
          <w:spacing w:val="-3"/>
          <w:sz w:val="24"/>
          <w:szCs w:val="24"/>
        </w:rPr>
        <w:t>n</w:t>
      </w:r>
      <w:r w:rsidRPr="00B15134">
        <w:rPr>
          <w:color w:val="000000"/>
          <w:sz w:val="24"/>
          <w:szCs w:val="24"/>
        </w:rPr>
        <w:t>d</w:t>
      </w:r>
      <w:r w:rsidRPr="00B15134">
        <w:rPr>
          <w:color w:val="000000"/>
          <w:spacing w:val="-1"/>
          <w:sz w:val="24"/>
          <w:szCs w:val="24"/>
        </w:rPr>
        <w:t>r</w:t>
      </w:r>
      <w:r w:rsidRPr="00B15134">
        <w:rPr>
          <w:color w:val="000000"/>
          <w:sz w:val="24"/>
          <w:szCs w:val="24"/>
        </w:rPr>
        <w:t>i</w:t>
      </w:r>
      <w:r w:rsidRPr="00B15134">
        <w:rPr>
          <w:color w:val="000000"/>
          <w:spacing w:val="-3"/>
          <w:sz w:val="24"/>
          <w:szCs w:val="24"/>
        </w:rPr>
        <w:t>n</w:t>
      </w:r>
      <w:r w:rsidRPr="00B15134">
        <w:rPr>
          <w:color w:val="000000"/>
          <w:spacing w:val="-2"/>
          <w:sz w:val="24"/>
          <w:szCs w:val="24"/>
        </w:rPr>
        <w:t>g</w:t>
      </w:r>
      <w:r w:rsidRPr="00B15134">
        <w:rPr>
          <w:color w:val="000000"/>
          <w:spacing w:val="-1"/>
          <w:sz w:val="24"/>
          <w:szCs w:val="24"/>
        </w:rPr>
        <w:t>)</w:t>
      </w:r>
      <w:r w:rsidRPr="00B15134">
        <w:rPr>
          <w:color w:val="000000"/>
          <w:sz w:val="24"/>
          <w:szCs w:val="24"/>
        </w:rPr>
        <w:t>.</w:t>
      </w:r>
      <w:r w:rsidRPr="00B15134">
        <w:rPr>
          <w:color w:val="000000"/>
          <w:spacing w:val="-9"/>
          <w:sz w:val="24"/>
          <w:szCs w:val="24"/>
        </w:rPr>
        <w:t xml:space="preserve"> </w:t>
      </w:r>
      <w:r w:rsidRPr="00B15134">
        <w:rPr>
          <w:color w:val="000000"/>
          <w:spacing w:val="-2"/>
          <w:sz w:val="24"/>
          <w:szCs w:val="24"/>
        </w:rPr>
        <w:t>V</w:t>
      </w:r>
      <w:r w:rsidRPr="00B15134">
        <w:rPr>
          <w:color w:val="000000"/>
          <w:sz w:val="24"/>
          <w:szCs w:val="24"/>
        </w:rPr>
        <w:t>id</w:t>
      </w:r>
      <w:r w:rsidRPr="00B15134">
        <w:rPr>
          <w:color w:val="000000"/>
          <w:spacing w:val="-8"/>
          <w:sz w:val="24"/>
          <w:szCs w:val="24"/>
        </w:rPr>
        <w:t xml:space="preserve"> </w:t>
      </w:r>
      <w:r w:rsidRPr="00B15134">
        <w:rPr>
          <w:color w:val="000000"/>
          <w:spacing w:val="-1"/>
          <w:sz w:val="24"/>
          <w:szCs w:val="24"/>
        </w:rPr>
        <w:t>or</w:t>
      </w:r>
      <w:r w:rsidRPr="00B15134">
        <w:rPr>
          <w:color w:val="000000"/>
          <w:sz w:val="24"/>
          <w:szCs w:val="24"/>
        </w:rPr>
        <w:t>d</w:t>
      </w:r>
      <w:r w:rsidRPr="00B15134">
        <w:rPr>
          <w:color w:val="000000"/>
          <w:spacing w:val="-3"/>
          <w:sz w:val="24"/>
          <w:szCs w:val="24"/>
        </w:rPr>
        <w:t>i</w:t>
      </w:r>
      <w:r w:rsidRPr="00B15134">
        <w:rPr>
          <w:color w:val="000000"/>
          <w:spacing w:val="-1"/>
          <w:sz w:val="24"/>
          <w:szCs w:val="24"/>
        </w:rPr>
        <w:t>n</w:t>
      </w:r>
      <w:r w:rsidRPr="00B15134">
        <w:rPr>
          <w:color w:val="000000"/>
          <w:spacing w:val="-2"/>
          <w:sz w:val="24"/>
          <w:szCs w:val="24"/>
        </w:rPr>
        <w:t>a</w:t>
      </w:r>
      <w:r w:rsidRPr="00B15134">
        <w:rPr>
          <w:color w:val="000000"/>
          <w:spacing w:val="-1"/>
          <w:sz w:val="24"/>
          <w:szCs w:val="24"/>
        </w:rPr>
        <w:t>t</w:t>
      </w:r>
      <w:r w:rsidRPr="00B15134">
        <w:rPr>
          <w:color w:val="000000"/>
          <w:sz w:val="24"/>
          <w:szCs w:val="24"/>
        </w:rPr>
        <w:t>ion</w:t>
      </w:r>
      <w:r w:rsidRPr="00B15134">
        <w:rPr>
          <w:color w:val="000000"/>
          <w:spacing w:val="-9"/>
          <w:sz w:val="24"/>
          <w:szCs w:val="24"/>
        </w:rPr>
        <w:t xml:space="preserve"> </w:t>
      </w:r>
      <w:r w:rsidRPr="00B15134">
        <w:rPr>
          <w:color w:val="000000"/>
          <w:spacing w:val="-2"/>
          <w:sz w:val="24"/>
          <w:szCs w:val="24"/>
        </w:rPr>
        <w:t>s</w:t>
      </w:r>
      <w:r w:rsidRPr="00B15134">
        <w:rPr>
          <w:color w:val="000000"/>
          <w:spacing w:val="-3"/>
          <w:sz w:val="24"/>
          <w:szCs w:val="24"/>
        </w:rPr>
        <w:t>k</w:t>
      </w:r>
      <w:r w:rsidRPr="00B15134">
        <w:rPr>
          <w:color w:val="000000"/>
          <w:sz w:val="24"/>
          <w:szCs w:val="24"/>
        </w:rPr>
        <w:t xml:space="preserve">a </w:t>
      </w:r>
      <w:r w:rsidRPr="00B15134">
        <w:rPr>
          <w:color w:val="000000"/>
          <w:spacing w:val="-1"/>
          <w:sz w:val="24"/>
          <w:szCs w:val="24"/>
        </w:rPr>
        <w:t>m</w:t>
      </w:r>
      <w:r w:rsidRPr="00B15134">
        <w:rPr>
          <w:color w:val="000000"/>
          <w:spacing w:val="1"/>
          <w:sz w:val="24"/>
          <w:szCs w:val="24"/>
        </w:rPr>
        <w:t>å</w:t>
      </w:r>
      <w:r w:rsidRPr="00B15134">
        <w:rPr>
          <w:color w:val="000000"/>
          <w:spacing w:val="-3"/>
          <w:sz w:val="24"/>
          <w:szCs w:val="24"/>
        </w:rPr>
        <w:t>l</w:t>
      </w:r>
      <w:r w:rsidRPr="00B15134">
        <w:rPr>
          <w:color w:val="000000"/>
          <w:sz w:val="24"/>
          <w:szCs w:val="24"/>
        </w:rPr>
        <w:t>et</w:t>
      </w:r>
      <w:r w:rsidRPr="00B15134">
        <w:rPr>
          <w:color w:val="000000"/>
          <w:spacing w:val="-6"/>
          <w:sz w:val="24"/>
          <w:szCs w:val="24"/>
        </w:rPr>
        <w:t xml:space="preserve"> v</w:t>
      </w:r>
      <w:r w:rsidRPr="00B15134">
        <w:rPr>
          <w:color w:val="000000"/>
          <w:sz w:val="24"/>
          <w:szCs w:val="24"/>
        </w:rPr>
        <w:t>a</w:t>
      </w:r>
      <w:r w:rsidRPr="00B15134">
        <w:rPr>
          <w:color w:val="000000"/>
          <w:spacing w:val="-6"/>
          <w:sz w:val="24"/>
          <w:szCs w:val="24"/>
        </w:rPr>
        <w:t>r</w:t>
      </w:r>
      <w:r w:rsidRPr="00B15134">
        <w:rPr>
          <w:color w:val="000000"/>
          <w:sz w:val="24"/>
          <w:szCs w:val="24"/>
        </w:rPr>
        <w:t>a</w:t>
      </w:r>
      <w:r w:rsidRPr="00B15134">
        <w:rPr>
          <w:color w:val="000000"/>
          <w:spacing w:val="-4"/>
          <w:sz w:val="24"/>
          <w:szCs w:val="24"/>
        </w:rPr>
        <w:t xml:space="preserve"> </w:t>
      </w:r>
      <w:r w:rsidRPr="00B15134">
        <w:rPr>
          <w:color w:val="000000"/>
          <w:spacing w:val="-2"/>
          <w:sz w:val="24"/>
          <w:szCs w:val="24"/>
        </w:rPr>
        <w:t>e</w:t>
      </w:r>
      <w:r w:rsidRPr="00B15134">
        <w:rPr>
          <w:color w:val="000000"/>
          <w:sz w:val="24"/>
          <w:szCs w:val="24"/>
        </w:rPr>
        <w:t>n</w:t>
      </w:r>
      <w:r w:rsidRPr="00B15134">
        <w:rPr>
          <w:color w:val="000000"/>
          <w:spacing w:val="-8"/>
          <w:sz w:val="24"/>
          <w:szCs w:val="24"/>
        </w:rPr>
        <w:t xml:space="preserve"> </w:t>
      </w:r>
      <w:r w:rsidRPr="00B15134">
        <w:rPr>
          <w:color w:val="000000"/>
          <w:sz w:val="24"/>
          <w:szCs w:val="24"/>
        </w:rPr>
        <w:t>ko</w:t>
      </w:r>
      <w:r w:rsidRPr="00B15134">
        <w:rPr>
          <w:color w:val="000000"/>
          <w:spacing w:val="-1"/>
          <w:sz w:val="24"/>
          <w:szCs w:val="24"/>
        </w:rPr>
        <w:t>rt</w:t>
      </w:r>
      <w:r w:rsidRPr="00B15134">
        <w:rPr>
          <w:color w:val="000000"/>
          <w:sz w:val="24"/>
          <w:szCs w:val="24"/>
        </w:rPr>
        <w:t>a</w:t>
      </w:r>
      <w:r w:rsidRPr="00B15134">
        <w:rPr>
          <w:color w:val="000000"/>
          <w:spacing w:val="-6"/>
          <w:sz w:val="24"/>
          <w:szCs w:val="24"/>
        </w:rPr>
        <w:t>r</w:t>
      </w:r>
      <w:r w:rsidRPr="00B15134">
        <w:rPr>
          <w:color w:val="000000"/>
          <w:sz w:val="24"/>
          <w:szCs w:val="24"/>
        </w:rPr>
        <w:t>e</w:t>
      </w:r>
      <w:r w:rsidRPr="00B15134">
        <w:rPr>
          <w:color w:val="000000"/>
          <w:spacing w:val="-4"/>
          <w:sz w:val="24"/>
          <w:szCs w:val="24"/>
        </w:rPr>
        <w:t xml:space="preserve"> </w:t>
      </w:r>
      <w:r w:rsidRPr="00B15134">
        <w:rPr>
          <w:color w:val="000000"/>
          <w:spacing w:val="-1"/>
          <w:sz w:val="24"/>
          <w:szCs w:val="24"/>
        </w:rPr>
        <w:t>t</w:t>
      </w:r>
      <w:r w:rsidRPr="00B15134">
        <w:rPr>
          <w:color w:val="000000"/>
          <w:sz w:val="24"/>
          <w:szCs w:val="24"/>
        </w:rPr>
        <w:t>ids</w:t>
      </w:r>
      <w:r w:rsidRPr="00B15134">
        <w:rPr>
          <w:color w:val="000000"/>
          <w:spacing w:val="-11"/>
          <w:sz w:val="24"/>
          <w:szCs w:val="24"/>
        </w:rPr>
        <w:t xml:space="preserve"> </w:t>
      </w:r>
      <w:r w:rsidRPr="00B15134">
        <w:rPr>
          <w:color w:val="000000"/>
          <w:spacing w:val="-1"/>
          <w:sz w:val="24"/>
          <w:szCs w:val="24"/>
        </w:rPr>
        <w:t>b</w:t>
      </w:r>
      <w:r w:rsidRPr="00B15134">
        <w:rPr>
          <w:color w:val="000000"/>
          <w:spacing w:val="-2"/>
          <w:sz w:val="24"/>
          <w:szCs w:val="24"/>
        </w:rPr>
        <w:t>e</w:t>
      </w:r>
      <w:r w:rsidRPr="00B15134">
        <w:rPr>
          <w:color w:val="000000"/>
          <w:spacing w:val="-1"/>
          <w:sz w:val="24"/>
          <w:szCs w:val="24"/>
        </w:rPr>
        <w:t>han</w:t>
      </w:r>
      <w:r w:rsidRPr="00B15134">
        <w:rPr>
          <w:color w:val="000000"/>
          <w:sz w:val="24"/>
          <w:szCs w:val="24"/>
        </w:rPr>
        <w:t>dl</w:t>
      </w:r>
      <w:r w:rsidRPr="00B15134">
        <w:rPr>
          <w:color w:val="000000"/>
          <w:spacing w:val="-3"/>
          <w:sz w:val="24"/>
          <w:szCs w:val="24"/>
        </w:rPr>
        <w:t>in</w:t>
      </w:r>
      <w:r w:rsidRPr="00B15134">
        <w:rPr>
          <w:color w:val="000000"/>
          <w:sz w:val="24"/>
          <w:szCs w:val="24"/>
        </w:rPr>
        <w:t>g med lägsta effektiva dos. Int</w:t>
      </w:r>
      <w:r w:rsidRPr="00B15134">
        <w:rPr>
          <w:color w:val="000000"/>
          <w:spacing w:val="1"/>
          <w:sz w:val="24"/>
          <w:szCs w:val="24"/>
        </w:rPr>
        <w:t>e</w:t>
      </w:r>
      <w:r w:rsidRPr="00B15134">
        <w:rPr>
          <w:color w:val="000000"/>
          <w:spacing w:val="-1"/>
          <w:sz w:val="24"/>
          <w:szCs w:val="24"/>
        </w:rPr>
        <w:t>rm</w:t>
      </w:r>
      <w:r w:rsidRPr="00B15134">
        <w:rPr>
          <w:color w:val="000000"/>
          <w:sz w:val="24"/>
          <w:szCs w:val="24"/>
        </w:rPr>
        <w:t>i</w:t>
      </w:r>
      <w:r w:rsidRPr="00B15134">
        <w:rPr>
          <w:color w:val="000000"/>
          <w:spacing w:val="-1"/>
          <w:sz w:val="24"/>
          <w:szCs w:val="24"/>
        </w:rPr>
        <w:t>t</w:t>
      </w:r>
      <w:r w:rsidRPr="00B15134">
        <w:rPr>
          <w:color w:val="000000"/>
          <w:spacing w:val="-7"/>
          <w:sz w:val="24"/>
          <w:szCs w:val="24"/>
        </w:rPr>
        <w:t>t</w:t>
      </w:r>
      <w:r w:rsidRPr="00B15134">
        <w:rPr>
          <w:color w:val="000000"/>
          <w:sz w:val="24"/>
          <w:szCs w:val="24"/>
        </w:rPr>
        <w:t>ent</w:t>
      </w:r>
      <w:r w:rsidRPr="00B15134">
        <w:rPr>
          <w:color w:val="000000"/>
          <w:spacing w:val="-7"/>
          <w:sz w:val="24"/>
          <w:szCs w:val="24"/>
        </w:rPr>
        <w:t xml:space="preserve"> </w:t>
      </w:r>
      <w:r w:rsidRPr="00B15134">
        <w:rPr>
          <w:color w:val="000000"/>
          <w:sz w:val="24"/>
          <w:szCs w:val="24"/>
        </w:rPr>
        <w:t>d</w:t>
      </w:r>
      <w:r w:rsidRPr="00B15134">
        <w:rPr>
          <w:color w:val="000000"/>
          <w:spacing w:val="-3"/>
          <w:sz w:val="24"/>
          <w:szCs w:val="24"/>
        </w:rPr>
        <w:t>o</w:t>
      </w:r>
      <w:r w:rsidRPr="00B15134">
        <w:rPr>
          <w:color w:val="000000"/>
          <w:spacing w:val="-5"/>
          <w:sz w:val="24"/>
          <w:szCs w:val="24"/>
        </w:rPr>
        <w:t>s</w:t>
      </w:r>
      <w:r w:rsidRPr="00B15134">
        <w:rPr>
          <w:color w:val="000000"/>
          <w:sz w:val="24"/>
          <w:szCs w:val="24"/>
        </w:rPr>
        <w:t>e</w:t>
      </w:r>
      <w:r w:rsidRPr="00B15134">
        <w:rPr>
          <w:color w:val="000000"/>
          <w:spacing w:val="-1"/>
          <w:sz w:val="24"/>
          <w:szCs w:val="24"/>
        </w:rPr>
        <w:t>r</w:t>
      </w:r>
      <w:r w:rsidRPr="00B15134">
        <w:rPr>
          <w:color w:val="000000"/>
          <w:sz w:val="24"/>
          <w:szCs w:val="24"/>
        </w:rPr>
        <w:t>i</w:t>
      </w:r>
      <w:r w:rsidRPr="00B15134">
        <w:rPr>
          <w:color w:val="000000"/>
          <w:spacing w:val="-3"/>
          <w:sz w:val="24"/>
          <w:szCs w:val="24"/>
        </w:rPr>
        <w:t>n</w:t>
      </w:r>
      <w:r w:rsidRPr="00B15134">
        <w:rPr>
          <w:color w:val="000000"/>
          <w:sz w:val="24"/>
          <w:szCs w:val="24"/>
        </w:rPr>
        <w:t>g</w:t>
      </w:r>
      <w:r w:rsidRPr="00B15134">
        <w:rPr>
          <w:color w:val="000000"/>
          <w:spacing w:val="-7"/>
          <w:sz w:val="24"/>
          <w:szCs w:val="24"/>
        </w:rPr>
        <w:t xml:space="preserve"> </w:t>
      </w:r>
      <w:r w:rsidRPr="00B15134">
        <w:rPr>
          <w:color w:val="000000"/>
          <w:sz w:val="24"/>
          <w:szCs w:val="24"/>
        </w:rPr>
        <w:t>är</w:t>
      </w:r>
      <w:r w:rsidRPr="00B15134">
        <w:rPr>
          <w:color w:val="000000"/>
          <w:spacing w:val="-7"/>
          <w:sz w:val="24"/>
          <w:szCs w:val="24"/>
        </w:rPr>
        <w:t xml:space="preserve"> </w:t>
      </w:r>
      <w:r w:rsidRPr="00B15134">
        <w:rPr>
          <w:color w:val="000000"/>
          <w:sz w:val="24"/>
          <w:szCs w:val="24"/>
        </w:rPr>
        <w:t>att</w:t>
      </w:r>
      <w:r w:rsidRPr="00B15134">
        <w:rPr>
          <w:color w:val="000000"/>
          <w:spacing w:val="-10"/>
          <w:sz w:val="24"/>
          <w:szCs w:val="24"/>
        </w:rPr>
        <w:t xml:space="preserve"> </w:t>
      </w:r>
      <w:r w:rsidRPr="00B15134">
        <w:rPr>
          <w:color w:val="000000"/>
          <w:spacing w:val="-1"/>
          <w:sz w:val="24"/>
          <w:szCs w:val="24"/>
        </w:rPr>
        <w:t>för</w:t>
      </w:r>
      <w:r w:rsidRPr="00B15134">
        <w:rPr>
          <w:color w:val="000000"/>
          <w:sz w:val="24"/>
          <w:szCs w:val="24"/>
        </w:rPr>
        <w:t>ed</w:t>
      </w:r>
      <w:r w:rsidRPr="00B15134">
        <w:rPr>
          <w:color w:val="000000"/>
          <w:spacing w:val="-1"/>
          <w:sz w:val="24"/>
          <w:szCs w:val="24"/>
        </w:rPr>
        <w:t>r</w:t>
      </w:r>
      <w:r w:rsidRPr="00B15134">
        <w:rPr>
          <w:color w:val="000000"/>
          <w:spacing w:val="-2"/>
          <w:sz w:val="24"/>
          <w:szCs w:val="24"/>
        </w:rPr>
        <w:t>a</w:t>
      </w:r>
      <w:r w:rsidRPr="00B15134">
        <w:rPr>
          <w:color w:val="000000"/>
          <w:sz w:val="24"/>
          <w:szCs w:val="24"/>
        </w:rPr>
        <w:t>.</w:t>
      </w:r>
      <w:r w:rsidRPr="00B15134">
        <w:rPr>
          <w:color w:val="000000"/>
          <w:spacing w:val="-9"/>
          <w:sz w:val="24"/>
          <w:szCs w:val="24"/>
        </w:rPr>
        <w:t xml:space="preserve"> </w:t>
      </w:r>
      <w:r w:rsidRPr="00B15134">
        <w:rPr>
          <w:color w:val="000000"/>
          <w:spacing w:val="-2"/>
          <w:sz w:val="24"/>
          <w:szCs w:val="24"/>
        </w:rPr>
        <w:t>R</w:t>
      </w:r>
      <w:r w:rsidRPr="00B15134">
        <w:rPr>
          <w:color w:val="000000"/>
          <w:sz w:val="24"/>
          <w:szCs w:val="24"/>
        </w:rPr>
        <w:t>i</w:t>
      </w:r>
      <w:r w:rsidRPr="00B15134">
        <w:rPr>
          <w:color w:val="000000"/>
          <w:spacing w:val="-5"/>
          <w:sz w:val="24"/>
          <w:szCs w:val="24"/>
        </w:rPr>
        <w:t>s</w:t>
      </w:r>
      <w:r w:rsidRPr="00B15134">
        <w:rPr>
          <w:color w:val="000000"/>
          <w:sz w:val="24"/>
          <w:szCs w:val="24"/>
        </w:rPr>
        <w:t xml:space="preserve">ken </w:t>
      </w:r>
      <w:r w:rsidRPr="00B15134">
        <w:rPr>
          <w:color w:val="000000"/>
          <w:spacing w:val="-1"/>
          <w:sz w:val="24"/>
          <w:szCs w:val="24"/>
        </w:rPr>
        <w:t>f</w:t>
      </w:r>
      <w:r w:rsidRPr="00B15134">
        <w:rPr>
          <w:color w:val="000000"/>
          <w:sz w:val="24"/>
          <w:szCs w:val="24"/>
        </w:rPr>
        <w:t>ör</w:t>
      </w:r>
      <w:r w:rsidRPr="00B15134">
        <w:rPr>
          <w:color w:val="000000"/>
          <w:spacing w:val="-14"/>
          <w:sz w:val="24"/>
          <w:szCs w:val="24"/>
        </w:rPr>
        <w:t xml:space="preserve"> </w:t>
      </w:r>
      <w:r w:rsidRPr="00B15134">
        <w:rPr>
          <w:color w:val="000000"/>
          <w:sz w:val="24"/>
          <w:szCs w:val="24"/>
        </w:rPr>
        <w:t>be</w:t>
      </w:r>
      <w:r w:rsidRPr="00B15134">
        <w:rPr>
          <w:color w:val="000000"/>
          <w:spacing w:val="-1"/>
          <w:sz w:val="24"/>
          <w:szCs w:val="24"/>
        </w:rPr>
        <w:t>ro</w:t>
      </w:r>
      <w:r w:rsidRPr="00B15134">
        <w:rPr>
          <w:color w:val="000000"/>
          <w:spacing w:val="-2"/>
          <w:sz w:val="24"/>
          <w:szCs w:val="24"/>
        </w:rPr>
        <w:t>e</w:t>
      </w:r>
      <w:r w:rsidRPr="00B15134">
        <w:rPr>
          <w:color w:val="000000"/>
          <w:sz w:val="24"/>
          <w:szCs w:val="24"/>
        </w:rPr>
        <w:t>nde</w:t>
      </w:r>
      <w:r w:rsidRPr="00B15134">
        <w:rPr>
          <w:color w:val="000000"/>
          <w:spacing w:val="-10"/>
          <w:sz w:val="24"/>
          <w:szCs w:val="24"/>
        </w:rPr>
        <w:t xml:space="preserve"> </w:t>
      </w:r>
      <w:r w:rsidRPr="00B15134">
        <w:rPr>
          <w:color w:val="000000"/>
          <w:spacing w:val="-2"/>
          <w:sz w:val="24"/>
          <w:szCs w:val="24"/>
        </w:rPr>
        <w:t>s</w:t>
      </w:r>
      <w:r w:rsidRPr="00B15134">
        <w:rPr>
          <w:color w:val="000000"/>
          <w:spacing w:val="-3"/>
          <w:sz w:val="24"/>
          <w:szCs w:val="24"/>
        </w:rPr>
        <w:t>k</w:t>
      </w:r>
      <w:r w:rsidRPr="00B15134">
        <w:rPr>
          <w:color w:val="000000"/>
          <w:sz w:val="24"/>
          <w:szCs w:val="24"/>
        </w:rPr>
        <w:t>a</w:t>
      </w:r>
      <w:r w:rsidRPr="00B15134">
        <w:rPr>
          <w:color w:val="000000"/>
          <w:spacing w:val="-9"/>
          <w:sz w:val="24"/>
          <w:szCs w:val="24"/>
        </w:rPr>
        <w:t xml:space="preserve"> </w:t>
      </w:r>
      <w:r w:rsidRPr="00B15134">
        <w:rPr>
          <w:color w:val="000000"/>
          <w:spacing w:val="-3"/>
          <w:sz w:val="24"/>
          <w:szCs w:val="24"/>
        </w:rPr>
        <w:t>d</w:t>
      </w:r>
      <w:r w:rsidRPr="00B15134">
        <w:rPr>
          <w:color w:val="000000"/>
          <w:sz w:val="24"/>
          <w:szCs w:val="24"/>
        </w:rPr>
        <w:t>i</w:t>
      </w:r>
      <w:r w:rsidRPr="00B15134">
        <w:rPr>
          <w:color w:val="000000"/>
          <w:spacing w:val="-2"/>
          <w:sz w:val="24"/>
          <w:szCs w:val="24"/>
        </w:rPr>
        <w:t>s</w:t>
      </w:r>
      <w:r w:rsidRPr="00B15134">
        <w:rPr>
          <w:color w:val="000000"/>
          <w:sz w:val="24"/>
          <w:szCs w:val="24"/>
        </w:rPr>
        <w:t>ku</w:t>
      </w:r>
      <w:r w:rsidRPr="00B15134">
        <w:rPr>
          <w:color w:val="000000"/>
          <w:spacing w:val="-3"/>
          <w:sz w:val="24"/>
          <w:szCs w:val="24"/>
        </w:rPr>
        <w:t>t</w:t>
      </w:r>
      <w:r w:rsidRPr="00B15134">
        <w:rPr>
          <w:color w:val="000000"/>
          <w:sz w:val="24"/>
          <w:szCs w:val="24"/>
        </w:rPr>
        <w:t>e</w:t>
      </w:r>
      <w:r w:rsidRPr="00B15134">
        <w:rPr>
          <w:color w:val="000000"/>
          <w:spacing w:val="-9"/>
          <w:sz w:val="24"/>
          <w:szCs w:val="24"/>
        </w:rPr>
        <w:t>r</w:t>
      </w:r>
      <w:r w:rsidRPr="00B15134">
        <w:rPr>
          <w:color w:val="000000"/>
          <w:sz w:val="24"/>
          <w:szCs w:val="24"/>
        </w:rPr>
        <w:t>as</w:t>
      </w:r>
      <w:r w:rsidRPr="00B15134">
        <w:rPr>
          <w:color w:val="000000"/>
          <w:spacing w:val="-10"/>
          <w:sz w:val="24"/>
          <w:szCs w:val="24"/>
        </w:rPr>
        <w:t xml:space="preserve"> </w:t>
      </w:r>
      <w:r w:rsidRPr="00B15134">
        <w:rPr>
          <w:color w:val="000000"/>
          <w:sz w:val="24"/>
          <w:szCs w:val="24"/>
        </w:rPr>
        <w:t>med</w:t>
      </w:r>
      <w:r w:rsidRPr="00B15134">
        <w:rPr>
          <w:color w:val="000000"/>
          <w:spacing w:val="-11"/>
          <w:sz w:val="24"/>
          <w:szCs w:val="24"/>
        </w:rPr>
        <w:t xml:space="preserve"> </w:t>
      </w:r>
      <w:r w:rsidRPr="00B15134">
        <w:rPr>
          <w:color w:val="000000"/>
          <w:sz w:val="24"/>
          <w:szCs w:val="24"/>
        </w:rPr>
        <w:t>pa</w:t>
      </w:r>
      <w:r w:rsidRPr="00B15134">
        <w:rPr>
          <w:color w:val="000000"/>
          <w:spacing w:val="-1"/>
          <w:sz w:val="24"/>
          <w:szCs w:val="24"/>
        </w:rPr>
        <w:t>t</w:t>
      </w:r>
      <w:r w:rsidRPr="00B15134">
        <w:rPr>
          <w:color w:val="000000"/>
          <w:sz w:val="24"/>
          <w:szCs w:val="24"/>
        </w:rPr>
        <w:t>i</w:t>
      </w:r>
      <w:r w:rsidRPr="00B15134">
        <w:rPr>
          <w:color w:val="000000"/>
          <w:spacing w:val="-2"/>
          <w:sz w:val="24"/>
          <w:szCs w:val="24"/>
        </w:rPr>
        <w:t>e</w:t>
      </w:r>
      <w:r w:rsidRPr="00B15134">
        <w:rPr>
          <w:color w:val="000000"/>
          <w:spacing w:val="-1"/>
          <w:sz w:val="24"/>
          <w:szCs w:val="24"/>
        </w:rPr>
        <w:t>nt</w:t>
      </w:r>
      <w:r w:rsidRPr="00B15134">
        <w:rPr>
          <w:color w:val="000000"/>
          <w:spacing w:val="-2"/>
          <w:sz w:val="24"/>
          <w:szCs w:val="24"/>
        </w:rPr>
        <w:t>e</w:t>
      </w:r>
      <w:r w:rsidRPr="00B15134">
        <w:rPr>
          <w:color w:val="000000"/>
          <w:spacing w:val="-3"/>
          <w:sz w:val="24"/>
          <w:szCs w:val="24"/>
        </w:rPr>
        <w:t>n.</w:t>
      </w:r>
    </w:p>
    <w:p w14:paraId="0F53E993" w14:textId="77777777" w:rsidR="00702564" w:rsidRPr="00F017A4" w:rsidRDefault="00702564" w:rsidP="00702564">
      <w:pPr>
        <w:pStyle w:val="Rubrik3"/>
      </w:pPr>
      <w:r>
        <w:lastRenderedPageBreak/>
        <w:t>Behandlingstid</w:t>
      </w:r>
    </w:p>
    <w:p w14:paraId="21345B29" w14:textId="77777777" w:rsidR="00702564" w:rsidRPr="00B15134" w:rsidRDefault="00702564" w:rsidP="00702564">
      <w:pPr>
        <w:spacing w:before="120"/>
        <w:rPr>
          <w:sz w:val="24"/>
          <w:szCs w:val="24"/>
        </w:rPr>
      </w:pPr>
      <w:r w:rsidRPr="3A20558F">
        <w:rPr>
          <w:sz w:val="24"/>
          <w:szCs w:val="24"/>
        </w:rPr>
        <w:t xml:space="preserve">Kontinuerlig behandling av </w:t>
      </w:r>
      <w:r w:rsidRPr="3A20558F">
        <w:rPr>
          <w:sz w:val="24"/>
          <w:szCs w:val="24"/>
          <w:u w:val="single"/>
        </w:rPr>
        <w:t>tillfällig</w:t>
      </w:r>
      <w:r w:rsidRPr="3A20558F">
        <w:rPr>
          <w:sz w:val="24"/>
          <w:szCs w:val="24"/>
        </w:rPr>
        <w:t xml:space="preserve"> ångest ska vara under kortare tid (en månad eller kortare). Efter denna tid, om behandling behöver fortsätta ska diagnosen omprövas: är det fråga om annan psykisk eller somatisk sjuklighet (ångestsyndrom, depression, med flera)? Intermittent behandling ska omprövas efter 3–6 månader, beroende på hur ofta patienten har ångestepisoder. Annan psykisk eller somatisk sjuklighet ska uteslutas. </w:t>
      </w:r>
    </w:p>
    <w:p w14:paraId="7099F48E" w14:textId="77777777" w:rsidR="00702564" w:rsidRPr="000F62BE" w:rsidRDefault="00702564" w:rsidP="00702564">
      <w:pPr>
        <w:pStyle w:val="Rubrik3"/>
      </w:pPr>
      <w:r>
        <w:t>Byte av läkemedel</w:t>
      </w:r>
    </w:p>
    <w:p w14:paraId="5D47E26C" w14:textId="77777777" w:rsidR="00702564" w:rsidRPr="008453A0" w:rsidRDefault="00702564" w:rsidP="00702564">
      <w:pPr>
        <w:spacing w:before="120"/>
        <w:rPr>
          <w:sz w:val="24"/>
          <w:szCs w:val="24"/>
        </w:rPr>
      </w:pPr>
      <w:r w:rsidRPr="3A20558F">
        <w:rPr>
          <w:sz w:val="24"/>
          <w:szCs w:val="24"/>
        </w:rPr>
        <w:t>Om behandlingen inte visar sig vara effektiv, bör man byta till annat rekommenderat läkemedel. Om även denna behandling inte hjälper, bör annan diagnos övervägas.</w:t>
      </w:r>
    </w:p>
    <w:p w14:paraId="29C6265F" w14:textId="77777777" w:rsidR="00702564" w:rsidRPr="000F62BE" w:rsidRDefault="00702564" w:rsidP="00702564">
      <w:pPr>
        <w:pStyle w:val="Rubrik3"/>
      </w:pPr>
      <w:r>
        <w:t>Utsättning av läkemedel</w:t>
      </w:r>
    </w:p>
    <w:p w14:paraId="31BADBE3" w14:textId="77777777" w:rsidR="00702564" w:rsidRPr="008453A0" w:rsidRDefault="00702564" w:rsidP="00702564">
      <w:pPr>
        <w:spacing w:before="120"/>
        <w:rPr>
          <w:sz w:val="24"/>
          <w:szCs w:val="24"/>
        </w:rPr>
      </w:pPr>
      <w:r w:rsidRPr="3A20558F">
        <w:rPr>
          <w:sz w:val="24"/>
          <w:szCs w:val="24"/>
        </w:rPr>
        <w:t>Hydroxizin och prometazin är sällan förknippade med utsättningsproblem men kan vid tvär utsättning ibland resultera i kolinergt reboundfenomen t.ex. akatisi (inre spänning med medföljande psykomotorisk rastlöshet), diarré, illamående, förvirringstillstånd.</w:t>
      </w:r>
    </w:p>
    <w:p w14:paraId="689250FB" w14:textId="77777777" w:rsidR="00702564" w:rsidRPr="008453A0" w:rsidRDefault="00702564" w:rsidP="00702564">
      <w:pPr>
        <w:spacing w:before="120"/>
        <w:rPr>
          <w:sz w:val="24"/>
          <w:szCs w:val="24"/>
        </w:rPr>
      </w:pPr>
      <w:r w:rsidRPr="3A20558F">
        <w:rPr>
          <w:sz w:val="24"/>
          <w:szCs w:val="24"/>
        </w:rPr>
        <w:t>Oxazepam är vid kortare tids behandling (mindre än en vecka) sällan förknippat med utsättningsproblem.  Vid längre tids behandling kan en nedtrappning vara rimlig, framför allt i syfte att förebygga ångest orsakad av läkemedlets utsättning och abstinenssymtom. Nedtrappningsschema finns angivet i FASUT 3.</w:t>
      </w:r>
    </w:p>
    <w:p w14:paraId="50398BE4" w14:textId="77777777" w:rsidR="00702564" w:rsidRPr="0071138D" w:rsidRDefault="00702564" w:rsidP="00702564">
      <w:pPr>
        <w:pStyle w:val="Rubrik3"/>
      </w:pPr>
      <w:r>
        <w:t>Varför rekommenderas inte?</w:t>
      </w:r>
    </w:p>
    <w:p w14:paraId="4AB89A72" w14:textId="77777777" w:rsidR="00702564" w:rsidRPr="008453A0" w:rsidRDefault="00702564" w:rsidP="00702564">
      <w:pPr>
        <w:spacing w:before="120"/>
        <w:rPr>
          <w:sz w:val="24"/>
          <w:szCs w:val="24"/>
        </w:rPr>
      </w:pPr>
      <w:r w:rsidRPr="008453A0">
        <w:rPr>
          <w:b/>
          <w:bCs/>
          <w:sz w:val="24"/>
          <w:szCs w:val="24"/>
        </w:rPr>
        <w:t>Andra bensodiazepiner</w:t>
      </w:r>
      <w:r w:rsidRPr="008453A0">
        <w:rPr>
          <w:sz w:val="24"/>
          <w:szCs w:val="24"/>
        </w:rPr>
        <w:t xml:space="preserve"> (till exempel diazepam, alprazolam, lorazepam) och </w:t>
      </w:r>
      <w:r w:rsidRPr="008453A0">
        <w:rPr>
          <w:b/>
          <w:bCs/>
          <w:sz w:val="24"/>
          <w:szCs w:val="24"/>
        </w:rPr>
        <w:t xml:space="preserve">klometiazol </w:t>
      </w:r>
      <w:r w:rsidRPr="008453A0">
        <w:rPr>
          <w:sz w:val="24"/>
          <w:szCs w:val="24"/>
        </w:rPr>
        <w:t>(Heminevrin)</w:t>
      </w:r>
      <w:r w:rsidRPr="008453A0">
        <w:rPr>
          <w:b/>
          <w:bCs/>
          <w:sz w:val="24"/>
          <w:szCs w:val="24"/>
        </w:rPr>
        <w:t xml:space="preserve"> </w:t>
      </w:r>
      <w:r w:rsidRPr="008453A0">
        <w:rPr>
          <w:sz w:val="24"/>
          <w:szCs w:val="24"/>
        </w:rPr>
        <w:t>rekommenderas inte vid tillfällig ångest på grund av risken för beroendeutveckling och andra biverkningar.</w:t>
      </w:r>
      <w:r w:rsidRPr="008453A0">
        <w:rPr>
          <w:b/>
          <w:sz w:val="24"/>
          <w:szCs w:val="24"/>
        </w:rPr>
        <w:tab/>
      </w:r>
    </w:p>
    <w:p w14:paraId="2709E17B" w14:textId="77777777" w:rsidR="00702564" w:rsidRDefault="00702564" w:rsidP="00702564">
      <w:pPr>
        <w:pStyle w:val="Rubrik3"/>
      </w:pPr>
      <w:r>
        <w:t>Länkar och referenser</w:t>
      </w:r>
    </w:p>
    <w:p w14:paraId="411BEBE6" w14:textId="77777777" w:rsidR="00702564" w:rsidRPr="008453A0" w:rsidRDefault="00702564" w:rsidP="00702564">
      <w:pPr>
        <w:spacing w:before="120" w:line="260" w:lineRule="exact"/>
        <w:rPr>
          <w:rStyle w:val="Hyperlnk"/>
          <w:rFonts w:cs="Arial"/>
          <w:b/>
          <w:sz w:val="24"/>
          <w:szCs w:val="24"/>
        </w:rPr>
      </w:pPr>
      <w:hyperlink r:id="rId167" w:history="1">
        <w:r w:rsidRPr="008453A0">
          <w:rPr>
            <w:rStyle w:val="Hyperlnk"/>
            <w:sz w:val="24"/>
            <w:szCs w:val="24"/>
          </w:rPr>
          <w:t>Läkemedelsboken 2015, Ångest och oro</w:t>
        </w:r>
      </w:hyperlink>
    </w:p>
    <w:p w14:paraId="6735A394" w14:textId="77777777" w:rsidR="00702564" w:rsidRPr="008453A0" w:rsidRDefault="00702564" w:rsidP="00702564">
      <w:pPr>
        <w:spacing w:before="120" w:line="260" w:lineRule="exact"/>
        <w:rPr>
          <w:rStyle w:val="Hyperlnk"/>
          <w:sz w:val="24"/>
          <w:szCs w:val="24"/>
        </w:rPr>
      </w:pPr>
      <w:hyperlink r:id="rId168" w:history="1">
        <w:r w:rsidRPr="008453A0">
          <w:rPr>
            <w:rStyle w:val="Hyperlnk"/>
            <w:sz w:val="24"/>
            <w:szCs w:val="24"/>
          </w:rPr>
          <w:t>Hospital Anxietry and Depression Scale (på svenska)</w:t>
        </w:r>
      </w:hyperlink>
    </w:p>
    <w:p w14:paraId="0FD15A7B" w14:textId="77777777" w:rsidR="00702564" w:rsidRDefault="00702564" w:rsidP="00702564">
      <w:pPr>
        <w:spacing w:before="120" w:line="260" w:lineRule="exact"/>
        <w:rPr>
          <w:sz w:val="24"/>
          <w:szCs w:val="24"/>
        </w:rPr>
      </w:pPr>
      <w:hyperlink r:id="rId169">
        <w:r w:rsidRPr="3A20558F">
          <w:rPr>
            <w:color w:val="0000FF"/>
            <w:sz w:val="24"/>
            <w:szCs w:val="24"/>
            <w:u w:val="single"/>
          </w:rPr>
          <w:t>Nationella riktlinjer för vård vid depression och ångestsyndrom - Socialstyrelsen</w:t>
        </w:r>
      </w:hyperlink>
      <w:r w:rsidRPr="3A20558F">
        <w:rPr>
          <w:sz w:val="24"/>
          <w:szCs w:val="24"/>
        </w:rPr>
        <w:t>, 2021</w:t>
      </w:r>
    </w:p>
    <w:p w14:paraId="6D88E1DE" w14:textId="77777777" w:rsidR="00702564" w:rsidRPr="0071138D" w:rsidRDefault="00702564" w:rsidP="00702564">
      <w:pPr>
        <w:pStyle w:val="Rubrik2"/>
      </w:pPr>
      <w:r w:rsidRPr="0071138D">
        <w:rPr>
          <w:spacing w:val="-8"/>
        </w:rPr>
        <w:t>Å</w:t>
      </w:r>
      <w:r w:rsidRPr="0071138D">
        <w:rPr>
          <w:spacing w:val="-2"/>
        </w:rPr>
        <w:t>n</w:t>
      </w:r>
      <w:r w:rsidRPr="0071138D">
        <w:t>g</w:t>
      </w:r>
      <w:r w:rsidRPr="0071138D">
        <w:rPr>
          <w:spacing w:val="-1"/>
        </w:rPr>
        <w:t>es</w:t>
      </w:r>
      <w:r w:rsidRPr="0071138D">
        <w:t>t</w:t>
      </w:r>
      <w:r w:rsidRPr="0071138D">
        <w:rPr>
          <w:spacing w:val="9"/>
        </w:rPr>
        <w:t>s</w:t>
      </w:r>
      <w:r w:rsidRPr="0071138D">
        <w:rPr>
          <w:spacing w:val="-20"/>
        </w:rPr>
        <w:t>y</w:t>
      </w:r>
      <w:r w:rsidRPr="0071138D">
        <w:rPr>
          <w:spacing w:val="-2"/>
        </w:rPr>
        <w:t>n</w:t>
      </w:r>
      <w:r w:rsidRPr="0071138D">
        <w:t>d</w:t>
      </w:r>
      <w:r w:rsidRPr="0071138D">
        <w:rPr>
          <w:spacing w:val="1"/>
        </w:rPr>
        <w:t>r</w:t>
      </w:r>
      <w:r w:rsidRPr="0071138D">
        <w:t>om</w:t>
      </w:r>
    </w:p>
    <w:p w14:paraId="374E02E7" w14:textId="77777777" w:rsidR="00702564" w:rsidRPr="0071138D" w:rsidRDefault="00702564" w:rsidP="00702564">
      <w:pPr>
        <w:rPr>
          <w:rFonts w:cs="Arial"/>
          <w:b/>
          <w:bCs/>
          <w:sz w:val="28"/>
          <w:szCs w:val="28"/>
        </w:rPr>
      </w:pPr>
      <w:r w:rsidRPr="3A20558F">
        <w:rPr>
          <w:rFonts w:asciiTheme="majorHAnsi" w:eastAsiaTheme="majorEastAsia" w:hAnsiTheme="majorHAnsi" w:cstheme="majorBidi"/>
          <w:b/>
          <w:bCs/>
        </w:rPr>
        <w:t>Senast uppdaterad 2021-04-28</w:t>
      </w:r>
      <w:r w:rsidRPr="3A20558F">
        <w:rPr>
          <w:rFonts w:asciiTheme="majorHAnsi" w:eastAsiaTheme="majorEastAsia" w:hAnsiTheme="majorHAnsi" w:cstheme="majorBidi"/>
          <w:b/>
          <w:bCs/>
          <w:sz w:val="28"/>
          <w:szCs w:val="28"/>
        </w:rPr>
        <w:t xml:space="preserve"> </w:t>
      </w:r>
      <w:r w:rsidRPr="3A20558F">
        <w:rPr>
          <w:rFonts w:cs="Arial"/>
          <w:b/>
          <w:bCs/>
          <w:sz w:val="28"/>
          <w:szCs w:val="28"/>
        </w:rPr>
        <w:t xml:space="preserve">                  </w:t>
      </w:r>
    </w:p>
    <w:p w14:paraId="46D21822" w14:textId="77777777" w:rsidR="00702564" w:rsidRPr="00B25564" w:rsidRDefault="00702564" w:rsidP="00702564">
      <w:pPr>
        <w:rPr>
          <w:sz w:val="24"/>
          <w:szCs w:val="24"/>
        </w:rPr>
      </w:pPr>
    </w:p>
    <w:p w14:paraId="04F49D62" w14:textId="77777777" w:rsidR="00702564" w:rsidRDefault="00702564" w:rsidP="00702564">
      <w:pPr>
        <w:spacing w:before="120"/>
      </w:pPr>
      <w:r w:rsidRPr="3A20558F">
        <w:rPr>
          <w:sz w:val="24"/>
          <w:szCs w:val="24"/>
        </w:rPr>
        <w:t>Generaliserad ångest, paniksyndrom, social fobi, tvångssyndrom, posttraumatiskt stressyndrom.</w:t>
      </w:r>
    </w:p>
    <w:tbl>
      <w:tblPr>
        <w:tblStyle w:val="RegionBlekinge-medlinjer"/>
        <w:tblW w:w="0" w:type="auto"/>
        <w:tblLook w:val="04A0" w:firstRow="1" w:lastRow="0" w:firstColumn="1" w:lastColumn="0" w:noHBand="0" w:noVBand="1"/>
      </w:tblPr>
      <w:tblGrid>
        <w:gridCol w:w="3963"/>
        <w:gridCol w:w="3963"/>
      </w:tblGrid>
      <w:tr w:rsidR="00702564" w:rsidRPr="008453A0" w14:paraId="725443E2" w14:textId="77777777" w:rsidTr="0063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14:paraId="37466197" w14:textId="77777777" w:rsidR="00702564" w:rsidRPr="008453A0" w:rsidRDefault="00702564" w:rsidP="00632FCC">
            <w:pPr>
              <w:rPr>
                <w:sz w:val="24"/>
                <w:szCs w:val="24"/>
              </w:rPr>
            </w:pPr>
            <w:r w:rsidRPr="008453A0">
              <w:rPr>
                <w:rFonts w:eastAsia="Garamond" w:cs="Garamond"/>
                <w:color w:val="211F1A"/>
                <w:sz w:val="24"/>
                <w:szCs w:val="24"/>
              </w:rPr>
              <w:t>se</w:t>
            </w:r>
            <w:r w:rsidRPr="008453A0">
              <w:rPr>
                <w:rFonts w:eastAsia="Garamond" w:cs="Garamond"/>
                <w:color w:val="211F1A"/>
                <w:spacing w:val="-1"/>
                <w:sz w:val="24"/>
                <w:szCs w:val="24"/>
              </w:rPr>
              <w:t>r</w:t>
            </w:r>
            <w:r w:rsidRPr="008453A0">
              <w:rPr>
                <w:rFonts w:eastAsia="Garamond" w:cs="Garamond"/>
                <w:color w:val="211F1A"/>
                <w:sz w:val="24"/>
                <w:szCs w:val="24"/>
              </w:rPr>
              <w:t>t</w:t>
            </w:r>
            <w:r w:rsidRPr="008453A0">
              <w:rPr>
                <w:rFonts w:eastAsia="Garamond" w:cs="Garamond"/>
                <w:color w:val="211F1A"/>
                <w:spacing w:val="-2"/>
                <w:sz w:val="24"/>
                <w:szCs w:val="24"/>
              </w:rPr>
              <w:t>r</w:t>
            </w:r>
            <w:r w:rsidRPr="008453A0">
              <w:rPr>
                <w:rFonts w:eastAsia="Garamond" w:cs="Garamond"/>
                <w:color w:val="211F1A"/>
                <w:sz w:val="24"/>
                <w:szCs w:val="24"/>
              </w:rPr>
              <w:t>alin</w:t>
            </w:r>
          </w:p>
        </w:tc>
        <w:tc>
          <w:tcPr>
            <w:tcW w:w="3963" w:type="dxa"/>
          </w:tcPr>
          <w:p w14:paraId="221A9F0C" w14:textId="77777777" w:rsidR="00702564" w:rsidRPr="008453A0" w:rsidRDefault="00702564" w:rsidP="00632FCC">
            <w:pPr>
              <w:cnfStyle w:val="100000000000" w:firstRow="1" w:lastRow="0" w:firstColumn="0" w:lastColumn="0" w:oddVBand="0" w:evenVBand="0" w:oddHBand="0" w:evenHBand="0" w:firstRowFirstColumn="0" w:firstRowLastColumn="0" w:lastRowFirstColumn="0" w:lastRowLastColumn="0"/>
              <w:rPr>
                <w:b w:val="0"/>
                <w:sz w:val="24"/>
                <w:szCs w:val="24"/>
              </w:rPr>
            </w:pPr>
            <w:r w:rsidRPr="3A20558F">
              <w:rPr>
                <w:rFonts w:eastAsia="Garamond" w:cs="Garamond"/>
                <w:b w:val="0"/>
                <w:color w:val="211F1A"/>
                <w:sz w:val="24"/>
                <w:szCs w:val="24"/>
              </w:rPr>
              <w:t>S</w:t>
            </w:r>
            <w:r w:rsidRPr="3A20558F">
              <w:rPr>
                <w:rFonts w:eastAsia="Garamond" w:cs="Garamond"/>
                <w:b w:val="0"/>
                <w:color w:val="211F1A"/>
                <w:spacing w:val="-1"/>
                <w:sz w:val="24"/>
                <w:szCs w:val="24"/>
              </w:rPr>
              <w:t>er</w:t>
            </w:r>
            <w:r w:rsidRPr="3A20558F">
              <w:rPr>
                <w:rFonts w:eastAsia="Garamond" w:cs="Garamond"/>
                <w:b w:val="0"/>
                <w:color w:val="211F1A"/>
                <w:sz w:val="24"/>
                <w:szCs w:val="24"/>
              </w:rPr>
              <w:t>t</w:t>
            </w:r>
            <w:r w:rsidRPr="3A20558F">
              <w:rPr>
                <w:rFonts w:eastAsia="Garamond" w:cs="Garamond"/>
                <w:b w:val="0"/>
                <w:color w:val="211F1A"/>
                <w:spacing w:val="-1"/>
                <w:sz w:val="24"/>
                <w:szCs w:val="24"/>
              </w:rPr>
              <w:t>r</w:t>
            </w:r>
            <w:r w:rsidRPr="3A20558F">
              <w:rPr>
                <w:rFonts w:eastAsia="Garamond" w:cs="Garamond"/>
                <w:b w:val="0"/>
                <w:color w:val="211F1A"/>
                <w:sz w:val="24"/>
                <w:szCs w:val="24"/>
              </w:rPr>
              <w:t>a</w:t>
            </w:r>
            <w:r w:rsidRPr="3A20558F">
              <w:rPr>
                <w:rFonts w:eastAsia="Garamond" w:cs="Garamond"/>
                <w:b w:val="0"/>
                <w:color w:val="211F1A"/>
                <w:spacing w:val="-6"/>
                <w:sz w:val="24"/>
                <w:szCs w:val="24"/>
              </w:rPr>
              <w:t>l</w:t>
            </w:r>
            <w:r w:rsidRPr="3A20558F">
              <w:rPr>
                <w:rFonts w:eastAsia="Garamond" w:cs="Garamond"/>
                <w:b w:val="0"/>
                <w:color w:val="211F1A"/>
                <w:sz w:val="24"/>
                <w:szCs w:val="24"/>
              </w:rPr>
              <w:t>in</w:t>
            </w:r>
          </w:p>
        </w:tc>
      </w:tr>
    </w:tbl>
    <w:p w14:paraId="25BD1B9B" w14:textId="77777777" w:rsidR="00702564" w:rsidRPr="0028434E" w:rsidRDefault="00702564" w:rsidP="00702564">
      <w:pPr>
        <w:pStyle w:val="Rubrik3"/>
      </w:pPr>
      <w:r w:rsidRPr="0028434E">
        <w:t>I</w:t>
      </w:r>
      <w:r w:rsidRPr="0028434E">
        <w:rPr>
          <w:spacing w:val="-1"/>
        </w:rPr>
        <w:t>n</w:t>
      </w:r>
      <w:r w:rsidRPr="0028434E">
        <w:t>le</w:t>
      </w:r>
      <w:r w:rsidRPr="0028434E">
        <w:rPr>
          <w:spacing w:val="-6"/>
        </w:rPr>
        <w:t>d</w:t>
      </w:r>
      <w:r w:rsidRPr="0028434E">
        <w:rPr>
          <w:spacing w:val="-1"/>
        </w:rPr>
        <w:t>n</w:t>
      </w:r>
      <w:r w:rsidRPr="0028434E">
        <w:t>i</w:t>
      </w:r>
      <w:r w:rsidRPr="0028434E">
        <w:rPr>
          <w:spacing w:val="-3"/>
        </w:rPr>
        <w:t>ng</w:t>
      </w:r>
    </w:p>
    <w:p w14:paraId="62D8CF5D" w14:textId="77777777" w:rsidR="00702564" w:rsidRPr="00B15134" w:rsidRDefault="00702564" w:rsidP="00702564">
      <w:pPr>
        <w:spacing w:before="120"/>
        <w:rPr>
          <w:sz w:val="24"/>
          <w:szCs w:val="24"/>
        </w:rPr>
      </w:pPr>
      <w:r w:rsidRPr="00B15134">
        <w:rPr>
          <w:color w:val="211F1A"/>
          <w:spacing w:val="4"/>
          <w:sz w:val="24"/>
          <w:szCs w:val="24"/>
        </w:rPr>
        <w:t>T</w:t>
      </w:r>
      <w:r w:rsidRPr="00B15134">
        <w:rPr>
          <w:color w:val="211F1A"/>
          <w:spacing w:val="-3"/>
          <w:sz w:val="24"/>
          <w:szCs w:val="24"/>
        </w:rPr>
        <w:t>i</w:t>
      </w:r>
      <w:r w:rsidRPr="00B15134">
        <w:rPr>
          <w:color w:val="211F1A"/>
          <w:sz w:val="24"/>
          <w:szCs w:val="24"/>
        </w:rPr>
        <w:t>ll</w:t>
      </w:r>
      <w:r w:rsidRPr="00B15134">
        <w:rPr>
          <w:color w:val="211F1A"/>
          <w:spacing w:val="-10"/>
          <w:sz w:val="24"/>
          <w:szCs w:val="24"/>
        </w:rPr>
        <w:t xml:space="preserve"> </w:t>
      </w:r>
      <w:r w:rsidRPr="00B15134">
        <w:rPr>
          <w:color w:val="211F1A"/>
          <w:spacing w:val="-2"/>
          <w:sz w:val="24"/>
          <w:szCs w:val="24"/>
        </w:rPr>
        <w:t>g</w:t>
      </w:r>
      <w:r w:rsidRPr="00B15134">
        <w:rPr>
          <w:color w:val="211F1A"/>
          <w:spacing w:val="-1"/>
          <w:sz w:val="24"/>
          <w:szCs w:val="24"/>
        </w:rPr>
        <w:t>r</w:t>
      </w:r>
      <w:r w:rsidRPr="00B15134">
        <w:rPr>
          <w:color w:val="211F1A"/>
          <w:sz w:val="24"/>
          <w:szCs w:val="24"/>
        </w:rPr>
        <w:t>upp</w:t>
      </w:r>
      <w:r w:rsidRPr="00B15134">
        <w:rPr>
          <w:color w:val="211F1A"/>
          <w:spacing w:val="-2"/>
          <w:sz w:val="24"/>
          <w:szCs w:val="24"/>
        </w:rPr>
        <w:t>e</w:t>
      </w:r>
      <w:r w:rsidRPr="00B15134">
        <w:rPr>
          <w:color w:val="211F1A"/>
          <w:sz w:val="24"/>
          <w:szCs w:val="24"/>
        </w:rPr>
        <w:t>n</w:t>
      </w:r>
      <w:r w:rsidRPr="00B15134">
        <w:rPr>
          <w:color w:val="211F1A"/>
          <w:spacing w:val="-9"/>
          <w:sz w:val="24"/>
          <w:szCs w:val="24"/>
        </w:rPr>
        <w:t xml:space="preserve"> </w:t>
      </w:r>
      <w:r w:rsidRPr="00B15134">
        <w:rPr>
          <w:color w:val="211F1A"/>
          <w:spacing w:val="-2"/>
          <w:sz w:val="24"/>
          <w:szCs w:val="24"/>
        </w:rPr>
        <w:t>å</w:t>
      </w:r>
      <w:r w:rsidRPr="00B15134">
        <w:rPr>
          <w:color w:val="211F1A"/>
          <w:spacing w:val="-1"/>
          <w:sz w:val="24"/>
          <w:szCs w:val="24"/>
        </w:rPr>
        <w:t>n</w:t>
      </w:r>
      <w:r w:rsidRPr="00B15134">
        <w:rPr>
          <w:color w:val="211F1A"/>
          <w:spacing w:val="-6"/>
          <w:sz w:val="24"/>
          <w:szCs w:val="24"/>
        </w:rPr>
        <w:t>g</w:t>
      </w:r>
      <w:r w:rsidRPr="00B15134">
        <w:rPr>
          <w:color w:val="211F1A"/>
          <w:spacing w:val="-2"/>
          <w:sz w:val="24"/>
          <w:szCs w:val="24"/>
        </w:rPr>
        <w:t>es</w:t>
      </w:r>
      <w:r w:rsidRPr="00B15134">
        <w:rPr>
          <w:color w:val="211F1A"/>
          <w:spacing w:val="-1"/>
          <w:sz w:val="24"/>
          <w:szCs w:val="24"/>
        </w:rPr>
        <w:t>t</w:t>
      </w:r>
      <w:r w:rsidRPr="00B15134">
        <w:rPr>
          <w:color w:val="211F1A"/>
          <w:spacing w:val="-5"/>
          <w:sz w:val="24"/>
          <w:szCs w:val="24"/>
        </w:rPr>
        <w:t>s</w:t>
      </w:r>
      <w:r w:rsidRPr="00B15134">
        <w:rPr>
          <w:color w:val="211F1A"/>
          <w:spacing w:val="-2"/>
          <w:sz w:val="24"/>
          <w:szCs w:val="24"/>
        </w:rPr>
        <w:t>y</w:t>
      </w:r>
      <w:r w:rsidRPr="00B15134">
        <w:rPr>
          <w:color w:val="211F1A"/>
          <w:spacing w:val="-1"/>
          <w:sz w:val="24"/>
          <w:szCs w:val="24"/>
        </w:rPr>
        <w:t>n</w:t>
      </w:r>
      <w:r w:rsidRPr="00B15134">
        <w:rPr>
          <w:color w:val="211F1A"/>
          <w:sz w:val="24"/>
          <w:szCs w:val="24"/>
        </w:rPr>
        <w:t>d</w:t>
      </w:r>
      <w:r w:rsidRPr="00B15134">
        <w:rPr>
          <w:color w:val="211F1A"/>
          <w:spacing w:val="-1"/>
          <w:sz w:val="24"/>
          <w:szCs w:val="24"/>
        </w:rPr>
        <w:t>r</w:t>
      </w:r>
      <w:r w:rsidRPr="00B15134">
        <w:rPr>
          <w:color w:val="211F1A"/>
          <w:spacing w:val="-3"/>
          <w:sz w:val="24"/>
          <w:szCs w:val="24"/>
        </w:rPr>
        <w:t>o</w:t>
      </w:r>
      <w:r w:rsidRPr="00B15134">
        <w:rPr>
          <w:color w:val="211F1A"/>
          <w:sz w:val="24"/>
          <w:szCs w:val="24"/>
        </w:rPr>
        <w:t>m</w:t>
      </w:r>
      <w:r w:rsidRPr="00B15134">
        <w:rPr>
          <w:color w:val="211F1A"/>
          <w:spacing w:val="-8"/>
          <w:sz w:val="24"/>
          <w:szCs w:val="24"/>
        </w:rPr>
        <w:t xml:space="preserve"> </w:t>
      </w:r>
      <w:r w:rsidRPr="00B15134">
        <w:rPr>
          <w:color w:val="000000"/>
          <w:spacing w:val="-1"/>
          <w:sz w:val="24"/>
          <w:szCs w:val="24"/>
        </w:rPr>
        <w:t>r</w:t>
      </w:r>
      <w:r w:rsidRPr="00B15134">
        <w:rPr>
          <w:color w:val="000000"/>
          <w:spacing w:val="1"/>
          <w:sz w:val="24"/>
          <w:szCs w:val="24"/>
        </w:rPr>
        <w:t>ä</w:t>
      </w:r>
      <w:r w:rsidRPr="00B15134">
        <w:rPr>
          <w:color w:val="000000"/>
          <w:spacing w:val="-3"/>
          <w:sz w:val="24"/>
          <w:szCs w:val="24"/>
        </w:rPr>
        <w:t>k</w:t>
      </w:r>
      <w:r w:rsidRPr="00B15134">
        <w:rPr>
          <w:color w:val="000000"/>
          <w:spacing w:val="-1"/>
          <w:sz w:val="24"/>
          <w:szCs w:val="24"/>
        </w:rPr>
        <w:t>n</w:t>
      </w:r>
      <w:r w:rsidRPr="00B15134">
        <w:rPr>
          <w:color w:val="000000"/>
          <w:spacing w:val="-2"/>
          <w:sz w:val="24"/>
          <w:szCs w:val="24"/>
        </w:rPr>
        <w:t>a</w:t>
      </w:r>
      <w:r w:rsidRPr="00B15134">
        <w:rPr>
          <w:color w:val="000000"/>
          <w:sz w:val="24"/>
          <w:szCs w:val="24"/>
        </w:rPr>
        <w:t>s</w:t>
      </w:r>
      <w:r w:rsidRPr="00B15134">
        <w:rPr>
          <w:color w:val="000000"/>
          <w:spacing w:val="-13"/>
          <w:sz w:val="24"/>
          <w:szCs w:val="24"/>
        </w:rPr>
        <w:t xml:space="preserve"> </w:t>
      </w:r>
      <w:r w:rsidRPr="00B15134">
        <w:rPr>
          <w:color w:val="000000"/>
          <w:spacing w:val="-1"/>
          <w:sz w:val="24"/>
          <w:szCs w:val="24"/>
        </w:rPr>
        <w:t>b</w:t>
      </w:r>
      <w:r w:rsidRPr="00B15134">
        <w:rPr>
          <w:color w:val="000000"/>
          <w:sz w:val="24"/>
          <w:szCs w:val="24"/>
        </w:rPr>
        <w:t>l</w:t>
      </w:r>
      <w:r>
        <w:rPr>
          <w:color w:val="000000"/>
          <w:spacing w:val="-3"/>
          <w:sz w:val="24"/>
          <w:szCs w:val="24"/>
        </w:rPr>
        <w:t>and annat</w:t>
      </w:r>
      <w:r w:rsidRPr="00B15134">
        <w:rPr>
          <w:color w:val="000000"/>
          <w:spacing w:val="-11"/>
          <w:sz w:val="24"/>
          <w:szCs w:val="24"/>
        </w:rPr>
        <w:t xml:space="preserve"> </w:t>
      </w:r>
      <w:r w:rsidRPr="00B15134">
        <w:rPr>
          <w:color w:val="000000"/>
          <w:spacing w:val="-1"/>
          <w:sz w:val="24"/>
          <w:szCs w:val="24"/>
        </w:rPr>
        <w:t>p</w:t>
      </w:r>
      <w:r w:rsidRPr="00B15134">
        <w:rPr>
          <w:color w:val="000000"/>
          <w:spacing w:val="-2"/>
          <w:sz w:val="24"/>
          <w:szCs w:val="24"/>
        </w:rPr>
        <w:t>a</w:t>
      </w:r>
      <w:r w:rsidRPr="00B15134">
        <w:rPr>
          <w:color w:val="000000"/>
          <w:spacing w:val="-1"/>
          <w:sz w:val="24"/>
          <w:szCs w:val="24"/>
        </w:rPr>
        <w:t>n</w:t>
      </w:r>
      <w:r w:rsidRPr="00B15134">
        <w:rPr>
          <w:color w:val="000000"/>
          <w:spacing w:val="-6"/>
          <w:sz w:val="24"/>
          <w:szCs w:val="24"/>
        </w:rPr>
        <w:t>i</w:t>
      </w:r>
      <w:r w:rsidRPr="00B15134">
        <w:rPr>
          <w:color w:val="000000"/>
          <w:spacing w:val="-3"/>
          <w:sz w:val="24"/>
          <w:szCs w:val="24"/>
        </w:rPr>
        <w:t>k</w:t>
      </w:r>
      <w:r w:rsidRPr="00B15134">
        <w:rPr>
          <w:color w:val="000000"/>
          <w:spacing w:val="-2"/>
          <w:sz w:val="24"/>
          <w:szCs w:val="24"/>
        </w:rPr>
        <w:t>sy</w:t>
      </w:r>
      <w:r w:rsidRPr="00B15134">
        <w:rPr>
          <w:color w:val="000000"/>
          <w:spacing w:val="-1"/>
          <w:sz w:val="24"/>
          <w:szCs w:val="24"/>
        </w:rPr>
        <w:t>n</w:t>
      </w:r>
      <w:r w:rsidRPr="00B15134">
        <w:rPr>
          <w:color w:val="000000"/>
          <w:sz w:val="24"/>
          <w:szCs w:val="24"/>
        </w:rPr>
        <w:t>d</w:t>
      </w:r>
      <w:r w:rsidRPr="00B15134">
        <w:rPr>
          <w:color w:val="000000"/>
          <w:spacing w:val="-6"/>
          <w:sz w:val="24"/>
          <w:szCs w:val="24"/>
        </w:rPr>
        <w:t>r</w:t>
      </w:r>
      <w:r w:rsidRPr="00B15134">
        <w:rPr>
          <w:color w:val="000000"/>
          <w:sz w:val="24"/>
          <w:szCs w:val="24"/>
        </w:rPr>
        <w:t>o</w:t>
      </w:r>
      <w:r w:rsidRPr="00B15134">
        <w:rPr>
          <w:color w:val="000000"/>
          <w:spacing w:val="-1"/>
          <w:sz w:val="24"/>
          <w:szCs w:val="24"/>
        </w:rPr>
        <w:t>m</w:t>
      </w:r>
      <w:r w:rsidRPr="00B15134">
        <w:rPr>
          <w:color w:val="211F1A"/>
          <w:sz w:val="24"/>
          <w:szCs w:val="24"/>
        </w:rPr>
        <w:t>,</w:t>
      </w:r>
      <w:r w:rsidRPr="00B15134">
        <w:rPr>
          <w:color w:val="211F1A"/>
          <w:spacing w:val="-9"/>
          <w:sz w:val="24"/>
          <w:szCs w:val="24"/>
        </w:rPr>
        <w:t xml:space="preserve"> </w:t>
      </w:r>
      <w:r w:rsidRPr="00B15134">
        <w:rPr>
          <w:color w:val="211F1A"/>
          <w:spacing w:val="-2"/>
          <w:sz w:val="24"/>
          <w:szCs w:val="24"/>
        </w:rPr>
        <w:t>g</w:t>
      </w:r>
      <w:r w:rsidRPr="00B15134">
        <w:rPr>
          <w:color w:val="211F1A"/>
          <w:sz w:val="24"/>
          <w:szCs w:val="24"/>
        </w:rPr>
        <w:t>e</w:t>
      </w:r>
      <w:r w:rsidRPr="00B15134">
        <w:rPr>
          <w:color w:val="211F1A"/>
          <w:spacing w:val="-3"/>
          <w:sz w:val="24"/>
          <w:szCs w:val="24"/>
        </w:rPr>
        <w:t>n</w:t>
      </w:r>
      <w:r w:rsidRPr="00B15134">
        <w:rPr>
          <w:color w:val="211F1A"/>
          <w:sz w:val="24"/>
          <w:szCs w:val="24"/>
        </w:rPr>
        <w:t>e</w:t>
      </w:r>
      <w:r w:rsidRPr="00B15134">
        <w:rPr>
          <w:color w:val="211F1A"/>
          <w:spacing w:val="-4"/>
          <w:sz w:val="24"/>
          <w:szCs w:val="24"/>
        </w:rPr>
        <w:t>r</w:t>
      </w:r>
      <w:r w:rsidRPr="00B15134">
        <w:rPr>
          <w:color w:val="211F1A"/>
          <w:sz w:val="24"/>
          <w:szCs w:val="24"/>
        </w:rPr>
        <w:t>a</w:t>
      </w:r>
      <w:r w:rsidRPr="00B15134">
        <w:rPr>
          <w:color w:val="211F1A"/>
          <w:spacing w:val="-3"/>
          <w:sz w:val="24"/>
          <w:szCs w:val="24"/>
        </w:rPr>
        <w:t>l</w:t>
      </w:r>
      <w:r w:rsidRPr="00B15134">
        <w:rPr>
          <w:color w:val="211F1A"/>
          <w:sz w:val="24"/>
          <w:szCs w:val="24"/>
        </w:rPr>
        <w:t>i</w:t>
      </w:r>
      <w:r w:rsidRPr="00B15134">
        <w:rPr>
          <w:color w:val="211F1A"/>
          <w:spacing w:val="-2"/>
          <w:sz w:val="24"/>
          <w:szCs w:val="24"/>
        </w:rPr>
        <w:t>se</w:t>
      </w:r>
      <w:r w:rsidRPr="00B15134">
        <w:rPr>
          <w:color w:val="211F1A"/>
          <w:spacing w:val="-1"/>
          <w:sz w:val="24"/>
          <w:szCs w:val="24"/>
        </w:rPr>
        <w:t>r</w:t>
      </w:r>
      <w:r w:rsidRPr="00B15134">
        <w:rPr>
          <w:color w:val="211F1A"/>
          <w:sz w:val="24"/>
          <w:szCs w:val="24"/>
        </w:rPr>
        <w:t>at</w:t>
      </w:r>
      <w:r w:rsidRPr="00B15134">
        <w:rPr>
          <w:color w:val="211F1A"/>
          <w:spacing w:val="-10"/>
          <w:sz w:val="24"/>
          <w:szCs w:val="24"/>
        </w:rPr>
        <w:t xml:space="preserve"> </w:t>
      </w:r>
      <w:r w:rsidRPr="00B15134">
        <w:rPr>
          <w:color w:val="211F1A"/>
          <w:spacing w:val="-2"/>
          <w:sz w:val="24"/>
          <w:szCs w:val="24"/>
        </w:rPr>
        <w:t>å</w:t>
      </w:r>
      <w:r w:rsidRPr="00B15134">
        <w:rPr>
          <w:color w:val="211F1A"/>
          <w:spacing w:val="-1"/>
          <w:sz w:val="24"/>
          <w:szCs w:val="24"/>
        </w:rPr>
        <w:t>n</w:t>
      </w:r>
      <w:r w:rsidRPr="00B15134">
        <w:rPr>
          <w:color w:val="211F1A"/>
          <w:spacing w:val="-2"/>
          <w:sz w:val="24"/>
          <w:szCs w:val="24"/>
        </w:rPr>
        <w:t>ges</w:t>
      </w:r>
      <w:r w:rsidRPr="00B15134">
        <w:rPr>
          <w:color w:val="211F1A"/>
          <w:spacing w:val="-1"/>
          <w:sz w:val="24"/>
          <w:szCs w:val="24"/>
        </w:rPr>
        <w:t>t</w:t>
      </w:r>
      <w:r w:rsidRPr="00B15134">
        <w:rPr>
          <w:color w:val="211F1A"/>
          <w:spacing w:val="-5"/>
          <w:sz w:val="24"/>
          <w:szCs w:val="24"/>
        </w:rPr>
        <w:t>sy</w:t>
      </w:r>
      <w:r w:rsidRPr="00B15134">
        <w:rPr>
          <w:color w:val="211F1A"/>
          <w:spacing w:val="-1"/>
          <w:sz w:val="24"/>
          <w:szCs w:val="24"/>
        </w:rPr>
        <w:t>n</w:t>
      </w:r>
      <w:r w:rsidRPr="00B15134">
        <w:rPr>
          <w:color w:val="211F1A"/>
          <w:sz w:val="24"/>
          <w:szCs w:val="24"/>
        </w:rPr>
        <w:t>d</w:t>
      </w:r>
      <w:r w:rsidRPr="00B15134">
        <w:rPr>
          <w:color w:val="211F1A"/>
          <w:spacing w:val="-1"/>
          <w:sz w:val="24"/>
          <w:szCs w:val="24"/>
        </w:rPr>
        <w:t>r</w:t>
      </w:r>
      <w:r w:rsidRPr="00B15134">
        <w:rPr>
          <w:color w:val="211F1A"/>
          <w:sz w:val="24"/>
          <w:szCs w:val="24"/>
        </w:rPr>
        <w:t>om</w:t>
      </w:r>
      <w:r w:rsidRPr="00B15134">
        <w:rPr>
          <w:color w:val="211F1A"/>
          <w:spacing w:val="-10"/>
          <w:sz w:val="24"/>
          <w:szCs w:val="24"/>
        </w:rPr>
        <w:t xml:space="preserve"> </w:t>
      </w:r>
      <w:r w:rsidRPr="00B15134">
        <w:rPr>
          <w:color w:val="211F1A"/>
          <w:spacing w:val="-1"/>
          <w:sz w:val="24"/>
          <w:szCs w:val="24"/>
        </w:rPr>
        <w:t>(G</w:t>
      </w:r>
      <w:r w:rsidRPr="00B15134">
        <w:rPr>
          <w:color w:val="211F1A"/>
          <w:spacing w:val="1"/>
          <w:sz w:val="24"/>
          <w:szCs w:val="24"/>
        </w:rPr>
        <w:t>A</w:t>
      </w:r>
      <w:r w:rsidRPr="00B15134">
        <w:rPr>
          <w:color w:val="211F1A"/>
          <w:spacing w:val="-1"/>
          <w:sz w:val="24"/>
          <w:szCs w:val="24"/>
        </w:rPr>
        <w:t>D</w:t>
      </w:r>
      <w:r w:rsidRPr="00B15134">
        <w:rPr>
          <w:color w:val="211F1A"/>
          <w:spacing w:val="-3"/>
          <w:sz w:val="24"/>
          <w:szCs w:val="24"/>
        </w:rPr>
        <w:t>),</w:t>
      </w:r>
      <w:r w:rsidRPr="00B15134">
        <w:rPr>
          <w:color w:val="211F1A"/>
          <w:spacing w:val="-14"/>
          <w:sz w:val="24"/>
          <w:szCs w:val="24"/>
        </w:rPr>
        <w:t xml:space="preserve"> </w:t>
      </w:r>
      <w:r w:rsidRPr="00B15134">
        <w:rPr>
          <w:color w:val="211F1A"/>
          <w:spacing w:val="-2"/>
          <w:sz w:val="24"/>
          <w:szCs w:val="24"/>
        </w:rPr>
        <w:t>s</w:t>
      </w:r>
      <w:r w:rsidRPr="00B15134">
        <w:rPr>
          <w:color w:val="211F1A"/>
          <w:spacing w:val="-1"/>
          <w:sz w:val="24"/>
          <w:szCs w:val="24"/>
        </w:rPr>
        <w:t>o</w:t>
      </w:r>
      <w:r w:rsidRPr="00B15134">
        <w:rPr>
          <w:color w:val="211F1A"/>
          <w:spacing w:val="-2"/>
          <w:sz w:val="24"/>
          <w:szCs w:val="24"/>
        </w:rPr>
        <w:t>c</w:t>
      </w:r>
      <w:r w:rsidRPr="00B15134">
        <w:rPr>
          <w:color w:val="211F1A"/>
          <w:sz w:val="24"/>
          <w:szCs w:val="24"/>
        </w:rPr>
        <w:t>ial</w:t>
      </w:r>
      <w:r w:rsidRPr="00B15134">
        <w:rPr>
          <w:color w:val="211F1A"/>
          <w:spacing w:val="-12"/>
          <w:sz w:val="24"/>
          <w:szCs w:val="24"/>
        </w:rPr>
        <w:t xml:space="preserve"> </w:t>
      </w:r>
      <w:r w:rsidRPr="00B15134">
        <w:rPr>
          <w:color w:val="211F1A"/>
          <w:spacing w:val="-1"/>
          <w:sz w:val="24"/>
          <w:szCs w:val="24"/>
        </w:rPr>
        <w:t>f</w:t>
      </w:r>
      <w:r w:rsidRPr="00B15134">
        <w:rPr>
          <w:color w:val="211F1A"/>
          <w:spacing w:val="-3"/>
          <w:sz w:val="24"/>
          <w:szCs w:val="24"/>
        </w:rPr>
        <w:t>o</w:t>
      </w:r>
      <w:r w:rsidRPr="00B15134">
        <w:rPr>
          <w:color w:val="211F1A"/>
          <w:sz w:val="24"/>
          <w:szCs w:val="24"/>
        </w:rPr>
        <w:t>bi,</w:t>
      </w:r>
      <w:r w:rsidRPr="00B15134">
        <w:rPr>
          <w:color w:val="211F1A"/>
          <w:spacing w:val="-12"/>
          <w:sz w:val="24"/>
          <w:szCs w:val="24"/>
        </w:rPr>
        <w:t xml:space="preserve"> </w:t>
      </w:r>
      <w:r w:rsidRPr="00B15134">
        <w:rPr>
          <w:color w:val="211F1A"/>
          <w:spacing w:val="-1"/>
          <w:sz w:val="24"/>
          <w:szCs w:val="24"/>
        </w:rPr>
        <w:t>t</w:t>
      </w:r>
      <w:r w:rsidRPr="00B15134">
        <w:rPr>
          <w:color w:val="211F1A"/>
          <w:spacing w:val="-3"/>
          <w:sz w:val="24"/>
          <w:szCs w:val="24"/>
        </w:rPr>
        <w:t>v</w:t>
      </w:r>
      <w:r w:rsidRPr="00B15134">
        <w:rPr>
          <w:color w:val="211F1A"/>
          <w:sz w:val="24"/>
          <w:szCs w:val="24"/>
        </w:rPr>
        <w:t>å</w:t>
      </w:r>
      <w:r w:rsidRPr="00B15134">
        <w:rPr>
          <w:color w:val="211F1A"/>
          <w:spacing w:val="-1"/>
          <w:sz w:val="24"/>
          <w:szCs w:val="24"/>
        </w:rPr>
        <w:t>n</w:t>
      </w:r>
      <w:r w:rsidRPr="00B15134">
        <w:rPr>
          <w:color w:val="211F1A"/>
          <w:spacing w:val="-2"/>
          <w:sz w:val="24"/>
          <w:szCs w:val="24"/>
        </w:rPr>
        <w:t>gs</w:t>
      </w:r>
      <w:r w:rsidRPr="00B15134">
        <w:rPr>
          <w:color w:val="211F1A"/>
          <w:spacing w:val="-5"/>
          <w:sz w:val="24"/>
          <w:szCs w:val="24"/>
        </w:rPr>
        <w:t>s</w:t>
      </w:r>
      <w:r w:rsidRPr="00B15134">
        <w:rPr>
          <w:color w:val="211F1A"/>
          <w:spacing w:val="-2"/>
          <w:sz w:val="24"/>
          <w:szCs w:val="24"/>
        </w:rPr>
        <w:t>y</w:t>
      </w:r>
      <w:r w:rsidRPr="00B15134">
        <w:rPr>
          <w:color w:val="211F1A"/>
          <w:spacing w:val="-1"/>
          <w:sz w:val="24"/>
          <w:szCs w:val="24"/>
        </w:rPr>
        <w:t>n</w:t>
      </w:r>
      <w:r w:rsidRPr="00B15134">
        <w:rPr>
          <w:color w:val="211F1A"/>
          <w:sz w:val="24"/>
          <w:szCs w:val="24"/>
        </w:rPr>
        <w:t>d</w:t>
      </w:r>
      <w:r w:rsidRPr="00B15134">
        <w:rPr>
          <w:color w:val="211F1A"/>
          <w:spacing w:val="-1"/>
          <w:sz w:val="24"/>
          <w:szCs w:val="24"/>
        </w:rPr>
        <w:t>r</w:t>
      </w:r>
      <w:r w:rsidRPr="00B15134">
        <w:rPr>
          <w:color w:val="211F1A"/>
          <w:sz w:val="24"/>
          <w:szCs w:val="24"/>
        </w:rPr>
        <w:t>o</w:t>
      </w:r>
      <w:r w:rsidRPr="00B15134">
        <w:rPr>
          <w:color w:val="211F1A"/>
          <w:spacing w:val="-1"/>
          <w:sz w:val="24"/>
          <w:szCs w:val="24"/>
        </w:rPr>
        <w:t>m</w:t>
      </w:r>
      <w:r w:rsidRPr="00B15134">
        <w:rPr>
          <w:color w:val="211F1A"/>
          <w:sz w:val="24"/>
          <w:szCs w:val="24"/>
        </w:rPr>
        <w:t>, ångest utlöst av långvarig kronisk belastning och po</w:t>
      </w:r>
      <w:r w:rsidRPr="00B15134">
        <w:rPr>
          <w:color w:val="211F1A"/>
          <w:spacing w:val="-2"/>
          <w:sz w:val="24"/>
          <w:szCs w:val="24"/>
        </w:rPr>
        <w:t>s</w:t>
      </w:r>
      <w:r w:rsidRPr="00B15134">
        <w:rPr>
          <w:color w:val="211F1A"/>
          <w:sz w:val="24"/>
          <w:szCs w:val="24"/>
        </w:rPr>
        <w:t>t</w:t>
      </w:r>
      <w:r w:rsidRPr="00B15134">
        <w:rPr>
          <w:color w:val="211F1A"/>
          <w:spacing w:val="-1"/>
          <w:sz w:val="24"/>
          <w:szCs w:val="24"/>
        </w:rPr>
        <w:t>tr</w:t>
      </w:r>
      <w:r w:rsidRPr="00B15134">
        <w:rPr>
          <w:color w:val="211F1A"/>
          <w:spacing w:val="-2"/>
          <w:sz w:val="24"/>
          <w:szCs w:val="24"/>
        </w:rPr>
        <w:t>a</w:t>
      </w:r>
      <w:r w:rsidRPr="00B15134">
        <w:rPr>
          <w:color w:val="211F1A"/>
          <w:sz w:val="24"/>
          <w:szCs w:val="24"/>
        </w:rPr>
        <w:t>u</w:t>
      </w:r>
      <w:r w:rsidRPr="00B15134">
        <w:rPr>
          <w:color w:val="211F1A"/>
          <w:spacing w:val="-1"/>
          <w:sz w:val="24"/>
          <w:szCs w:val="24"/>
        </w:rPr>
        <w:t>m</w:t>
      </w:r>
      <w:r w:rsidRPr="00B15134">
        <w:rPr>
          <w:color w:val="211F1A"/>
          <w:sz w:val="24"/>
          <w:szCs w:val="24"/>
        </w:rPr>
        <w:t>a</w:t>
      </w:r>
      <w:r w:rsidRPr="00B15134">
        <w:rPr>
          <w:color w:val="211F1A"/>
          <w:spacing w:val="-1"/>
          <w:sz w:val="24"/>
          <w:szCs w:val="24"/>
        </w:rPr>
        <w:t>t</w:t>
      </w:r>
      <w:r w:rsidRPr="00B15134">
        <w:rPr>
          <w:color w:val="211F1A"/>
          <w:spacing w:val="-3"/>
          <w:sz w:val="24"/>
          <w:szCs w:val="24"/>
        </w:rPr>
        <w:t>i</w:t>
      </w:r>
      <w:r w:rsidRPr="00B15134">
        <w:rPr>
          <w:color w:val="211F1A"/>
          <w:spacing w:val="-2"/>
          <w:sz w:val="24"/>
          <w:szCs w:val="24"/>
        </w:rPr>
        <w:t>s</w:t>
      </w:r>
      <w:r w:rsidRPr="00B15134">
        <w:rPr>
          <w:color w:val="211F1A"/>
          <w:sz w:val="24"/>
          <w:szCs w:val="24"/>
        </w:rPr>
        <w:t>kt</w:t>
      </w:r>
      <w:r w:rsidRPr="00B15134">
        <w:rPr>
          <w:color w:val="211F1A"/>
          <w:spacing w:val="-15"/>
          <w:sz w:val="24"/>
          <w:szCs w:val="24"/>
        </w:rPr>
        <w:t xml:space="preserve"> </w:t>
      </w:r>
      <w:r w:rsidRPr="00B15134">
        <w:rPr>
          <w:color w:val="211F1A"/>
          <w:spacing w:val="-2"/>
          <w:sz w:val="24"/>
          <w:szCs w:val="24"/>
        </w:rPr>
        <w:t>s</w:t>
      </w:r>
      <w:r w:rsidRPr="00B15134">
        <w:rPr>
          <w:color w:val="211F1A"/>
          <w:spacing w:val="2"/>
          <w:sz w:val="24"/>
          <w:szCs w:val="24"/>
        </w:rPr>
        <w:t>t</w:t>
      </w:r>
      <w:r w:rsidRPr="00B15134">
        <w:rPr>
          <w:color w:val="211F1A"/>
          <w:spacing w:val="-6"/>
          <w:sz w:val="24"/>
          <w:szCs w:val="24"/>
        </w:rPr>
        <w:t>r</w:t>
      </w:r>
      <w:r w:rsidRPr="00B15134">
        <w:rPr>
          <w:color w:val="211F1A"/>
          <w:sz w:val="24"/>
          <w:szCs w:val="24"/>
        </w:rPr>
        <w:t>es</w:t>
      </w:r>
      <w:r w:rsidRPr="00B15134">
        <w:rPr>
          <w:color w:val="211F1A"/>
          <w:spacing w:val="-2"/>
          <w:sz w:val="24"/>
          <w:szCs w:val="24"/>
        </w:rPr>
        <w:t>sy</w:t>
      </w:r>
      <w:r w:rsidRPr="00B15134">
        <w:rPr>
          <w:color w:val="211F1A"/>
          <w:spacing w:val="-1"/>
          <w:sz w:val="24"/>
          <w:szCs w:val="24"/>
        </w:rPr>
        <w:t>n</w:t>
      </w:r>
      <w:r w:rsidRPr="00B15134">
        <w:rPr>
          <w:color w:val="211F1A"/>
          <w:sz w:val="24"/>
          <w:szCs w:val="24"/>
        </w:rPr>
        <w:t>d</w:t>
      </w:r>
      <w:r w:rsidRPr="00B15134">
        <w:rPr>
          <w:color w:val="211F1A"/>
          <w:spacing w:val="-4"/>
          <w:sz w:val="24"/>
          <w:szCs w:val="24"/>
        </w:rPr>
        <w:t>r</w:t>
      </w:r>
      <w:r w:rsidRPr="00B15134">
        <w:rPr>
          <w:color w:val="211F1A"/>
          <w:sz w:val="24"/>
          <w:szCs w:val="24"/>
        </w:rPr>
        <w:t>om</w:t>
      </w:r>
      <w:r w:rsidRPr="00B15134">
        <w:rPr>
          <w:color w:val="211F1A"/>
          <w:spacing w:val="-10"/>
          <w:sz w:val="24"/>
          <w:szCs w:val="24"/>
        </w:rPr>
        <w:t xml:space="preserve"> </w:t>
      </w:r>
      <w:r w:rsidRPr="00B15134">
        <w:rPr>
          <w:color w:val="211F1A"/>
          <w:spacing w:val="-1"/>
          <w:sz w:val="24"/>
          <w:szCs w:val="24"/>
        </w:rPr>
        <w:t>(</w:t>
      </w:r>
      <w:r w:rsidRPr="00B15134">
        <w:rPr>
          <w:color w:val="211F1A"/>
          <w:spacing w:val="-3"/>
          <w:sz w:val="24"/>
          <w:szCs w:val="24"/>
        </w:rPr>
        <w:t>P</w:t>
      </w:r>
      <w:r w:rsidRPr="00B15134">
        <w:rPr>
          <w:color w:val="211F1A"/>
          <w:spacing w:val="1"/>
          <w:sz w:val="24"/>
          <w:szCs w:val="24"/>
        </w:rPr>
        <w:t>T</w:t>
      </w:r>
      <w:r w:rsidRPr="00B15134">
        <w:rPr>
          <w:color w:val="211F1A"/>
          <w:sz w:val="24"/>
          <w:szCs w:val="24"/>
        </w:rPr>
        <w:t>S</w:t>
      </w:r>
      <w:r w:rsidRPr="00B15134">
        <w:rPr>
          <w:color w:val="211F1A"/>
          <w:spacing w:val="-1"/>
          <w:sz w:val="24"/>
          <w:szCs w:val="24"/>
        </w:rPr>
        <w:t>D)</w:t>
      </w:r>
      <w:r w:rsidRPr="00B15134">
        <w:rPr>
          <w:color w:val="211F1A"/>
          <w:sz w:val="24"/>
          <w:szCs w:val="24"/>
        </w:rPr>
        <w:t xml:space="preserve">. </w:t>
      </w:r>
      <w:r w:rsidRPr="00B15134">
        <w:rPr>
          <w:color w:val="211F1A"/>
          <w:spacing w:val="-3"/>
          <w:sz w:val="24"/>
          <w:szCs w:val="24"/>
        </w:rPr>
        <w:t>D</w:t>
      </w:r>
      <w:r w:rsidRPr="00B15134">
        <w:rPr>
          <w:color w:val="211F1A"/>
          <w:sz w:val="24"/>
          <w:szCs w:val="24"/>
        </w:rPr>
        <w:t>et</w:t>
      </w:r>
      <w:r w:rsidRPr="00B15134">
        <w:rPr>
          <w:color w:val="211F1A"/>
          <w:spacing w:val="-11"/>
          <w:sz w:val="24"/>
          <w:szCs w:val="24"/>
        </w:rPr>
        <w:t xml:space="preserve"> </w:t>
      </w:r>
      <w:r w:rsidRPr="00B15134">
        <w:rPr>
          <w:color w:val="211F1A"/>
          <w:spacing w:val="-1"/>
          <w:sz w:val="24"/>
          <w:szCs w:val="24"/>
        </w:rPr>
        <w:t>f</w:t>
      </w:r>
      <w:r w:rsidRPr="00B15134">
        <w:rPr>
          <w:color w:val="211F1A"/>
          <w:spacing w:val="-3"/>
          <w:sz w:val="24"/>
          <w:szCs w:val="24"/>
        </w:rPr>
        <w:t>i</w:t>
      </w:r>
      <w:r w:rsidRPr="00B15134">
        <w:rPr>
          <w:color w:val="211F1A"/>
          <w:sz w:val="24"/>
          <w:szCs w:val="24"/>
        </w:rPr>
        <w:t>nns</w:t>
      </w:r>
      <w:r w:rsidRPr="00B15134">
        <w:rPr>
          <w:color w:val="211F1A"/>
          <w:spacing w:val="-6"/>
          <w:sz w:val="24"/>
          <w:szCs w:val="24"/>
        </w:rPr>
        <w:t xml:space="preserve"> </w:t>
      </w:r>
      <w:r w:rsidRPr="00B15134">
        <w:rPr>
          <w:color w:val="211F1A"/>
          <w:sz w:val="24"/>
          <w:szCs w:val="24"/>
        </w:rPr>
        <w:t>en</w:t>
      </w:r>
      <w:r w:rsidRPr="00B15134">
        <w:rPr>
          <w:color w:val="211F1A"/>
          <w:spacing w:val="-6"/>
          <w:sz w:val="24"/>
          <w:szCs w:val="24"/>
        </w:rPr>
        <w:t xml:space="preserve"> </w:t>
      </w:r>
      <w:r w:rsidRPr="00B15134">
        <w:rPr>
          <w:color w:val="211F1A"/>
          <w:spacing w:val="-1"/>
          <w:sz w:val="24"/>
          <w:szCs w:val="24"/>
        </w:rPr>
        <w:t>b</w:t>
      </w:r>
      <w:r w:rsidRPr="00B15134">
        <w:rPr>
          <w:color w:val="211F1A"/>
          <w:spacing w:val="-2"/>
          <w:sz w:val="24"/>
          <w:szCs w:val="24"/>
        </w:rPr>
        <w:t>e</w:t>
      </w:r>
      <w:r w:rsidRPr="00B15134">
        <w:rPr>
          <w:color w:val="211F1A"/>
          <w:spacing w:val="-7"/>
          <w:sz w:val="24"/>
          <w:szCs w:val="24"/>
        </w:rPr>
        <w:t>t</w:t>
      </w:r>
      <w:r w:rsidRPr="00B15134">
        <w:rPr>
          <w:color w:val="211F1A"/>
          <w:spacing w:val="-5"/>
          <w:sz w:val="24"/>
          <w:szCs w:val="24"/>
        </w:rPr>
        <w:t>y</w:t>
      </w:r>
      <w:r w:rsidRPr="00B15134">
        <w:rPr>
          <w:color w:val="211F1A"/>
          <w:spacing w:val="-3"/>
          <w:sz w:val="24"/>
          <w:szCs w:val="24"/>
        </w:rPr>
        <w:t>d</w:t>
      </w:r>
      <w:r w:rsidRPr="00B15134">
        <w:rPr>
          <w:color w:val="211F1A"/>
          <w:sz w:val="24"/>
          <w:szCs w:val="24"/>
        </w:rPr>
        <w:t>an</w:t>
      </w:r>
      <w:r w:rsidRPr="00B15134">
        <w:rPr>
          <w:color w:val="211F1A"/>
          <w:spacing w:val="-3"/>
          <w:sz w:val="24"/>
          <w:szCs w:val="24"/>
        </w:rPr>
        <w:t>d</w:t>
      </w:r>
      <w:r w:rsidRPr="00B15134">
        <w:rPr>
          <w:color w:val="211F1A"/>
          <w:sz w:val="24"/>
          <w:szCs w:val="24"/>
        </w:rPr>
        <w:t>e</w:t>
      </w:r>
      <w:r w:rsidRPr="00B15134">
        <w:rPr>
          <w:color w:val="211F1A"/>
          <w:spacing w:val="-7"/>
          <w:sz w:val="24"/>
          <w:szCs w:val="24"/>
        </w:rPr>
        <w:t xml:space="preserve"> </w:t>
      </w:r>
      <w:r w:rsidRPr="00B15134">
        <w:rPr>
          <w:color w:val="211F1A"/>
          <w:spacing w:val="-2"/>
          <w:sz w:val="24"/>
          <w:szCs w:val="24"/>
        </w:rPr>
        <w:t>s</w:t>
      </w:r>
      <w:r w:rsidRPr="00B15134">
        <w:rPr>
          <w:color w:val="211F1A"/>
          <w:sz w:val="24"/>
          <w:szCs w:val="24"/>
        </w:rPr>
        <w:t>a</w:t>
      </w:r>
      <w:r w:rsidRPr="00B15134">
        <w:rPr>
          <w:color w:val="211F1A"/>
          <w:spacing w:val="-1"/>
          <w:sz w:val="24"/>
          <w:szCs w:val="24"/>
        </w:rPr>
        <w:t>m</w:t>
      </w:r>
      <w:r w:rsidRPr="00B15134">
        <w:rPr>
          <w:color w:val="211F1A"/>
          <w:spacing w:val="-3"/>
          <w:sz w:val="24"/>
          <w:szCs w:val="24"/>
        </w:rPr>
        <w:t>s</w:t>
      </w:r>
      <w:r w:rsidRPr="00B15134">
        <w:rPr>
          <w:color w:val="211F1A"/>
          <w:sz w:val="24"/>
          <w:szCs w:val="24"/>
        </w:rPr>
        <w:t>ju</w:t>
      </w:r>
      <w:r w:rsidRPr="00B15134">
        <w:rPr>
          <w:color w:val="211F1A"/>
          <w:spacing w:val="-3"/>
          <w:sz w:val="24"/>
          <w:szCs w:val="24"/>
        </w:rPr>
        <w:t>k</w:t>
      </w:r>
      <w:r w:rsidRPr="00B15134">
        <w:rPr>
          <w:color w:val="211F1A"/>
          <w:sz w:val="24"/>
          <w:szCs w:val="24"/>
        </w:rPr>
        <w:t>li</w:t>
      </w:r>
      <w:r w:rsidRPr="00B15134">
        <w:rPr>
          <w:color w:val="211F1A"/>
          <w:spacing w:val="-2"/>
          <w:sz w:val="24"/>
          <w:szCs w:val="24"/>
        </w:rPr>
        <w:t>g</w:t>
      </w:r>
      <w:r w:rsidRPr="00B15134">
        <w:rPr>
          <w:color w:val="211F1A"/>
          <w:sz w:val="24"/>
          <w:szCs w:val="24"/>
        </w:rPr>
        <w:t>het</w:t>
      </w:r>
      <w:r w:rsidRPr="00B15134">
        <w:rPr>
          <w:color w:val="211F1A"/>
          <w:spacing w:val="-1"/>
          <w:sz w:val="24"/>
          <w:szCs w:val="24"/>
        </w:rPr>
        <w:t xml:space="preserve"> m</w:t>
      </w:r>
      <w:r w:rsidRPr="00B15134">
        <w:rPr>
          <w:color w:val="211F1A"/>
          <w:spacing w:val="1"/>
          <w:sz w:val="24"/>
          <w:szCs w:val="24"/>
        </w:rPr>
        <w:t>e</w:t>
      </w:r>
      <w:r w:rsidRPr="00B15134">
        <w:rPr>
          <w:color w:val="211F1A"/>
          <w:spacing w:val="-3"/>
          <w:sz w:val="24"/>
          <w:szCs w:val="24"/>
        </w:rPr>
        <w:t>l</w:t>
      </w:r>
      <w:r w:rsidRPr="00B15134">
        <w:rPr>
          <w:color w:val="211F1A"/>
          <w:sz w:val="24"/>
          <w:szCs w:val="24"/>
        </w:rPr>
        <w:t>lan</w:t>
      </w:r>
      <w:r w:rsidRPr="00B15134">
        <w:rPr>
          <w:color w:val="211F1A"/>
          <w:spacing w:val="-8"/>
          <w:sz w:val="24"/>
          <w:szCs w:val="24"/>
        </w:rPr>
        <w:t xml:space="preserve"> </w:t>
      </w:r>
      <w:r w:rsidRPr="00B15134">
        <w:rPr>
          <w:color w:val="211F1A"/>
          <w:spacing w:val="-5"/>
          <w:sz w:val="24"/>
          <w:szCs w:val="24"/>
        </w:rPr>
        <w:t>o</w:t>
      </w:r>
      <w:r w:rsidRPr="00B15134">
        <w:rPr>
          <w:color w:val="211F1A"/>
          <w:sz w:val="24"/>
          <w:szCs w:val="24"/>
        </w:rPr>
        <w:t>li</w:t>
      </w:r>
      <w:r w:rsidRPr="00B15134">
        <w:rPr>
          <w:color w:val="211F1A"/>
          <w:spacing w:val="-6"/>
          <w:sz w:val="24"/>
          <w:szCs w:val="24"/>
        </w:rPr>
        <w:t>k</w:t>
      </w:r>
      <w:r w:rsidRPr="00B15134">
        <w:rPr>
          <w:color w:val="211F1A"/>
          <w:sz w:val="24"/>
          <w:szCs w:val="24"/>
        </w:rPr>
        <w:t>a</w:t>
      </w:r>
      <w:r w:rsidRPr="00B15134">
        <w:rPr>
          <w:color w:val="211F1A"/>
          <w:spacing w:val="-4"/>
          <w:sz w:val="24"/>
          <w:szCs w:val="24"/>
        </w:rPr>
        <w:t xml:space="preserve"> </w:t>
      </w:r>
      <w:r w:rsidRPr="00B15134">
        <w:rPr>
          <w:color w:val="211F1A"/>
          <w:spacing w:val="-1"/>
          <w:sz w:val="24"/>
          <w:szCs w:val="24"/>
        </w:rPr>
        <w:t>t</w:t>
      </w:r>
      <w:r w:rsidRPr="00B15134">
        <w:rPr>
          <w:color w:val="211F1A"/>
          <w:spacing w:val="-2"/>
          <w:sz w:val="24"/>
          <w:szCs w:val="24"/>
        </w:rPr>
        <w:t>y</w:t>
      </w:r>
      <w:r w:rsidRPr="00B15134">
        <w:rPr>
          <w:color w:val="211F1A"/>
          <w:spacing w:val="-3"/>
          <w:sz w:val="24"/>
          <w:szCs w:val="24"/>
        </w:rPr>
        <w:t>p</w:t>
      </w:r>
      <w:r w:rsidRPr="00B15134">
        <w:rPr>
          <w:color w:val="211F1A"/>
          <w:sz w:val="24"/>
          <w:szCs w:val="24"/>
        </w:rPr>
        <w:t>er</w:t>
      </w:r>
      <w:r w:rsidRPr="00B15134">
        <w:rPr>
          <w:color w:val="211F1A"/>
          <w:spacing w:val="-10"/>
          <w:sz w:val="24"/>
          <w:szCs w:val="24"/>
        </w:rPr>
        <w:t xml:space="preserve"> </w:t>
      </w:r>
      <w:r w:rsidRPr="00B15134">
        <w:rPr>
          <w:color w:val="211F1A"/>
          <w:sz w:val="24"/>
          <w:szCs w:val="24"/>
        </w:rPr>
        <w:t>av</w:t>
      </w:r>
      <w:r w:rsidRPr="00B15134">
        <w:rPr>
          <w:color w:val="211F1A"/>
          <w:spacing w:val="-8"/>
          <w:sz w:val="24"/>
          <w:szCs w:val="24"/>
        </w:rPr>
        <w:t xml:space="preserve"> </w:t>
      </w:r>
      <w:r w:rsidRPr="00B15134">
        <w:rPr>
          <w:color w:val="211F1A"/>
          <w:sz w:val="24"/>
          <w:szCs w:val="24"/>
        </w:rPr>
        <w:t>å</w:t>
      </w:r>
      <w:r w:rsidRPr="00B15134">
        <w:rPr>
          <w:color w:val="211F1A"/>
          <w:spacing w:val="-1"/>
          <w:sz w:val="24"/>
          <w:szCs w:val="24"/>
        </w:rPr>
        <w:t>n</w:t>
      </w:r>
      <w:r w:rsidRPr="00B15134">
        <w:rPr>
          <w:color w:val="211F1A"/>
          <w:spacing w:val="-2"/>
          <w:sz w:val="24"/>
          <w:szCs w:val="24"/>
        </w:rPr>
        <w:t>g</w:t>
      </w:r>
      <w:r w:rsidRPr="00B15134">
        <w:rPr>
          <w:color w:val="211F1A"/>
          <w:spacing w:val="-5"/>
          <w:sz w:val="24"/>
          <w:szCs w:val="24"/>
        </w:rPr>
        <w:t>e</w:t>
      </w:r>
      <w:r w:rsidRPr="00B15134">
        <w:rPr>
          <w:color w:val="211F1A"/>
          <w:spacing w:val="-2"/>
          <w:sz w:val="24"/>
          <w:szCs w:val="24"/>
        </w:rPr>
        <w:t>s</w:t>
      </w:r>
      <w:r w:rsidRPr="00B15134">
        <w:rPr>
          <w:color w:val="211F1A"/>
          <w:spacing w:val="2"/>
          <w:sz w:val="24"/>
          <w:szCs w:val="24"/>
        </w:rPr>
        <w:t>t</w:t>
      </w:r>
      <w:r w:rsidRPr="00B15134">
        <w:rPr>
          <w:color w:val="211F1A"/>
          <w:spacing w:val="-2"/>
          <w:sz w:val="24"/>
          <w:szCs w:val="24"/>
        </w:rPr>
        <w:t>s</w:t>
      </w:r>
      <w:r w:rsidRPr="00B15134">
        <w:rPr>
          <w:color w:val="211F1A"/>
          <w:sz w:val="24"/>
          <w:szCs w:val="24"/>
        </w:rPr>
        <w:t>yn</w:t>
      </w:r>
      <w:r w:rsidRPr="00B15134">
        <w:rPr>
          <w:color w:val="211F1A"/>
          <w:spacing w:val="-3"/>
          <w:sz w:val="24"/>
          <w:szCs w:val="24"/>
        </w:rPr>
        <w:t>d</w:t>
      </w:r>
      <w:r w:rsidRPr="00B15134">
        <w:rPr>
          <w:color w:val="211F1A"/>
          <w:spacing w:val="-1"/>
          <w:sz w:val="24"/>
          <w:szCs w:val="24"/>
        </w:rPr>
        <w:t>r</w:t>
      </w:r>
      <w:r w:rsidRPr="00B15134">
        <w:rPr>
          <w:color w:val="211F1A"/>
          <w:sz w:val="24"/>
          <w:szCs w:val="24"/>
        </w:rPr>
        <w:t xml:space="preserve">om, </w:t>
      </w:r>
      <w:r w:rsidRPr="00B15134">
        <w:rPr>
          <w:color w:val="211F1A"/>
          <w:spacing w:val="-2"/>
          <w:sz w:val="24"/>
          <w:szCs w:val="24"/>
        </w:rPr>
        <w:t>å</w:t>
      </w:r>
      <w:r w:rsidRPr="00B15134">
        <w:rPr>
          <w:color w:val="211F1A"/>
          <w:spacing w:val="-1"/>
          <w:sz w:val="24"/>
          <w:szCs w:val="24"/>
        </w:rPr>
        <w:t>n</w:t>
      </w:r>
      <w:r w:rsidRPr="00B15134">
        <w:rPr>
          <w:color w:val="211F1A"/>
          <w:spacing w:val="-6"/>
          <w:sz w:val="24"/>
          <w:szCs w:val="24"/>
        </w:rPr>
        <w:t>g</w:t>
      </w:r>
      <w:r w:rsidRPr="00B15134">
        <w:rPr>
          <w:color w:val="211F1A"/>
          <w:spacing w:val="-2"/>
          <w:sz w:val="24"/>
          <w:szCs w:val="24"/>
        </w:rPr>
        <w:t>es</w:t>
      </w:r>
      <w:r w:rsidRPr="00B15134">
        <w:rPr>
          <w:color w:val="211F1A"/>
          <w:spacing w:val="2"/>
          <w:sz w:val="24"/>
          <w:szCs w:val="24"/>
        </w:rPr>
        <w:t>t</w:t>
      </w:r>
      <w:r w:rsidRPr="00B15134">
        <w:rPr>
          <w:color w:val="211F1A"/>
          <w:spacing w:val="-5"/>
          <w:sz w:val="24"/>
          <w:szCs w:val="24"/>
        </w:rPr>
        <w:t>s</w:t>
      </w:r>
      <w:r w:rsidRPr="00B15134">
        <w:rPr>
          <w:color w:val="211F1A"/>
          <w:spacing w:val="-2"/>
          <w:sz w:val="24"/>
          <w:szCs w:val="24"/>
        </w:rPr>
        <w:t>y</w:t>
      </w:r>
      <w:r w:rsidRPr="00B15134">
        <w:rPr>
          <w:color w:val="211F1A"/>
          <w:sz w:val="24"/>
          <w:szCs w:val="24"/>
        </w:rPr>
        <w:t>nd</w:t>
      </w:r>
      <w:r w:rsidRPr="00B15134">
        <w:rPr>
          <w:color w:val="211F1A"/>
          <w:spacing w:val="-1"/>
          <w:sz w:val="24"/>
          <w:szCs w:val="24"/>
        </w:rPr>
        <w:t>r</w:t>
      </w:r>
      <w:r w:rsidRPr="00B15134">
        <w:rPr>
          <w:color w:val="211F1A"/>
          <w:sz w:val="24"/>
          <w:szCs w:val="24"/>
        </w:rPr>
        <w:t>om</w:t>
      </w:r>
      <w:r w:rsidRPr="00B15134">
        <w:rPr>
          <w:color w:val="211F1A"/>
          <w:spacing w:val="-4"/>
          <w:sz w:val="24"/>
          <w:szCs w:val="24"/>
        </w:rPr>
        <w:t xml:space="preserve"> </w:t>
      </w:r>
      <w:r w:rsidRPr="00B15134">
        <w:rPr>
          <w:color w:val="211F1A"/>
          <w:spacing w:val="-1"/>
          <w:sz w:val="24"/>
          <w:szCs w:val="24"/>
        </w:rPr>
        <w:t>o</w:t>
      </w:r>
      <w:r w:rsidRPr="00B15134">
        <w:rPr>
          <w:color w:val="211F1A"/>
          <w:spacing w:val="-2"/>
          <w:sz w:val="24"/>
          <w:szCs w:val="24"/>
        </w:rPr>
        <w:t>c</w:t>
      </w:r>
      <w:r w:rsidRPr="00B15134">
        <w:rPr>
          <w:color w:val="211F1A"/>
          <w:sz w:val="24"/>
          <w:szCs w:val="24"/>
        </w:rPr>
        <w:t>h</w:t>
      </w:r>
      <w:r w:rsidRPr="00B15134">
        <w:rPr>
          <w:color w:val="211F1A"/>
          <w:spacing w:val="-5"/>
          <w:sz w:val="24"/>
          <w:szCs w:val="24"/>
        </w:rPr>
        <w:t xml:space="preserve"> </w:t>
      </w:r>
      <w:r w:rsidRPr="00B15134">
        <w:rPr>
          <w:color w:val="211F1A"/>
          <w:spacing w:val="-3"/>
          <w:sz w:val="24"/>
          <w:szCs w:val="24"/>
        </w:rPr>
        <w:t>d</w:t>
      </w:r>
      <w:r w:rsidRPr="00B15134">
        <w:rPr>
          <w:color w:val="211F1A"/>
          <w:sz w:val="24"/>
          <w:szCs w:val="24"/>
        </w:rPr>
        <w:t>ep</w:t>
      </w:r>
      <w:r w:rsidRPr="00B15134">
        <w:rPr>
          <w:color w:val="211F1A"/>
          <w:spacing w:val="-4"/>
          <w:sz w:val="24"/>
          <w:szCs w:val="24"/>
        </w:rPr>
        <w:t>r</w:t>
      </w:r>
      <w:r w:rsidRPr="00B15134">
        <w:rPr>
          <w:color w:val="211F1A"/>
          <w:spacing w:val="-2"/>
          <w:sz w:val="24"/>
          <w:szCs w:val="24"/>
        </w:rPr>
        <w:t>es</w:t>
      </w:r>
      <w:r w:rsidRPr="00B15134">
        <w:rPr>
          <w:color w:val="211F1A"/>
          <w:spacing w:val="-5"/>
          <w:sz w:val="24"/>
          <w:szCs w:val="24"/>
        </w:rPr>
        <w:t>s</w:t>
      </w:r>
      <w:r w:rsidRPr="00B15134">
        <w:rPr>
          <w:color w:val="211F1A"/>
          <w:sz w:val="24"/>
          <w:szCs w:val="24"/>
        </w:rPr>
        <w:t>i</w:t>
      </w:r>
      <w:r w:rsidRPr="00B15134">
        <w:rPr>
          <w:color w:val="211F1A"/>
          <w:spacing w:val="-1"/>
          <w:sz w:val="24"/>
          <w:szCs w:val="24"/>
        </w:rPr>
        <w:t>o</w:t>
      </w:r>
      <w:r w:rsidRPr="00B15134">
        <w:rPr>
          <w:color w:val="211F1A"/>
          <w:sz w:val="24"/>
          <w:szCs w:val="24"/>
        </w:rPr>
        <w:t xml:space="preserve">n, beroende och annan psykisk sjuklighet och mellan ångestsyndrom och viss somatisk sjuklighet </w:t>
      </w:r>
      <w:r w:rsidRPr="00B15134">
        <w:rPr>
          <w:color w:val="211F1A"/>
          <w:sz w:val="24"/>
          <w:szCs w:val="24"/>
        </w:rPr>
        <w:lastRenderedPageBreak/>
        <w:t>(t.ex. stressrelaterade tillstånd).</w:t>
      </w:r>
      <w:r w:rsidRPr="00B15134">
        <w:rPr>
          <w:color w:val="211F1A"/>
          <w:spacing w:val="-9"/>
          <w:sz w:val="24"/>
          <w:szCs w:val="24"/>
        </w:rPr>
        <w:t xml:space="preserve"> </w:t>
      </w:r>
      <w:r w:rsidRPr="00B15134">
        <w:rPr>
          <w:color w:val="211F1A"/>
          <w:sz w:val="24"/>
          <w:szCs w:val="24"/>
        </w:rPr>
        <w:t>En</w:t>
      </w:r>
      <w:r w:rsidRPr="00B15134">
        <w:rPr>
          <w:color w:val="211F1A"/>
          <w:spacing w:val="-8"/>
          <w:sz w:val="24"/>
          <w:szCs w:val="24"/>
        </w:rPr>
        <w:t xml:space="preserve"> </w:t>
      </w:r>
      <w:r w:rsidRPr="00B15134">
        <w:rPr>
          <w:color w:val="211F1A"/>
          <w:spacing w:val="-1"/>
          <w:sz w:val="24"/>
          <w:szCs w:val="24"/>
        </w:rPr>
        <w:t>o</w:t>
      </w:r>
      <w:r w:rsidRPr="00B15134">
        <w:rPr>
          <w:color w:val="211F1A"/>
          <w:sz w:val="24"/>
          <w:szCs w:val="24"/>
        </w:rPr>
        <w:t>beh</w:t>
      </w:r>
      <w:r w:rsidRPr="00B15134">
        <w:rPr>
          <w:color w:val="211F1A"/>
          <w:spacing w:val="-2"/>
          <w:sz w:val="24"/>
          <w:szCs w:val="24"/>
        </w:rPr>
        <w:t>a</w:t>
      </w:r>
      <w:r w:rsidRPr="00B15134">
        <w:rPr>
          <w:color w:val="211F1A"/>
          <w:spacing w:val="-3"/>
          <w:sz w:val="24"/>
          <w:szCs w:val="24"/>
        </w:rPr>
        <w:t>n</w:t>
      </w:r>
      <w:r w:rsidRPr="00B15134">
        <w:rPr>
          <w:color w:val="211F1A"/>
          <w:sz w:val="24"/>
          <w:szCs w:val="24"/>
        </w:rPr>
        <w:t>d</w:t>
      </w:r>
      <w:r w:rsidRPr="00B15134">
        <w:rPr>
          <w:color w:val="211F1A"/>
          <w:spacing w:val="-3"/>
          <w:sz w:val="24"/>
          <w:szCs w:val="24"/>
        </w:rPr>
        <w:t>l</w:t>
      </w:r>
      <w:r w:rsidRPr="00B15134">
        <w:rPr>
          <w:color w:val="211F1A"/>
          <w:sz w:val="24"/>
          <w:szCs w:val="24"/>
        </w:rPr>
        <w:t>ad</w:t>
      </w:r>
      <w:r w:rsidRPr="00B15134">
        <w:rPr>
          <w:color w:val="211F1A"/>
          <w:spacing w:val="-7"/>
          <w:sz w:val="24"/>
          <w:szCs w:val="24"/>
        </w:rPr>
        <w:t xml:space="preserve"> </w:t>
      </w:r>
      <w:r w:rsidRPr="00B15134">
        <w:rPr>
          <w:color w:val="211F1A"/>
          <w:spacing w:val="-2"/>
          <w:sz w:val="24"/>
          <w:szCs w:val="24"/>
        </w:rPr>
        <w:t>s</w:t>
      </w:r>
      <w:r w:rsidRPr="00B15134">
        <w:rPr>
          <w:color w:val="211F1A"/>
          <w:spacing w:val="-1"/>
          <w:sz w:val="24"/>
          <w:szCs w:val="24"/>
        </w:rPr>
        <w:t>o</w:t>
      </w:r>
      <w:r w:rsidRPr="00B15134">
        <w:rPr>
          <w:color w:val="211F1A"/>
          <w:spacing w:val="-2"/>
          <w:sz w:val="24"/>
          <w:szCs w:val="24"/>
        </w:rPr>
        <w:t>c</w:t>
      </w:r>
      <w:r w:rsidRPr="00B15134">
        <w:rPr>
          <w:color w:val="211F1A"/>
          <w:sz w:val="24"/>
          <w:szCs w:val="24"/>
        </w:rPr>
        <w:t xml:space="preserve">ial </w:t>
      </w:r>
      <w:r w:rsidRPr="00B15134">
        <w:rPr>
          <w:color w:val="211F1A"/>
          <w:spacing w:val="-1"/>
          <w:sz w:val="24"/>
          <w:szCs w:val="24"/>
        </w:rPr>
        <w:t>f</w:t>
      </w:r>
      <w:r w:rsidRPr="00B15134">
        <w:rPr>
          <w:color w:val="211F1A"/>
          <w:sz w:val="24"/>
          <w:szCs w:val="24"/>
        </w:rPr>
        <w:t>obi</w:t>
      </w:r>
      <w:r w:rsidRPr="00B15134">
        <w:rPr>
          <w:color w:val="211F1A"/>
          <w:spacing w:val="-6"/>
          <w:sz w:val="24"/>
          <w:szCs w:val="24"/>
        </w:rPr>
        <w:t xml:space="preserve"> </w:t>
      </w:r>
      <w:r w:rsidRPr="00B15134">
        <w:rPr>
          <w:color w:val="211F1A"/>
          <w:spacing w:val="-3"/>
          <w:sz w:val="24"/>
          <w:szCs w:val="24"/>
        </w:rPr>
        <w:t>k</w:t>
      </w:r>
      <w:r w:rsidRPr="00B15134">
        <w:rPr>
          <w:color w:val="211F1A"/>
          <w:sz w:val="24"/>
          <w:szCs w:val="24"/>
        </w:rPr>
        <w:t>an</w:t>
      </w:r>
      <w:r w:rsidRPr="00B15134">
        <w:rPr>
          <w:color w:val="211F1A"/>
          <w:spacing w:val="-8"/>
          <w:sz w:val="24"/>
          <w:szCs w:val="24"/>
        </w:rPr>
        <w:t xml:space="preserve"> </w:t>
      </w:r>
      <w:r w:rsidRPr="00B15134">
        <w:rPr>
          <w:color w:val="211F1A"/>
          <w:spacing w:val="-3"/>
          <w:sz w:val="24"/>
          <w:szCs w:val="24"/>
        </w:rPr>
        <w:t>t.</w:t>
      </w:r>
      <w:r w:rsidRPr="00B15134">
        <w:rPr>
          <w:color w:val="211F1A"/>
          <w:spacing w:val="-2"/>
          <w:sz w:val="24"/>
          <w:szCs w:val="24"/>
        </w:rPr>
        <w:t>e</w:t>
      </w:r>
      <w:r w:rsidRPr="00B15134">
        <w:rPr>
          <w:color w:val="211F1A"/>
          <w:spacing w:val="-3"/>
          <w:sz w:val="24"/>
          <w:szCs w:val="24"/>
        </w:rPr>
        <w:t>x</w:t>
      </w:r>
      <w:r w:rsidRPr="00B15134">
        <w:rPr>
          <w:color w:val="211F1A"/>
          <w:sz w:val="24"/>
          <w:szCs w:val="24"/>
        </w:rPr>
        <w:t>.</w:t>
      </w:r>
      <w:r w:rsidRPr="00B15134">
        <w:rPr>
          <w:color w:val="211F1A"/>
          <w:spacing w:val="-5"/>
          <w:sz w:val="24"/>
          <w:szCs w:val="24"/>
        </w:rPr>
        <w:t xml:space="preserve"> </w:t>
      </w:r>
      <w:r w:rsidRPr="00B15134">
        <w:rPr>
          <w:color w:val="211F1A"/>
          <w:spacing w:val="-3"/>
          <w:sz w:val="24"/>
          <w:szCs w:val="24"/>
        </w:rPr>
        <w:t>m</w:t>
      </w:r>
      <w:r w:rsidRPr="00B15134">
        <w:rPr>
          <w:color w:val="211F1A"/>
          <w:sz w:val="24"/>
          <w:szCs w:val="24"/>
        </w:rPr>
        <w:t>ed</w:t>
      </w:r>
      <w:r w:rsidRPr="00B15134">
        <w:rPr>
          <w:color w:val="211F1A"/>
          <w:spacing w:val="-6"/>
          <w:sz w:val="24"/>
          <w:szCs w:val="24"/>
        </w:rPr>
        <w:t xml:space="preserve"> </w:t>
      </w:r>
      <w:r w:rsidRPr="00B15134">
        <w:rPr>
          <w:color w:val="211F1A"/>
          <w:sz w:val="24"/>
          <w:szCs w:val="24"/>
        </w:rPr>
        <w:t>å</w:t>
      </w:r>
      <w:r w:rsidRPr="00B15134">
        <w:rPr>
          <w:color w:val="211F1A"/>
          <w:spacing w:val="-6"/>
          <w:sz w:val="24"/>
          <w:szCs w:val="24"/>
        </w:rPr>
        <w:t>r</w:t>
      </w:r>
      <w:r w:rsidRPr="00B15134">
        <w:rPr>
          <w:color w:val="211F1A"/>
          <w:sz w:val="24"/>
          <w:szCs w:val="24"/>
        </w:rPr>
        <w:t>en</w:t>
      </w:r>
      <w:r w:rsidRPr="00B15134">
        <w:rPr>
          <w:color w:val="211F1A"/>
          <w:spacing w:val="-6"/>
          <w:sz w:val="24"/>
          <w:szCs w:val="24"/>
        </w:rPr>
        <w:t xml:space="preserve"> </w:t>
      </w:r>
      <w:r w:rsidRPr="00B15134">
        <w:rPr>
          <w:color w:val="211F1A"/>
          <w:spacing w:val="-3"/>
          <w:sz w:val="24"/>
          <w:szCs w:val="24"/>
        </w:rPr>
        <w:t>l</w:t>
      </w:r>
      <w:r w:rsidRPr="00B15134">
        <w:rPr>
          <w:color w:val="211F1A"/>
          <w:spacing w:val="-2"/>
          <w:sz w:val="24"/>
          <w:szCs w:val="24"/>
        </w:rPr>
        <w:t>e</w:t>
      </w:r>
      <w:r w:rsidRPr="00B15134">
        <w:rPr>
          <w:color w:val="211F1A"/>
          <w:spacing w:val="-5"/>
          <w:sz w:val="24"/>
          <w:szCs w:val="24"/>
        </w:rPr>
        <w:t>d</w:t>
      </w:r>
      <w:r w:rsidRPr="00B15134">
        <w:rPr>
          <w:color w:val="211F1A"/>
          <w:sz w:val="24"/>
          <w:szCs w:val="24"/>
        </w:rPr>
        <w:t>a</w:t>
      </w:r>
      <w:r w:rsidRPr="00B15134">
        <w:rPr>
          <w:color w:val="211F1A"/>
          <w:spacing w:val="-4"/>
          <w:sz w:val="24"/>
          <w:szCs w:val="24"/>
        </w:rPr>
        <w:t xml:space="preserve"> </w:t>
      </w:r>
      <w:r w:rsidRPr="00B15134">
        <w:rPr>
          <w:color w:val="211F1A"/>
          <w:spacing w:val="-1"/>
          <w:sz w:val="24"/>
          <w:szCs w:val="24"/>
        </w:rPr>
        <w:t>t</w:t>
      </w:r>
      <w:r w:rsidRPr="00B15134">
        <w:rPr>
          <w:color w:val="211F1A"/>
          <w:sz w:val="24"/>
          <w:szCs w:val="24"/>
        </w:rPr>
        <w:t>ill</w:t>
      </w:r>
      <w:r w:rsidRPr="00B15134">
        <w:rPr>
          <w:color w:val="211F1A"/>
          <w:spacing w:val="-10"/>
          <w:sz w:val="24"/>
          <w:szCs w:val="24"/>
        </w:rPr>
        <w:t xml:space="preserve"> </w:t>
      </w:r>
      <w:r w:rsidRPr="00B15134">
        <w:rPr>
          <w:color w:val="211F1A"/>
          <w:spacing w:val="-5"/>
          <w:sz w:val="24"/>
          <w:szCs w:val="24"/>
        </w:rPr>
        <w:t>s</w:t>
      </w:r>
      <w:r w:rsidRPr="00B15134">
        <w:rPr>
          <w:color w:val="211F1A"/>
          <w:sz w:val="24"/>
          <w:szCs w:val="24"/>
        </w:rPr>
        <w:t>eku</w:t>
      </w:r>
      <w:r w:rsidRPr="00B15134">
        <w:rPr>
          <w:color w:val="211F1A"/>
          <w:spacing w:val="-3"/>
          <w:sz w:val="24"/>
          <w:szCs w:val="24"/>
        </w:rPr>
        <w:t>n</w:t>
      </w:r>
      <w:r w:rsidRPr="00B15134">
        <w:rPr>
          <w:color w:val="211F1A"/>
          <w:sz w:val="24"/>
          <w:szCs w:val="24"/>
        </w:rPr>
        <w:t>dä</w:t>
      </w:r>
      <w:r w:rsidRPr="00B15134">
        <w:rPr>
          <w:color w:val="211F1A"/>
          <w:spacing w:val="-6"/>
          <w:sz w:val="24"/>
          <w:szCs w:val="24"/>
        </w:rPr>
        <w:t>r</w:t>
      </w:r>
      <w:r w:rsidRPr="00B15134">
        <w:rPr>
          <w:color w:val="211F1A"/>
          <w:sz w:val="24"/>
          <w:szCs w:val="24"/>
        </w:rPr>
        <w:t>a</w:t>
      </w:r>
      <w:r w:rsidRPr="00B15134">
        <w:rPr>
          <w:color w:val="211F1A"/>
          <w:spacing w:val="-4"/>
          <w:sz w:val="24"/>
          <w:szCs w:val="24"/>
        </w:rPr>
        <w:t xml:space="preserve"> </w:t>
      </w:r>
      <w:r w:rsidRPr="00B15134">
        <w:rPr>
          <w:color w:val="211F1A"/>
          <w:sz w:val="24"/>
          <w:szCs w:val="24"/>
        </w:rPr>
        <w:t>de</w:t>
      </w:r>
      <w:r w:rsidRPr="00B15134">
        <w:rPr>
          <w:color w:val="211F1A"/>
          <w:spacing w:val="-1"/>
          <w:sz w:val="24"/>
          <w:szCs w:val="24"/>
        </w:rPr>
        <w:t>pr</w:t>
      </w:r>
      <w:r w:rsidRPr="00B15134">
        <w:rPr>
          <w:color w:val="211F1A"/>
          <w:spacing w:val="-2"/>
          <w:sz w:val="24"/>
          <w:szCs w:val="24"/>
        </w:rPr>
        <w:t>ess</w:t>
      </w:r>
      <w:r w:rsidRPr="00B15134">
        <w:rPr>
          <w:color w:val="211F1A"/>
          <w:sz w:val="24"/>
          <w:szCs w:val="24"/>
        </w:rPr>
        <w:t>i</w:t>
      </w:r>
      <w:r w:rsidRPr="00B15134">
        <w:rPr>
          <w:color w:val="211F1A"/>
          <w:spacing w:val="-5"/>
          <w:sz w:val="24"/>
          <w:szCs w:val="24"/>
        </w:rPr>
        <w:t>o</w:t>
      </w:r>
      <w:r w:rsidRPr="00B15134">
        <w:rPr>
          <w:color w:val="211F1A"/>
          <w:sz w:val="24"/>
          <w:szCs w:val="24"/>
        </w:rPr>
        <w:t>n</w:t>
      </w:r>
      <w:r w:rsidRPr="00B15134">
        <w:rPr>
          <w:color w:val="211F1A"/>
          <w:spacing w:val="-2"/>
          <w:sz w:val="24"/>
          <w:szCs w:val="24"/>
        </w:rPr>
        <w:t>s</w:t>
      </w:r>
      <w:r w:rsidRPr="00B15134">
        <w:rPr>
          <w:color w:val="211F1A"/>
          <w:spacing w:val="-1"/>
          <w:sz w:val="24"/>
          <w:szCs w:val="24"/>
        </w:rPr>
        <w:t>t</w:t>
      </w:r>
      <w:r w:rsidRPr="00B15134">
        <w:rPr>
          <w:color w:val="211F1A"/>
          <w:sz w:val="24"/>
          <w:szCs w:val="24"/>
        </w:rPr>
        <w:t>i</w:t>
      </w:r>
      <w:r w:rsidRPr="00B15134">
        <w:rPr>
          <w:color w:val="211F1A"/>
          <w:spacing w:val="-3"/>
          <w:sz w:val="24"/>
          <w:szCs w:val="24"/>
        </w:rPr>
        <w:t>l</w:t>
      </w:r>
      <w:r w:rsidRPr="00B15134">
        <w:rPr>
          <w:color w:val="211F1A"/>
          <w:sz w:val="24"/>
          <w:szCs w:val="24"/>
        </w:rPr>
        <w:t>l</w:t>
      </w:r>
      <w:r w:rsidRPr="00B15134">
        <w:rPr>
          <w:color w:val="211F1A"/>
          <w:spacing w:val="-2"/>
          <w:sz w:val="24"/>
          <w:szCs w:val="24"/>
        </w:rPr>
        <w:t>s</w:t>
      </w:r>
      <w:r w:rsidRPr="00B15134">
        <w:rPr>
          <w:color w:val="211F1A"/>
          <w:spacing w:val="-3"/>
          <w:sz w:val="24"/>
          <w:szCs w:val="24"/>
        </w:rPr>
        <w:t>t</w:t>
      </w:r>
      <w:r w:rsidRPr="00B15134">
        <w:rPr>
          <w:color w:val="211F1A"/>
          <w:sz w:val="24"/>
          <w:szCs w:val="24"/>
        </w:rPr>
        <w:t>å</w:t>
      </w:r>
      <w:r w:rsidRPr="00B15134">
        <w:rPr>
          <w:color w:val="211F1A"/>
          <w:spacing w:val="-3"/>
          <w:sz w:val="24"/>
          <w:szCs w:val="24"/>
        </w:rPr>
        <w:t>n</w:t>
      </w:r>
      <w:r w:rsidRPr="00B15134">
        <w:rPr>
          <w:color w:val="211F1A"/>
          <w:sz w:val="24"/>
          <w:szCs w:val="24"/>
        </w:rPr>
        <w:t>d</w:t>
      </w:r>
      <w:r w:rsidRPr="00B15134">
        <w:rPr>
          <w:color w:val="211F1A"/>
          <w:spacing w:val="-6"/>
          <w:sz w:val="24"/>
          <w:szCs w:val="24"/>
        </w:rPr>
        <w:t xml:space="preserve"> </w:t>
      </w:r>
      <w:r w:rsidRPr="00B15134">
        <w:rPr>
          <w:color w:val="211F1A"/>
          <w:sz w:val="24"/>
          <w:szCs w:val="24"/>
        </w:rPr>
        <w:t>el</w:t>
      </w:r>
      <w:r w:rsidRPr="00B15134">
        <w:rPr>
          <w:color w:val="211F1A"/>
          <w:spacing w:val="-5"/>
          <w:sz w:val="24"/>
          <w:szCs w:val="24"/>
        </w:rPr>
        <w:t>l</w:t>
      </w:r>
      <w:r w:rsidRPr="00B15134">
        <w:rPr>
          <w:color w:val="211F1A"/>
          <w:sz w:val="24"/>
          <w:szCs w:val="24"/>
        </w:rPr>
        <w:t>er</w:t>
      </w:r>
      <w:r w:rsidRPr="00B15134">
        <w:rPr>
          <w:color w:val="211F1A"/>
          <w:spacing w:val="-9"/>
          <w:sz w:val="24"/>
          <w:szCs w:val="24"/>
        </w:rPr>
        <w:t xml:space="preserve"> </w:t>
      </w:r>
      <w:r w:rsidRPr="00B15134">
        <w:rPr>
          <w:color w:val="211F1A"/>
          <w:sz w:val="24"/>
          <w:szCs w:val="24"/>
        </w:rPr>
        <w:t>det</w:t>
      </w:r>
      <w:r w:rsidRPr="00B15134">
        <w:rPr>
          <w:color w:val="211F1A"/>
          <w:spacing w:val="-7"/>
          <w:sz w:val="24"/>
          <w:szCs w:val="24"/>
        </w:rPr>
        <w:t xml:space="preserve"> </w:t>
      </w:r>
      <w:r w:rsidRPr="00B15134">
        <w:rPr>
          <w:color w:val="211F1A"/>
          <w:spacing w:val="-5"/>
          <w:sz w:val="24"/>
          <w:szCs w:val="24"/>
        </w:rPr>
        <w:t>s</w:t>
      </w:r>
      <w:r w:rsidRPr="00B15134">
        <w:rPr>
          <w:color w:val="211F1A"/>
          <w:spacing w:val="-3"/>
          <w:sz w:val="24"/>
          <w:szCs w:val="24"/>
        </w:rPr>
        <w:t>o</w:t>
      </w:r>
      <w:r w:rsidRPr="00B15134">
        <w:rPr>
          <w:color w:val="211F1A"/>
          <w:sz w:val="24"/>
          <w:szCs w:val="24"/>
        </w:rPr>
        <w:t>m</w:t>
      </w:r>
      <w:r w:rsidRPr="00B15134">
        <w:rPr>
          <w:color w:val="211F1A"/>
          <w:spacing w:val="-4"/>
          <w:sz w:val="24"/>
          <w:szCs w:val="24"/>
        </w:rPr>
        <w:t xml:space="preserve"> </w:t>
      </w:r>
      <w:r w:rsidRPr="00B15134">
        <w:rPr>
          <w:color w:val="211F1A"/>
          <w:spacing w:val="-3"/>
          <w:sz w:val="24"/>
          <w:szCs w:val="24"/>
        </w:rPr>
        <w:t>b</w:t>
      </w:r>
      <w:r w:rsidRPr="00B15134">
        <w:rPr>
          <w:color w:val="211F1A"/>
          <w:sz w:val="24"/>
          <w:szCs w:val="24"/>
        </w:rPr>
        <w:t>ö</w:t>
      </w:r>
      <w:r w:rsidRPr="00B15134">
        <w:rPr>
          <w:color w:val="211F1A"/>
          <w:spacing w:val="-4"/>
          <w:sz w:val="24"/>
          <w:szCs w:val="24"/>
        </w:rPr>
        <w:t>r</w:t>
      </w:r>
      <w:r w:rsidRPr="00B15134">
        <w:rPr>
          <w:color w:val="211F1A"/>
          <w:sz w:val="24"/>
          <w:szCs w:val="24"/>
        </w:rPr>
        <w:t>jar</w:t>
      </w:r>
      <w:r w:rsidRPr="00B15134">
        <w:rPr>
          <w:color w:val="211F1A"/>
          <w:spacing w:val="-10"/>
          <w:sz w:val="24"/>
          <w:szCs w:val="24"/>
        </w:rPr>
        <w:t xml:space="preserve"> </w:t>
      </w:r>
      <w:r w:rsidRPr="00B15134">
        <w:rPr>
          <w:color w:val="211F1A"/>
          <w:spacing w:val="-2"/>
          <w:sz w:val="24"/>
          <w:szCs w:val="24"/>
        </w:rPr>
        <w:t>s</w:t>
      </w:r>
      <w:r w:rsidRPr="00B15134">
        <w:rPr>
          <w:color w:val="211F1A"/>
          <w:sz w:val="24"/>
          <w:szCs w:val="24"/>
        </w:rPr>
        <w:t>om</w:t>
      </w:r>
      <w:r w:rsidRPr="00B15134">
        <w:rPr>
          <w:color w:val="211F1A"/>
          <w:spacing w:val="-9"/>
          <w:sz w:val="24"/>
          <w:szCs w:val="24"/>
        </w:rPr>
        <w:t xml:space="preserve"> </w:t>
      </w:r>
      <w:r w:rsidRPr="00B15134">
        <w:rPr>
          <w:color w:val="211F1A"/>
          <w:sz w:val="24"/>
          <w:szCs w:val="24"/>
        </w:rPr>
        <w:t>d</w:t>
      </w:r>
      <w:r w:rsidRPr="00B15134">
        <w:rPr>
          <w:color w:val="211F1A"/>
          <w:spacing w:val="-3"/>
          <w:sz w:val="24"/>
          <w:szCs w:val="24"/>
        </w:rPr>
        <w:t>i</w:t>
      </w:r>
      <w:r w:rsidRPr="00B15134">
        <w:rPr>
          <w:color w:val="211F1A"/>
          <w:spacing w:val="-2"/>
          <w:sz w:val="24"/>
          <w:szCs w:val="24"/>
        </w:rPr>
        <w:t>s</w:t>
      </w:r>
      <w:r w:rsidRPr="00B15134">
        <w:rPr>
          <w:color w:val="211F1A"/>
          <w:spacing w:val="-1"/>
          <w:sz w:val="24"/>
          <w:szCs w:val="24"/>
        </w:rPr>
        <w:t>t</w:t>
      </w:r>
      <w:r w:rsidRPr="00B15134">
        <w:rPr>
          <w:color w:val="211F1A"/>
          <w:sz w:val="24"/>
          <w:szCs w:val="24"/>
        </w:rPr>
        <w:t>inkta p</w:t>
      </w:r>
      <w:r w:rsidRPr="00B15134">
        <w:rPr>
          <w:color w:val="211F1A"/>
          <w:spacing w:val="-2"/>
          <w:sz w:val="24"/>
          <w:szCs w:val="24"/>
        </w:rPr>
        <w:t>a</w:t>
      </w:r>
      <w:r w:rsidRPr="00B15134">
        <w:rPr>
          <w:color w:val="211F1A"/>
          <w:spacing w:val="-1"/>
          <w:sz w:val="24"/>
          <w:szCs w:val="24"/>
        </w:rPr>
        <w:t>n</w:t>
      </w:r>
      <w:r w:rsidRPr="00B15134">
        <w:rPr>
          <w:color w:val="211F1A"/>
          <w:sz w:val="24"/>
          <w:szCs w:val="24"/>
        </w:rPr>
        <w:t>ika</w:t>
      </w:r>
      <w:r w:rsidRPr="00B15134">
        <w:rPr>
          <w:color w:val="211F1A"/>
          <w:spacing w:val="-3"/>
          <w:sz w:val="24"/>
          <w:szCs w:val="24"/>
        </w:rPr>
        <w:t>tt</w:t>
      </w:r>
      <w:r w:rsidRPr="00B15134">
        <w:rPr>
          <w:color w:val="211F1A"/>
          <w:sz w:val="24"/>
          <w:szCs w:val="24"/>
        </w:rPr>
        <w:t>a</w:t>
      </w:r>
      <w:r w:rsidRPr="00B15134">
        <w:rPr>
          <w:color w:val="211F1A"/>
          <w:spacing w:val="-2"/>
          <w:sz w:val="24"/>
          <w:szCs w:val="24"/>
        </w:rPr>
        <w:t>c</w:t>
      </w:r>
      <w:r w:rsidRPr="00B15134">
        <w:rPr>
          <w:color w:val="211F1A"/>
          <w:spacing w:val="-3"/>
          <w:sz w:val="24"/>
          <w:szCs w:val="24"/>
        </w:rPr>
        <w:t>k</w:t>
      </w:r>
      <w:r w:rsidRPr="00B15134">
        <w:rPr>
          <w:color w:val="211F1A"/>
          <w:sz w:val="24"/>
          <w:szCs w:val="24"/>
        </w:rPr>
        <w:t>er</w:t>
      </w:r>
      <w:r w:rsidRPr="00B15134">
        <w:rPr>
          <w:color w:val="211F1A"/>
          <w:spacing w:val="-12"/>
          <w:sz w:val="24"/>
          <w:szCs w:val="24"/>
        </w:rPr>
        <w:t xml:space="preserve"> </w:t>
      </w:r>
      <w:r w:rsidRPr="00B15134">
        <w:rPr>
          <w:color w:val="211F1A"/>
          <w:sz w:val="24"/>
          <w:szCs w:val="24"/>
        </w:rPr>
        <w:t>kan</w:t>
      </w:r>
      <w:r w:rsidRPr="00B15134">
        <w:rPr>
          <w:color w:val="211F1A"/>
          <w:spacing w:val="-11"/>
          <w:sz w:val="24"/>
          <w:szCs w:val="24"/>
        </w:rPr>
        <w:t xml:space="preserve"> </w:t>
      </w:r>
      <w:r w:rsidRPr="00B15134">
        <w:rPr>
          <w:color w:val="211F1A"/>
          <w:spacing w:val="-1"/>
          <w:sz w:val="24"/>
          <w:szCs w:val="24"/>
        </w:rPr>
        <w:t>m</w:t>
      </w:r>
      <w:r w:rsidRPr="00B15134">
        <w:rPr>
          <w:color w:val="211F1A"/>
          <w:sz w:val="24"/>
          <w:szCs w:val="24"/>
        </w:rPr>
        <w:t>ed</w:t>
      </w:r>
      <w:r w:rsidRPr="00B15134">
        <w:rPr>
          <w:color w:val="211F1A"/>
          <w:spacing w:val="-6"/>
          <w:sz w:val="24"/>
          <w:szCs w:val="24"/>
        </w:rPr>
        <w:t xml:space="preserve"> </w:t>
      </w:r>
      <w:r w:rsidRPr="00B15134">
        <w:rPr>
          <w:color w:val="211F1A"/>
          <w:spacing w:val="-1"/>
          <w:sz w:val="24"/>
          <w:szCs w:val="24"/>
        </w:rPr>
        <w:t>t</w:t>
      </w:r>
      <w:r w:rsidRPr="00B15134">
        <w:rPr>
          <w:color w:val="211F1A"/>
          <w:spacing w:val="-3"/>
          <w:sz w:val="24"/>
          <w:szCs w:val="24"/>
        </w:rPr>
        <w:t>i</w:t>
      </w:r>
      <w:r w:rsidRPr="00B15134">
        <w:rPr>
          <w:color w:val="211F1A"/>
          <w:spacing w:val="-5"/>
          <w:sz w:val="24"/>
          <w:szCs w:val="24"/>
        </w:rPr>
        <w:t>d</w:t>
      </w:r>
      <w:r w:rsidRPr="00B15134">
        <w:rPr>
          <w:color w:val="211F1A"/>
          <w:spacing w:val="-2"/>
          <w:sz w:val="24"/>
          <w:szCs w:val="24"/>
        </w:rPr>
        <w:t>e</w:t>
      </w:r>
      <w:r w:rsidRPr="00B15134">
        <w:rPr>
          <w:color w:val="211F1A"/>
          <w:sz w:val="24"/>
          <w:szCs w:val="24"/>
        </w:rPr>
        <w:t>n</w:t>
      </w:r>
      <w:r w:rsidRPr="00B15134">
        <w:rPr>
          <w:color w:val="211F1A"/>
          <w:spacing w:val="-8"/>
          <w:sz w:val="24"/>
          <w:szCs w:val="24"/>
        </w:rPr>
        <w:t xml:space="preserve"> </w:t>
      </w:r>
      <w:r w:rsidRPr="00B15134">
        <w:rPr>
          <w:color w:val="211F1A"/>
          <w:sz w:val="24"/>
          <w:szCs w:val="24"/>
        </w:rPr>
        <w:t>ut</w:t>
      </w:r>
      <w:r w:rsidRPr="00B15134">
        <w:rPr>
          <w:color w:val="211F1A"/>
          <w:spacing w:val="-2"/>
          <w:sz w:val="24"/>
          <w:szCs w:val="24"/>
        </w:rPr>
        <w:t>v</w:t>
      </w:r>
      <w:r w:rsidRPr="00B15134">
        <w:rPr>
          <w:color w:val="211F1A"/>
          <w:sz w:val="24"/>
          <w:szCs w:val="24"/>
        </w:rPr>
        <w:t>ec</w:t>
      </w:r>
      <w:r w:rsidRPr="00B15134">
        <w:rPr>
          <w:color w:val="211F1A"/>
          <w:spacing w:val="-3"/>
          <w:sz w:val="24"/>
          <w:szCs w:val="24"/>
        </w:rPr>
        <w:t>k</w:t>
      </w:r>
      <w:r w:rsidRPr="00B15134">
        <w:rPr>
          <w:color w:val="211F1A"/>
          <w:sz w:val="24"/>
          <w:szCs w:val="24"/>
        </w:rPr>
        <w:t>l</w:t>
      </w:r>
      <w:r w:rsidRPr="00B15134">
        <w:rPr>
          <w:color w:val="211F1A"/>
          <w:spacing w:val="-2"/>
          <w:sz w:val="24"/>
          <w:szCs w:val="24"/>
        </w:rPr>
        <w:t>a</w:t>
      </w:r>
      <w:r w:rsidRPr="00B15134">
        <w:rPr>
          <w:color w:val="211F1A"/>
          <w:sz w:val="24"/>
          <w:szCs w:val="24"/>
        </w:rPr>
        <w:t>s</w:t>
      </w:r>
      <w:r w:rsidRPr="00B15134">
        <w:rPr>
          <w:color w:val="211F1A"/>
          <w:spacing w:val="-8"/>
          <w:sz w:val="24"/>
          <w:szCs w:val="24"/>
        </w:rPr>
        <w:t xml:space="preserve"> </w:t>
      </w:r>
      <w:r w:rsidRPr="00B15134">
        <w:rPr>
          <w:color w:val="211F1A"/>
          <w:spacing w:val="-1"/>
          <w:sz w:val="24"/>
          <w:szCs w:val="24"/>
        </w:rPr>
        <w:t>t</w:t>
      </w:r>
      <w:r w:rsidRPr="00B15134">
        <w:rPr>
          <w:color w:val="211F1A"/>
          <w:sz w:val="24"/>
          <w:szCs w:val="24"/>
        </w:rPr>
        <w:t>i</w:t>
      </w:r>
      <w:r w:rsidRPr="00B15134">
        <w:rPr>
          <w:color w:val="211F1A"/>
          <w:spacing w:val="-5"/>
          <w:sz w:val="24"/>
          <w:szCs w:val="24"/>
        </w:rPr>
        <w:t>l</w:t>
      </w:r>
      <w:r w:rsidRPr="00B15134">
        <w:rPr>
          <w:color w:val="211F1A"/>
          <w:sz w:val="24"/>
          <w:szCs w:val="24"/>
        </w:rPr>
        <w:t>l</w:t>
      </w:r>
      <w:r w:rsidRPr="00B15134">
        <w:rPr>
          <w:color w:val="211F1A"/>
          <w:spacing w:val="-8"/>
          <w:sz w:val="24"/>
          <w:szCs w:val="24"/>
        </w:rPr>
        <w:t xml:space="preserve"> </w:t>
      </w:r>
      <w:r w:rsidRPr="00B15134">
        <w:rPr>
          <w:color w:val="211F1A"/>
          <w:sz w:val="24"/>
          <w:szCs w:val="24"/>
        </w:rPr>
        <w:t>en</w:t>
      </w:r>
      <w:r w:rsidRPr="00B15134">
        <w:rPr>
          <w:color w:val="211F1A"/>
          <w:spacing w:val="-7"/>
          <w:sz w:val="24"/>
          <w:szCs w:val="24"/>
        </w:rPr>
        <w:t xml:space="preserve"> </w:t>
      </w:r>
      <w:r w:rsidRPr="00B15134">
        <w:rPr>
          <w:color w:val="211F1A"/>
          <w:spacing w:val="-1"/>
          <w:sz w:val="24"/>
          <w:szCs w:val="24"/>
        </w:rPr>
        <w:t>m</w:t>
      </w:r>
      <w:r w:rsidRPr="00B15134">
        <w:rPr>
          <w:color w:val="211F1A"/>
          <w:sz w:val="24"/>
          <w:szCs w:val="24"/>
        </w:rPr>
        <w:t>er</w:t>
      </w:r>
      <w:r w:rsidRPr="00B15134">
        <w:rPr>
          <w:color w:val="211F1A"/>
          <w:spacing w:val="-9"/>
          <w:sz w:val="24"/>
          <w:szCs w:val="24"/>
        </w:rPr>
        <w:t xml:space="preserve"> </w:t>
      </w:r>
      <w:r w:rsidRPr="00B15134">
        <w:rPr>
          <w:color w:val="211F1A"/>
          <w:spacing w:val="-2"/>
          <w:sz w:val="24"/>
          <w:szCs w:val="24"/>
        </w:rPr>
        <w:t>g</w:t>
      </w:r>
      <w:r w:rsidRPr="00B15134">
        <w:rPr>
          <w:color w:val="211F1A"/>
          <w:spacing w:val="-8"/>
          <w:sz w:val="24"/>
          <w:szCs w:val="24"/>
        </w:rPr>
        <w:t>e</w:t>
      </w:r>
      <w:r w:rsidRPr="00B15134">
        <w:rPr>
          <w:color w:val="211F1A"/>
          <w:sz w:val="24"/>
          <w:szCs w:val="24"/>
        </w:rPr>
        <w:t>ne</w:t>
      </w:r>
      <w:r w:rsidRPr="00B15134">
        <w:rPr>
          <w:color w:val="211F1A"/>
          <w:spacing w:val="-1"/>
          <w:sz w:val="24"/>
          <w:szCs w:val="24"/>
        </w:rPr>
        <w:t>r</w:t>
      </w:r>
      <w:r w:rsidRPr="00B15134">
        <w:rPr>
          <w:color w:val="211F1A"/>
          <w:sz w:val="24"/>
          <w:szCs w:val="24"/>
        </w:rPr>
        <w:t>a</w:t>
      </w:r>
      <w:r w:rsidRPr="00B15134">
        <w:rPr>
          <w:color w:val="211F1A"/>
          <w:spacing w:val="-3"/>
          <w:sz w:val="24"/>
          <w:szCs w:val="24"/>
        </w:rPr>
        <w:t>l</w:t>
      </w:r>
      <w:r w:rsidRPr="00B15134">
        <w:rPr>
          <w:color w:val="211F1A"/>
          <w:sz w:val="24"/>
          <w:szCs w:val="24"/>
        </w:rPr>
        <w:t>i</w:t>
      </w:r>
      <w:r w:rsidRPr="00B15134">
        <w:rPr>
          <w:color w:val="211F1A"/>
          <w:spacing w:val="-5"/>
          <w:sz w:val="24"/>
          <w:szCs w:val="24"/>
        </w:rPr>
        <w:t>s</w:t>
      </w:r>
      <w:r w:rsidRPr="00B15134">
        <w:rPr>
          <w:color w:val="211F1A"/>
          <w:sz w:val="24"/>
          <w:szCs w:val="24"/>
        </w:rPr>
        <w:t>e</w:t>
      </w:r>
      <w:r w:rsidRPr="00B15134">
        <w:rPr>
          <w:color w:val="211F1A"/>
          <w:spacing w:val="-1"/>
          <w:sz w:val="24"/>
          <w:szCs w:val="24"/>
        </w:rPr>
        <w:t>r</w:t>
      </w:r>
      <w:r w:rsidRPr="00B15134">
        <w:rPr>
          <w:color w:val="211F1A"/>
          <w:sz w:val="24"/>
          <w:szCs w:val="24"/>
        </w:rPr>
        <w:t>ad</w:t>
      </w:r>
      <w:r w:rsidRPr="00B15134">
        <w:rPr>
          <w:color w:val="211F1A"/>
          <w:spacing w:val="-11"/>
          <w:sz w:val="24"/>
          <w:szCs w:val="24"/>
        </w:rPr>
        <w:t xml:space="preserve"> </w:t>
      </w:r>
      <w:r w:rsidRPr="00B15134">
        <w:rPr>
          <w:color w:val="211F1A"/>
          <w:spacing w:val="-2"/>
          <w:sz w:val="24"/>
          <w:szCs w:val="24"/>
        </w:rPr>
        <w:t>å</w:t>
      </w:r>
      <w:r w:rsidRPr="00B15134">
        <w:rPr>
          <w:color w:val="211F1A"/>
          <w:spacing w:val="-1"/>
          <w:sz w:val="24"/>
          <w:szCs w:val="24"/>
        </w:rPr>
        <w:t>n</w:t>
      </w:r>
      <w:r w:rsidRPr="00B15134">
        <w:rPr>
          <w:color w:val="211F1A"/>
          <w:spacing w:val="-2"/>
          <w:sz w:val="24"/>
          <w:szCs w:val="24"/>
        </w:rPr>
        <w:t>ges</w:t>
      </w:r>
      <w:r w:rsidRPr="00B15134">
        <w:rPr>
          <w:color w:val="211F1A"/>
          <w:spacing w:val="-3"/>
          <w:sz w:val="24"/>
          <w:szCs w:val="24"/>
        </w:rPr>
        <w:t>t</w:t>
      </w:r>
      <w:r w:rsidRPr="00B15134">
        <w:rPr>
          <w:color w:val="211F1A"/>
          <w:sz w:val="24"/>
          <w:szCs w:val="24"/>
        </w:rPr>
        <w:t>.</w:t>
      </w:r>
      <w:r>
        <w:rPr>
          <w:color w:val="211F1A"/>
          <w:sz w:val="24"/>
          <w:szCs w:val="24"/>
        </w:rPr>
        <w:br/>
      </w:r>
    </w:p>
    <w:p w14:paraId="32981C9F" w14:textId="77777777" w:rsidR="00702564" w:rsidRPr="00F017A4" w:rsidRDefault="00702564" w:rsidP="00702564">
      <w:pPr>
        <w:spacing w:before="120"/>
        <w:rPr>
          <w:rFonts w:asciiTheme="majorHAnsi" w:hAnsiTheme="majorHAnsi"/>
          <w:b/>
          <w:bCs/>
          <w:sz w:val="24"/>
          <w:szCs w:val="24"/>
        </w:rPr>
      </w:pPr>
      <w:r w:rsidRPr="3A20558F">
        <w:rPr>
          <w:rFonts w:asciiTheme="majorHAnsi" w:hAnsiTheme="majorHAnsi"/>
          <w:b/>
          <w:bCs/>
          <w:sz w:val="24"/>
          <w:szCs w:val="24"/>
        </w:rPr>
        <w:t>Ge</w:t>
      </w:r>
      <w:r w:rsidRPr="3A20558F">
        <w:rPr>
          <w:rFonts w:asciiTheme="majorHAnsi" w:hAnsiTheme="majorHAnsi"/>
          <w:b/>
          <w:bCs/>
          <w:spacing w:val="-4"/>
          <w:sz w:val="24"/>
          <w:szCs w:val="24"/>
        </w:rPr>
        <w:t>n</w:t>
      </w:r>
      <w:r w:rsidRPr="3A20558F">
        <w:rPr>
          <w:rFonts w:asciiTheme="majorHAnsi" w:hAnsiTheme="majorHAnsi"/>
          <w:b/>
          <w:bCs/>
          <w:sz w:val="24"/>
          <w:szCs w:val="24"/>
        </w:rPr>
        <w:t>e</w:t>
      </w:r>
      <w:r w:rsidRPr="3A20558F">
        <w:rPr>
          <w:rFonts w:asciiTheme="majorHAnsi" w:hAnsiTheme="majorHAnsi"/>
          <w:b/>
          <w:bCs/>
          <w:spacing w:val="1"/>
          <w:sz w:val="24"/>
          <w:szCs w:val="24"/>
        </w:rPr>
        <w:t>r</w:t>
      </w:r>
      <w:r w:rsidRPr="3A20558F">
        <w:rPr>
          <w:rFonts w:asciiTheme="majorHAnsi" w:hAnsiTheme="majorHAnsi"/>
          <w:b/>
          <w:bCs/>
          <w:spacing w:val="-6"/>
          <w:sz w:val="24"/>
          <w:szCs w:val="24"/>
        </w:rPr>
        <w:t>a</w:t>
      </w:r>
      <w:r w:rsidRPr="3A20558F">
        <w:rPr>
          <w:rFonts w:asciiTheme="majorHAnsi" w:hAnsiTheme="majorHAnsi"/>
          <w:b/>
          <w:bCs/>
          <w:spacing w:val="-2"/>
          <w:sz w:val="24"/>
          <w:szCs w:val="24"/>
        </w:rPr>
        <w:t>l</w:t>
      </w:r>
      <w:r w:rsidRPr="3A20558F">
        <w:rPr>
          <w:rFonts w:asciiTheme="majorHAnsi" w:hAnsiTheme="majorHAnsi"/>
          <w:b/>
          <w:bCs/>
          <w:spacing w:val="1"/>
          <w:sz w:val="24"/>
          <w:szCs w:val="24"/>
        </w:rPr>
        <w:t>i</w:t>
      </w:r>
      <w:r w:rsidRPr="3A20558F">
        <w:rPr>
          <w:rFonts w:asciiTheme="majorHAnsi" w:hAnsiTheme="majorHAnsi"/>
          <w:b/>
          <w:bCs/>
          <w:spacing w:val="-3"/>
          <w:sz w:val="24"/>
          <w:szCs w:val="24"/>
        </w:rPr>
        <w:t>s</w:t>
      </w:r>
      <w:r w:rsidRPr="3A20558F">
        <w:rPr>
          <w:rFonts w:asciiTheme="majorHAnsi" w:hAnsiTheme="majorHAnsi"/>
          <w:b/>
          <w:bCs/>
          <w:spacing w:val="-5"/>
          <w:sz w:val="24"/>
          <w:szCs w:val="24"/>
        </w:rPr>
        <w:t>e</w:t>
      </w:r>
      <w:r w:rsidRPr="3A20558F">
        <w:rPr>
          <w:rFonts w:asciiTheme="majorHAnsi" w:hAnsiTheme="majorHAnsi"/>
          <w:b/>
          <w:bCs/>
          <w:sz w:val="24"/>
          <w:szCs w:val="24"/>
        </w:rPr>
        <w:t>rad</w:t>
      </w:r>
      <w:r w:rsidRPr="3A20558F">
        <w:rPr>
          <w:rFonts w:asciiTheme="majorHAnsi" w:hAnsiTheme="majorHAnsi"/>
          <w:b/>
          <w:bCs/>
          <w:spacing w:val="-7"/>
          <w:sz w:val="24"/>
          <w:szCs w:val="24"/>
        </w:rPr>
        <w:t xml:space="preserve"> </w:t>
      </w:r>
      <w:r w:rsidRPr="3A20558F">
        <w:rPr>
          <w:rFonts w:asciiTheme="majorHAnsi" w:hAnsiTheme="majorHAnsi"/>
          <w:b/>
          <w:bCs/>
          <w:sz w:val="24"/>
          <w:szCs w:val="24"/>
        </w:rPr>
        <w:t>å</w:t>
      </w:r>
      <w:r w:rsidRPr="3A20558F">
        <w:rPr>
          <w:rFonts w:asciiTheme="majorHAnsi" w:hAnsiTheme="majorHAnsi"/>
          <w:b/>
          <w:bCs/>
          <w:spacing w:val="-4"/>
          <w:sz w:val="24"/>
          <w:szCs w:val="24"/>
        </w:rPr>
        <w:t>n</w:t>
      </w:r>
      <w:r w:rsidRPr="3A20558F">
        <w:rPr>
          <w:rFonts w:asciiTheme="majorHAnsi" w:hAnsiTheme="majorHAnsi"/>
          <w:b/>
          <w:bCs/>
          <w:spacing w:val="-7"/>
          <w:sz w:val="24"/>
          <w:szCs w:val="24"/>
        </w:rPr>
        <w:t>g</w:t>
      </w:r>
      <w:r w:rsidRPr="3A20558F">
        <w:rPr>
          <w:rFonts w:asciiTheme="majorHAnsi" w:hAnsiTheme="majorHAnsi"/>
          <w:b/>
          <w:bCs/>
          <w:spacing w:val="-1"/>
          <w:sz w:val="24"/>
          <w:szCs w:val="24"/>
        </w:rPr>
        <w:t>es</w:t>
      </w:r>
      <w:r w:rsidRPr="3A20558F">
        <w:rPr>
          <w:rFonts w:asciiTheme="majorHAnsi" w:hAnsiTheme="majorHAnsi"/>
          <w:b/>
          <w:bCs/>
          <w:sz w:val="24"/>
          <w:szCs w:val="24"/>
        </w:rPr>
        <w:t>t</w:t>
      </w:r>
      <w:r w:rsidRPr="3A20558F">
        <w:rPr>
          <w:rFonts w:asciiTheme="majorHAnsi" w:hAnsiTheme="majorHAnsi"/>
          <w:b/>
          <w:bCs/>
          <w:spacing w:val="-3"/>
          <w:sz w:val="24"/>
          <w:szCs w:val="24"/>
        </w:rPr>
        <w:t xml:space="preserve"> (</w:t>
      </w:r>
      <w:r w:rsidRPr="3A20558F">
        <w:rPr>
          <w:rFonts w:asciiTheme="majorHAnsi" w:hAnsiTheme="majorHAnsi"/>
          <w:b/>
          <w:bCs/>
          <w:spacing w:val="7"/>
          <w:sz w:val="24"/>
          <w:szCs w:val="24"/>
        </w:rPr>
        <w:t>G</w:t>
      </w:r>
      <w:r w:rsidRPr="3A20558F">
        <w:rPr>
          <w:rFonts w:asciiTheme="majorHAnsi" w:hAnsiTheme="majorHAnsi"/>
          <w:b/>
          <w:bCs/>
          <w:spacing w:val="-21"/>
          <w:sz w:val="24"/>
          <w:szCs w:val="24"/>
        </w:rPr>
        <w:t>A</w:t>
      </w:r>
      <w:r w:rsidRPr="3A20558F">
        <w:rPr>
          <w:rFonts w:asciiTheme="majorHAnsi" w:hAnsiTheme="majorHAnsi"/>
          <w:b/>
          <w:bCs/>
          <w:spacing w:val="-4"/>
          <w:sz w:val="24"/>
          <w:szCs w:val="24"/>
        </w:rPr>
        <w:t>D</w:t>
      </w:r>
      <w:r w:rsidRPr="3A20558F">
        <w:rPr>
          <w:rFonts w:asciiTheme="majorHAnsi" w:hAnsiTheme="majorHAnsi"/>
          <w:b/>
          <w:bCs/>
          <w:sz w:val="24"/>
          <w:szCs w:val="24"/>
        </w:rPr>
        <w:t>)</w:t>
      </w:r>
    </w:p>
    <w:p w14:paraId="108EC094" w14:textId="0FDE014E" w:rsidR="00702564" w:rsidRPr="0028434E" w:rsidRDefault="00702564" w:rsidP="00702564">
      <w:pPr>
        <w:spacing w:before="120"/>
      </w:pPr>
      <w:r w:rsidRPr="3A20558F">
        <w:rPr>
          <w:color w:val="211F1A"/>
          <w:sz w:val="24"/>
          <w:szCs w:val="24"/>
        </w:rPr>
        <w:t>Generaliserat ångestsyndrom (GAD) finns ofta med sedan barndom eller ungdom och innebär en överängslighet med benägenhet att ta ut oro i förskott och är oftast kombinerat med psykosomatiska symtom – hjärtklappning, orolig mage/dyspepsi, spänd muskulatur. Selektiva</w:t>
      </w:r>
      <w:r w:rsidR="00BB6263">
        <w:rPr>
          <w:color w:val="211F1A"/>
          <w:sz w:val="24"/>
          <w:szCs w:val="24"/>
        </w:rPr>
        <w:t xml:space="preserve"> </w:t>
      </w:r>
      <w:r w:rsidRPr="3A20558F">
        <w:rPr>
          <w:color w:val="211F1A"/>
          <w:sz w:val="24"/>
          <w:szCs w:val="24"/>
        </w:rPr>
        <w:t xml:space="preserve">serotoninåterupptagshämmare minskar ångesttendens och stresskänslighet. Risken för återfall är hög. </w:t>
      </w:r>
      <w:r>
        <w:br/>
      </w:r>
    </w:p>
    <w:p w14:paraId="0EF0D620" w14:textId="77777777" w:rsidR="0055305B" w:rsidRDefault="00702564" w:rsidP="00702564">
      <w:pPr>
        <w:spacing w:before="120"/>
        <w:rPr>
          <w:rFonts w:ascii="Corbel" w:hAnsi="Corbel"/>
          <w:b/>
          <w:bCs/>
          <w:sz w:val="24"/>
          <w:szCs w:val="24"/>
        </w:rPr>
      </w:pPr>
      <w:r w:rsidRPr="00F017A4">
        <w:rPr>
          <w:rFonts w:ascii="Corbel" w:hAnsi="Corbel"/>
          <w:b/>
          <w:bCs/>
          <w:color w:val="211F1A"/>
          <w:sz w:val="24"/>
          <w:szCs w:val="24"/>
        </w:rPr>
        <w:t>Pa</w:t>
      </w:r>
      <w:r w:rsidRPr="00F017A4">
        <w:rPr>
          <w:rFonts w:ascii="Corbel" w:hAnsi="Corbel"/>
          <w:b/>
          <w:bCs/>
          <w:color w:val="211F1A"/>
          <w:spacing w:val="-4"/>
          <w:sz w:val="24"/>
          <w:szCs w:val="24"/>
        </w:rPr>
        <w:t>n</w:t>
      </w:r>
      <w:r w:rsidRPr="00F017A4">
        <w:rPr>
          <w:rFonts w:ascii="Corbel" w:hAnsi="Corbel"/>
          <w:b/>
          <w:bCs/>
          <w:color w:val="211F1A"/>
          <w:spacing w:val="1"/>
          <w:sz w:val="24"/>
          <w:szCs w:val="24"/>
        </w:rPr>
        <w:t>i</w:t>
      </w:r>
      <w:r w:rsidRPr="00F017A4">
        <w:rPr>
          <w:rFonts w:ascii="Corbel" w:hAnsi="Corbel"/>
          <w:b/>
          <w:bCs/>
          <w:color w:val="211F1A"/>
          <w:spacing w:val="-3"/>
          <w:sz w:val="24"/>
          <w:szCs w:val="24"/>
        </w:rPr>
        <w:t>k</w:t>
      </w:r>
      <w:r w:rsidRPr="00F017A4">
        <w:rPr>
          <w:rFonts w:ascii="Corbel" w:hAnsi="Corbel"/>
          <w:b/>
          <w:bCs/>
          <w:color w:val="211F1A"/>
          <w:spacing w:val="7"/>
          <w:sz w:val="24"/>
          <w:szCs w:val="24"/>
        </w:rPr>
        <w:t>s</w:t>
      </w:r>
      <w:r w:rsidRPr="00F017A4">
        <w:rPr>
          <w:rFonts w:ascii="Corbel" w:hAnsi="Corbel"/>
          <w:b/>
          <w:bCs/>
          <w:color w:val="211F1A"/>
          <w:spacing w:val="-22"/>
          <w:sz w:val="24"/>
          <w:szCs w:val="24"/>
        </w:rPr>
        <w:t>y</w:t>
      </w:r>
      <w:r w:rsidRPr="00F017A4">
        <w:rPr>
          <w:rFonts w:ascii="Corbel" w:hAnsi="Corbel"/>
          <w:b/>
          <w:bCs/>
          <w:color w:val="211F1A"/>
          <w:spacing w:val="-4"/>
          <w:sz w:val="24"/>
          <w:szCs w:val="24"/>
        </w:rPr>
        <w:t>nd</w:t>
      </w:r>
      <w:r w:rsidRPr="00F017A4">
        <w:rPr>
          <w:rFonts w:ascii="Corbel" w:hAnsi="Corbel"/>
          <w:b/>
          <w:bCs/>
          <w:color w:val="211F1A"/>
          <w:spacing w:val="3"/>
          <w:sz w:val="24"/>
          <w:szCs w:val="24"/>
        </w:rPr>
        <w:t>r</w:t>
      </w:r>
      <w:r w:rsidRPr="00F017A4">
        <w:rPr>
          <w:rFonts w:ascii="Corbel" w:hAnsi="Corbel"/>
          <w:b/>
          <w:bCs/>
          <w:color w:val="211F1A"/>
          <w:spacing w:val="-4"/>
          <w:sz w:val="24"/>
          <w:szCs w:val="24"/>
        </w:rPr>
        <w:t>om</w:t>
      </w:r>
    </w:p>
    <w:p w14:paraId="48ABF14E" w14:textId="59BBA68A" w:rsidR="00702564" w:rsidRPr="0055305B" w:rsidRDefault="00702564" w:rsidP="00702564">
      <w:pPr>
        <w:spacing w:before="120"/>
        <w:rPr>
          <w:rFonts w:ascii="Corbel" w:hAnsi="Corbel"/>
          <w:b/>
          <w:bCs/>
          <w:sz w:val="24"/>
          <w:szCs w:val="24"/>
        </w:rPr>
      </w:pPr>
      <w:r w:rsidRPr="3A20558F">
        <w:rPr>
          <w:color w:val="211F1A"/>
          <w:sz w:val="24"/>
          <w:szCs w:val="24"/>
        </w:rPr>
        <w:t xml:space="preserve">För diagnosen paniksyndrom ska utöver återkommande och oförutsägbara panikattackerna det även finnas förväntansångest och undvikande beteende. Symtomen är likartade som de vid social fobi. Noggrann anamnes kan hjälpa att skilja ut tillstånden. Farmaka ger oftast en minskning av panikattackerna medan förväntansångest och undvikandebeteende kan kvarstå längre. </w:t>
      </w:r>
    </w:p>
    <w:p w14:paraId="075527E3" w14:textId="77777777" w:rsidR="00702564" w:rsidRPr="0028434E" w:rsidRDefault="00702564" w:rsidP="00702564">
      <w:pPr>
        <w:spacing w:before="120"/>
        <w:rPr>
          <w:spacing w:val="-5"/>
        </w:rPr>
      </w:pPr>
    </w:p>
    <w:p w14:paraId="68E7EE2D" w14:textId="77777777" w:rsidR="00702564" w:rsidRPr="00F017A4" w:rsidRDefault="00702564" w:rsidP="00702564">
      <w:pPr>
        <w:spacing w:before="120"/>
        <w:rPr>
          <w:rFonts w:ascii="Corbel" w:hAnsi="Corbel"/>
          <w:b/>
          <w:bCs/>
          <w:sz w:val="24"/>
          <w:szCs w:val="24"/>
        </w:rPr>
      </w:pPr>
      <w:r w:rsidRPr="00F017A4">
        <w:rPr>
          <w:rFonts w:ascii="Corbel" w:hAnsi="Corbel"/>
          <w:b/>
          <w:bCs/>
          <w:color w:val="211F1A"/>
          <w:sz w:val="24"/>
          <w:szCs w:val="24"/>
        </w:rPr>
        <w:t>S</w:t>
      </w:r>
      <w:r w:rsidRPr="00F017A4">
        <w:rPr>
          <w:rFonts w:ascii="Corbel" w:hAnsi="Corbel"/>
          <w:b/>
          <w:bCs/>
          <w:color w:val="211F1A"/>
          <w:spacing w:val="-4"/>
          <w:sz w:val="24"/>
          <w:szCs w:val="24"/>
        </w:rPr>
        <w:t>o</w:t>
      </w:r>
      <w:r w:rsidRPr="00F017A4">
        <w:rPr>
          <w:rFonts w:ascii="Corbel" w:hAnsi="Corbel"/>
          <w:b/>
          <w:bCs/>
          <w:color w:val="211F1A"/>
          <w:sz w:val="24"/>
          <w:szCs w:val="24"/>
        </w:rPr>
        <w:t>c</w:t>
      </w:r>
      <w:r w:rsidRPr="00F017A4">
        <w:rPr>
          <w:rFonts w:ascii="Corbel" w:hAnsi="Corbel"/>
          <w:b/>
          <w:bCs/>
          <w:color w:val="211F1A"/>
          <w:spacing w:val="-2"/>
          <w:sz w:val="24"/>
          <w:szCs w:val="24"/>
        </w:rPr>
        <w:t>i</w:t>
      </w:r>
      <w:r w:rsidRPr="00F017A4">
        <w:rPr>
          <w:rFonts w:ascii="Corbel" w:hAnsi="Corbel"/>
          <w:b/>
          <w:bCs/>
          <w:color w:val="211F1A"/>
          <w:spacing w:val="-1"/>
          <w:sz w:val="24"/>
          <w:szCs w:val="24"/>
        </w:rPr>
        <w:t>a</w:t>
      </w:r>
      <w:r w:rsidRPr="00F017A4">
        <w:rPr>
          <w:rFonts w:ascii="Corbel" w:hAnsi="Corbel"/>
          <w:b/>
          <w:bCs/>
          <w:color w:val="211F1A"/>
          <w:sz w:val="24"/>
          <w:szCs w:val="24"/>
        </w:rPr>
        <w:t>l</w:t>
      </w:r>
      <w:r w:rsidRPr="00F017A4">
        <w:rPr>
          <w:rFonts w:ascii="Corbel" w:hAnsi="Corbel"/>
          <w:b/>
          <w:bCs/>
          <w:color w:val="211F1A"/>
          <w:spacing w:val="-3"/>
          <w:sz w:val="24"/>
          <w:szCs w:val="24"/>
        </w:rPr>
        <w:t xml:space="preserve"> </w:t>
      </w:r>
      <w:r w:rsidRPr="00F017A4">
        <w:rPr>
          <w:rFonts w:ascii="Corbel" w:hAnsi="Corbel"/>
          <w:b/>
          <w:bCs/>
          <w:color w:val="211F1A"/>
          <w:sz w:val="24"/>
          <w:szCs w:val="24"/>
        </w:rPr>
        <w:t>f</w:t>
      </w:r>
      <w:r w:rsidRPr="00F017A4">
        <w:rPr>
          <w:rFonts w:ascii="Corbel" w:hAnsi="Corbel"/>
          <w:b/>
          <w:bCs/>
          <w:color w:val="211F1A"/>
          <w:spacing w:val="-4"/>
          <w:sz w:val="24"/>
          <w:szCs w:val="24"/>
        </w:rPr>
        <w:t>o</w:t>
      </w:r>
      <w:r w:rsidRPr="00F017A4">
        <w:rPr>
          <w:rFonts w:ascii="Corbel" w:hAnsi="Corbel"/>
          <w:b/>
          <w:bCs/>
          <w:color w:val="211F1A"/>
          <w:spacing w:val="-6"/>
          <w:sz w:val="24"/>
          <w:szCs w:val="24"/>
        </w:rPr>
        <w:t>b</w:t>
      </w:r>
      <w:r w:rsidRPr="00F017A4">
        <w:rPr>
          <w:rFonts w:ascii="Corbel" w:hAnsi="Corbel"/>
          <w:b/>
          <w:bCs/>
          <w:color w:val="211F1A"/>
          <w:sz w:val="24"/>
          <w:szCs w:val="24"/>
        </w:rPr>
        <w:t>i</w:t>
      </w:r>
    </w:p>
    <w:p w14:paraId="24A935D3" w14:textId="77777777" w:rsidR="00702564" w:rsidRPr="00B15134" w:rsidRDefault="00702564" w:rsidP="00702564">
      <w:pPr>
        <w:spacing w:before="120"/>
        <w:rPr>
          <w:color w:val="211F1A"/>
          <w:sz w:val="24"/>
          <w:szCs w:val="24"/>
        </w:rPr>
      </w:pPr>
      <w:r w:rsidRPr="3A20558F">
        <w:rPr>
          <w:color w:val="211F1A"/>
          <w:sz w:val="24"/>
          <w:szCs w:val="24"/>
        </w:rPr>
        <w:t xml:space="preserve">Ångestattacker i situationer då man är i fokus för andras uppmärksamhet och ett mycket stort inslag av förväntansångest och undvikande som kan leda till betydande sociala handikapp. Vid social fobi finns ofta mycket skamkänslor och det kan gå många år innan patienten söker sig till behandling. Symtomen kan likna dem vid paniksyndrom. Sekundärt alkoholmissbruk kan förekomma. </w:t>
      </w:r>
    </w:p>
    <w:p w14:paraId="0A82B4B3" w14:textId="77777777" w:rsidR="00702564" w:rsidRPr="0028434E" w:rsidRDefault="00702564" w:rsidP="00702564"/>
    <w:p w14:paraId="535AF0B9" w14:textId="77777777" w:rsidR="00702564" w:rsidRPr="00F017A4" w:rsidRDefault="00702564" w:rsidP="00702564">
      <w:pPr>
        <w:rPr>
          <w:rFonts w:asciiTheme="majorHAnsi" w:hAnsiTheme="majorHAnsi"/>
          <w:b/>
          <w:bCs/>
          <w:sz w:val="24"/>
          <w:szCs w:val="24"/>
        </w:rPr>
      </w:pPr>
      <w:r w:rsidRPr="3A20558F">
        <w:rPr>
          <w:rFonts w:asciiTheme="majorHAnsi" w:hAnsiTheme="majorHAnsi"/>
          <w:b/>
          <w:bCs/>
          <w:color w:val="211F1A"/>
          <w:spacing w:val="-1"/>
          <w:sz w:val="24"/>
          <w:szCs w:val="24"/>
        </w:rPr>
        <w:t>T</w:t>
      </w:r>
      <w:r w:rsidRPr="3A20558F">
        <w:rPr>
          <w:rFonts w:asciiTheme="majorHAnsi" w:hAnsiTheme="majorHAnsi"/>
          <w:b/>
          <w:bCs/>
          <w:color w:val="211F1A"/>
          <w:spacing w:val="-10"/>
          <w:sz w:val="24"/>
          <w:szCs w:val="24"/>
        </w:rPr>
        <w:t>v</w:t>
      </w:r>
      <w:r w:rsidRPr="3A20558F">
        <w:rPr>
          <w:rFonts w:asciiTheme="majorHAnsi" w:hAnsiTheme="majorHAnsi"/>
          <w:b/>
          <w:bCs/>
          <w:color w:val="211F1A"/>
          <w:sz w:val="24"/>
          <w:szCs w:val="24"/>
        </w:rPr>
        <w:t>å</w:t>
      </w:r>
      <w:r w:rsidRPr="3A20558F">
        <w:rPr>
          <w:rFonts w:asciiTheme="majorHAnsi" w:hAnsiTheme="majorHAnsi"/>
          <w:b/>
          <w:bCs/>
          <w:color w:val="211F1A"/>
          <w:spacing w:val="-2"/>
          <w:sz w:val="24"/>
          <w:szCs w:val="24"/>
        </w:rPr>
        <w:t>n</w:t>
      </w:r>
      <w:r w:rsidRPr="3A20558F">
        <w:rPr>
          <w:rFonts w:asciiTheme="majorHAnsi" w:hAnsiTheme="majorHAnsi"/>
          <w:b/>
          <w:bCs/>
          <w:color w:val="211F1A"/>
          <w:spacing w:val="-4"/>
          <w:sz w:val="24"/>
          <w:szCs w:val="24"/>
        </w:rPr>
        <w:t>g</w:t>
      </w:r>
      <w:r w:rsidRPr="3A20558F">
        <w:rPr>
          <w:rFonts w:asciiTheme="majorHAnsi" w:hAnsiTheme="majorHAnsi"/>
          <w:b/>
          <w:bCs/>
          <w:color w:val="211F1A"/>
          <w:sz w:val="24"/>
          <w:szCs w:val="24"/>
        </w:rPr>
        <w:t>s</w:t>
      </w:r>
      <w:r w:rsidRPr="3A20558F">
        <w:rPr>
          <w:rFonts w:asciiTheme="majorHAnsi" w:hAnsiTheme="majorHAnsi"/>
          <w:b/>
          <w:bCs/>
          <w:color w:val="211F1A"/>
          <w:spacing w:val="11"/>
          <w:sz w:val="24"/>
          <w:szCs w:val="24"/>
        </w:rPr>
        <w:t>s</w:t>
      </w:r>
      <w:r w:rsidRPr="3A20558F">
        <w:rPr>
          <w:rFonts w:asciiTheme="majorHAnsi" w:hAnsiTheme="majorHAnsi"/>
          <w:b/>
          <w:bCs/>
          <w:color w:val="211F1A"/>
          <w:spacing w:val="-22"/>
          <w:sz w:val="24"/>
          <w:szCs w:val="24"/>
        </w:rPr>
        <w:t>y</w:t>
      </w:r>
      <w:r w:rsidRPr="3A20558F">
        <w:rPr>
          <w:rFonts w:asciiTheme="majorHAnsi" w:hAnsiTheme="majorHAnsi"/>
          <w:b/>
          <w:bCs/>
          <w:color w:val="211F1A"/>
          <w:spacing w:val="1"/>
          <w:sz w:val="24"/>
          <w:szCs w:val="24"/>
        </w:rPr>
        <w:t>n</w:t>
      </w:r>
      <w:r w:rsidRPr="3A20558F">
        <w:rPr>
          <w:rFonts w:asciiTheme="majorHAnsi" w:hAnsiTheme="majorHAnsi"/>
          <w:b/>
          <w:bCs/>
          <w:color w:val="211F1A"/>
          <w:spacing w:val="-4"/>
          <w:sz w:val="24"/>
          <w:szCs w:val="24"/>
        </w:rPr>
        <w:t>d</w:t>
      </w:r>
      <w:r w:rsidRPr="3A20558F">
        <w:rPr>
          <w:rFonts w:asciiTheme="majorHAnsi" w:hAnsiTheme="majorHAnsi"/>
          <w:b/>
          <w:bCs/>
          <w:color w:val="211F1A"/>
          <w:spacing w:val="3"/>
          <w:sz w:val="24"/>
          <w:szCs w:val="24"/>
        </w:rPr>
        <w:t>r</w:t>
      </w:r>
      <w:r w:rsidRPr="3A20558F">
        <w:rPr>
          <w:rFonts w:asciiTheme="majorHAnsi" w:hAnsiTheme="majorHAnsi"/>
          <w:b/>
          <w:bCs/>
          <w:color w:val="211F1A"/>
          <w:spacing w:val="-4"/>
          <w:sz w:val="24"/>
          <w:szCs w:val="24"/>
        </w:rPr>
        <w:t>om</w:t>
      </w:r>
    </w:p>
    <w:p w14:paraId="62D1BDCD" w14:textId="77777777" w:rsidR="00702564" w:rsidRPr="00B15134" w:rsidRDefault="00702564" w:rsidP="00702564">
      <w:pPr>
        <w:spacing w:before="120"/>
        <w:rPr>
          <w:color w:val="211F1A"/>
          <w:sz w:val="24"/>
          <w:szCs w:val="24"/>
        </w:rPr>
      </w:pPr>
      <w:r w:rsidRPr="3A20558F">
        <w:rPr>
          <w:color w:val="211F1A"/>
          <w:sz w:val="24"/>
          <w:szCs w:val="24"/>
        </w:rPr>
        <w:t>Tvångssyndrom (tvångstankar och/eller tvångshandlingar) är svåra sjukdomstillstånd som kräver högre doser och ibland en kombination av olika preparat. Patienter med tvångssyndrom går obehandlade länge, och berättar inte om sina tvångssymtom pga. att de skäms över dem. De kan i stället presentera sig med ångest eller nedstämdhet och upptäcks först då tvångssymtom aktivt efterfrågas. Behandlingen blir oftast en specialistangelägenhet. Långa behandlingstider är nödvändiga och behandlingen är en kombination av farmaka och kognitiv beteendeterapi.</w:t>
      </w:r>
    </w:p>
    <w:p w14:paraId="236B3E16" w14:textId="77777777" w:rsidR="00702564" w:rsidRPr="0028434E" w:rsidRDefault="00702564" w:rsidP="00702564"/>
    <w:p w14:paraId="643998F3" w14:textId="77777777" w:rsidR="00702564" w:rsidRPr="00F017A4" w:rsidRDefault="00702564" w:rsidP="00702564">
      <w:pPr>
        <w:rPr>
          <w:rFonts w:asciiTheme="majorHAnsi" w:hAnsiTheme="majorHAnsi"/>
          <w:b/>
          <w:bCs/>
          <w:sz w:val="24"/>
          <w:szCs w:val="24"/>
        </w:rPr>
      </w:pPr>
      <w:r w:rsidRPr="3A20558F">
        <w:rPr>
          <w:rFonts w:asciiTheme="majorHAnsi" w:hAnsiTheme="majorHAnsi"/>
          <w:b/>
          <w:bCs/>
          <w:color w:val="211F1A"/>
          <w:sz w:val="24"/>
          <w:szCs w:val="24"/>
        </w:rPr>
        <w:t>P</w:t>
      </w:r>
      <w:r w:rsidRPr="3A20558F">
        <w:rPr>
          <w:rFonts w:asciiTheme="majorHAnsi" w:hAnsiTheme="majorHAnsi"/>
          <w:b/>
          <w:bCs/>
          <w:color w:val="211F1A"/>
          <w:spacing w:val="-4"/>
          <w:sz w:val="24"/>
          <w:szCs w:val="24"/>
        </w:rPr>
        <w:t>o</w:t>
      </w:r>
      <w:r w:rsidRPr="3A20558F">
        <w:rPr>
          <w:rFonts w:asciiTheme="majorHAnsi" w:hAnsiTheme="majorHAnsi"/>
          <w:b/>
          <w:bCs/>
          <w:color w:val="211F1A"/>
          <w:sz w:val="24"/>
          <w:szCs w:val="24"/>
        </w:rPr>
        <w:t>s</w:t>
      </w:r>
      <w:r w:rsidRPr="3A20558F">
        <w:rPr>
          <w:rFonts w:asciiTheme="majorHAnsi" w:hAnsiTheme="majorHAnsi"/>
          <w:b/>
          <w:bCs/>
          <w:color w:val="211F1A"/>
          <w:spacing w:val="-3"/>
          <w:sz w:val="24"/>
          <w:szCs w:val="24"/>
        </w:rPr>
        <w:t>t</w:t>
      </w:r>
      <w:r w:rsidRPr="3A20558F">
        <w:rPr>
          <w:rFonts w:asciiTheme="majorHAnsi" w:hAnsiTheme="majorHAnsi"/>
          <w:b/>
          <w:bCs/>
          <w:color w:val="211F1A"/>
          <w:sz w:val="24"/>
          <w:szCs w:val="24"/>
        </w:rPr>
        <w:t>t</w:t>
      </w:r>
      <w:r w:rsidRPr="3A20558F">
        <w:rPr>
          <w:rFonts w:asciiTheme="majorHAnsi" w:hAnsiTheme="majorHAnsi"/>
          <w:b/>
          <w:bCs/>
          <w:color w:val="211F1A"/>
          <w:spacing w:val="-2"/>
          <w:sz w:val="24"/>
          <w:szCs w:val="24"/>
        </w:rPr>
        <w:t>r</w:t>
      </w:r>
      <w:r w:rsidRPr="3A20558F">
        <w:rPr>
          <w:rFonts w:asciiTheme="majorHAnsi" w:hAnsiTheme="majorHAnsi"/>
          <w:b/>
          <w:bCs/>
          <w:color w:val="211F1A"/>
          <w:sz w:val="24"/>
          <w:szCs w:val="24"/>
        </w:rPr>
        <w:t>a</w:t>
      </w:r>
      <w:r w:rsidRPr="3A20558F">
        <w:rPr>
          <w:rFonts w:asciiTheme="majorHAnsi" w:hAnsiTheme="majorHAnsi"/>
          <w:b/>
          <w:bCs/>
          <w:color w:val="211F1A"/>
          <w:spacing w:val="-7"/>
          <w:sz w:val="24"/>
          <w:szCs w:val="24"/>
        </w:rPr>
        <w:t>u</w:t>
      </w:r>
      <w:r w:rsidRPr="3A20558F">
        <w:rPr>
          <w:rFonts w:asciiTheme="majorHAnsi" w:hAnsiTheme="majorHAnsi"/>
          <w:b/>
          <w:bCs/>
          <w:color w:val="211F1A"/>
          <w:spacing w:val="-1"/>
          <w:sz w:val="24"/>
          <w:szCs w:val="24"/>
        </w:rPr>
        <w:t>m</w:t>
      </w:r>
      <w:r w:rsidRPr="3A20558F">
        <w:rPr>
          <w:rFonts w:asciiTheme="majorHAnsi" w:hAnsiTheme="majorHAnsi"/>
          <w:b/>
          <w:bCs/>
          <w:color w:val="211F1A"/>
          <w:spacing w:val="-3"/>
          <w:sz w:val="24"/>
          <w:szCs w:val="24"/>
        </w:rPr>
        <w:t>at</w:t>
      </w:r>
      <w:r w:rsidRPr="3A20558F">
        <w:rPr>
          <w:rFonts w:asciiTheme="majorHAnsi" w:hAnsiTheme="majorHAnsi"/>
          <w:b/>
          <w:bCs/>
          <w:color w:val="211F1A"/>
          <w:spacing w:val="1"/>
          <w:sz w:val="24"/>
          <w:szCs w:val="24"/>
        </w:rPr>
        <w:t>i</w:t>
      </w:r>
      <w:r w:rsidRPr="3A20558F">
        <w:rPr>
          <w:rFonts w:asciiTheme="majorHAnsi" w:hAnsiTheme="majorHAnsi"/>
          <w:b/>
          <w:bCs/>
          <w:color w:val="211F1A"/>
          <w:spacing w:val="-5"/>
          <w:sz w:val="24"/>
          <w:szCs w:val="24"/>
        </w:rPr>
        <w:t>s</w:t>
      </w:r>
      <w:r w:rsidRPr="3A20558F">
        <w:rPr>
          <w:rFonts w:asciiTheme="majorHAnsi" w:hAnsiTheme="majorHAnsi"/>
          <w:b/>
          <w:bCs/>
          <w:color w:val="211F1A"/>
          <w:sz w:val="24"/>
          <w:szCs w:val="24"/>
        </w:rPr>
        <w:t>kt</w:t>
      </w:r>
      <w:r w:rsidRPr="3A20558F">
        <w:rPr>
          <w:rFonts w:asciiTheme="majorHAnsi" w:hAnsiTheme="majorHAnsi"/>
          <w:b/>
          <w:bCs/>
          <w:color w:val="211F1A"/>
          <w:spacing w:val="-2"/>
          <w:sz w:val="24"/>
          <w:szCs w:val="24"/>
        </w:rPr>
        <w:t xml:space="preserve"> </w:t>
      </w:r>
      <w:r w:rsidRPr="3A20558F">
        <w:rPr>
          <w:rFonts w:asciiTheme="majorHAnsi" w:hAnsiTheme="majorHAnsi"/>
          <w:b/>
          <w:bCs/>
          <w:color w:val="211F1A"/>
          <w:spacing w:val="-3"/>
          <w:sz w:val="24"/>
          <w:szCs w:val="24"/>
        </w:rPr>
        <w:t>s</w:t>
      </w:r>
      <w:r w:rsidRPr="3A20558F">
        <w:rPr>
          <w:rFonts w:asciiTheme="majorHAnsi" w:hAnsiTheme="majorHAnsi"/>
          <w:b/>
          <w:bCs/>
          <w:color w:val="211F1A"/>
          <w:spacing w:val="-5"/>
          <w:sz w:val="24"/>
          <w:szCs w:val="24"/>
        </w:rPr>
        <w:t>t</w:t>
      </w:r>
      <w:r w:rsidRPr="3A20558F">
        <w:rPr>
          <w:rFonts w:asciiTheme="majorHAnsi" w:hAnsiTheme="majorHAnsi"/>
          <w:b/>
          <w:bCs/>
          <w:color w:val="211F1A"/>
          <w:spacing w:val="1"/>
          <w:sz w:val="24"/>
          <w:szCs w:val="24"/>
        </w:rPr>
        <w:t>r</w:t>
      </w:r>
      <w:r w:rsidRPr="3A20558F">
        <w:rPr>
          <w:rFonts w:asciiTheme="majorHAnsi" w:hAnsiTheme="majorHAnsi"/>
          <w:b/>
          <w:bCs/>
          <w:color w:val="211F1A"/>
          <w:sz w:val="24"/>
          <w:szCs w:val="24"/>
        </w:rPr>
        <w:t>e</w:t>
      </w:r>
      <w:r w:rsidRPr="3A20558F">
        <w:rPr>
          <w:rFonts w:asciiTheme="majorHAnsi" w:hAnsiTheme="majorHAnsi"/>
          <w:b/>
          <w:bCs/>
          <w:color w:val="211F1A"/>
          <w:spacing w:val="-2"/>
          <w:sz w:val="24"/>
          <w:szCs w:val="24"/>
        </w:rPr>
        <w:t>s</w:t>
      </w:r>
      <w:r w:rsidRPr="3A20558F">
        <w:rPr>
          <w:rFonts w:asciiTheme="majorHAnsi" w:hAnsiTheme="majorHAnsi"/>
          <w:b/>
          <w:bCs/>
          <w:color w:val="211F1A"/>
          <w:spacing w:val="7"/>
          <w:sz w:val="24"/>
          <w:szCs w:val="24"/>
        </w:rPr>
        <w:t>s</w:t>
      </w:r>
      <w:r w:rsidRPr="3A20558F">
        <w:rPr>
          <w:rFonts w:asciiTheme="majorHAnsi" w:hAnsiTheme="majorHAnsi"/>
          <w:b/>
          <w:bCs/>
          <w:color w:val="211F1A"/>
          <w:spacing w:val="-22"/>
          <w:sz w:val="24"/>
          <w:szCs w:val="24"/>
        </w:rPr>
        <w:t>y</w:t>
      </w:r>
      <w:r w:rsidRPr="3A20558F">
        <w:rPr>
          <w:rFonts w:asciiTheme="majorHAnsi" w:hAnsiTheme="majorHAnsi"/>
          <w:b/>
          <w:bCs/>
          <w:color w:val="211F1A"/>
          <w:spacing w:val="-4"/>
          <w:sz w:val="24"/>
          <w:szCs w:val="24"/>
        </w:rPr>
        <w:t>nd</w:t>
      </w:r>
      <w:r w:rsidRPr="3A20558F">
        <w:rPr>
          <w:rFonts w:asciiTheme="majorHAnsi" w:hAnsiTheme="majorHAnsi"/>
          <w:b/>
          <w:bCs/>
          <w:color w:val="211F1A"/>
          <w:spacing w:val="3"/>
          <w:sz w:val="24"/>
          <w:szCs w:val="24"/>
        </w:rPr>
        <w:t>r</w:t>
      </w:r>
      <w:r w:rsidRPr="3A20558F">
        <w:rPr>
          <w:rFonts w:asciiTheme="majorHAnsi" w:hAnsiTheme="majorHAnsi"/>
          <w:b/>
          <w:bCs/>
          <w:color w:val="211F1A"/>
          <w:spacing w:val="-4"/>
          <w:sz w:val="24"/>
          <w:szCs w:val="24"/>
        </w:rPr>
        <w:t>o</w:t>
      </w:r>
      <w:r w:rsidRPr="3A20558F">
        <w:rPr>
          <w:rFonts w:asciiTheme="majorHAnsi" w:hAnsiTheme="majorHAnsi"/>
          <w:b/>
          <w:bCs/>
          <w:color w:val="211F1A"/>
          <w:sz w:val="24"/>
          <w:szCs w:val="24"/>
        </w:rPr>
        <w:t>m</w:t>
      </w:r>
      <w:r w:rsidRPr="3A20558F">
        <w:rPr>
          <w:rFonts w:asciiTheme="majorHAnsi" w:hAnsiTheme="majorHAnsi"/>
          <w:b/>
          <w:bCs/>
          <w:color w:val="211F1A"/>
          <w:spacing w:val="1"/>
          <w:sz w:val="24"/>
          <w:szCs w:val="24"/>
        </w:rPr>
        <w:t xml:space="preserve"> </w:t>
      </w:r>
      <w:r w:rsidRPr="3A20558F">
        <w:rPr>
          <w:rFonts w:asciiTheme="majorHAnsi" w:hAnsiTheme="majorHAnsi"/>
          <w:b/>
          <w:bCs/>
          <w:color w:val="211F1A"/>
          <w:sz w:val="24"/>
          <w:szCs w:val="24"/>
        </w:rPr>
        <w:t>(P</w:t>
      </w:r>
      <w:r w:rsidRPr="3A20558F">
        <w:rPr>
          <w:rFonts w:asciiTheme="majorHAnsi" w:hAnsiTheme="majorHAnsi"/>
          <w:b/>
          <w:bCs/>
          <w:color w:val="211F1A"/>
          <w:spacing w:val="-4"/>
          <w:sz w:val="24"/>
          <w:szCs w:val="24"/>
        </w:rPr>
        <w:t>T</w:t>
      </w:r>
      <w:r w:rsidRPr="3A20558F">
        <w:rPr>
          <w:rFonts w:asciiTheme="majorHAnsi" w:hAnsiTheme="majorHAnsi"/>
          <w:b/>
          <w:bCs/>
          <w:color w:val="211F1A"/>
          <w:spacing w:val="-3"/>
          <w:sz w:val="24"/>
          <w:szCs w:val="24"/>
        </w:rPr>
        <w:t>S</w:t>
      </w:r>
      <w:r w:rsidRPr="3A20558F">
        <w:rPr>
          <w:rFonts w:asciiTheme="majorHAnsi" w:hAnsiTheme="majorHAnsi"/>
          <w:b/>
          <w:bCs/>
          <w:color w:val="211F1A"/>
          <w:spacing w:val="-4"/>
          <w:sz w:val="24"/>
          <w:szCs w:val="24"/>
        </w:rPr>
        <w:t>D</w:t>
      </w:r>
      <w:r w:rsidRPr="3A20558F">
        <w:rPr>
          <w:rFonts w:asciiTheme="majorHAnsi" w:hAnsiTheme="majorHAnsi"/>
          <w:b/>
          <w:bCs/>
          <w:color w:val="211F1A"/>
          <w:sz w:val="24"/>
          <w:szCs w:val="24"/>
        </w:rPr>
        <w:t>)</w:t>
      </w:r>
    </w:p>
    <w:p w14:paraId="6A937BAA" w14:textId="5F48CF11" w:rsidR="00702564" w:rsidRPr="00B15134" w:rsidRDefault="00702564" w:rsidP="00702564">
      <w:pPr>
        <w:spacing w:before="120"/>
        <w:rPr>
          <w:color w:val="211F1A"/>
          <w:sz w:val="24"/>
          <w:szCs w:val="24"/>
        </w:rPr>
      </w:pPr>
      <w:r w:rsidRPr="00B15134">
        <w:rPr>
          <w:color w:val="211F1A"/>
          <w:sz w:val="24"/>
          <w:szCs w:val="24"/>
        </w:rPr>
        <w:t>Posttraumatiskt stressyndrom (PTSD) ger kraftig ångest kopplat till tidigare upplevda traumatiska händelser. Olika individer är olika känsliga för traumata. Återupplevande av minnet, skärpt uppmärksamhet, undvikande beteenden, flash backs, mardrömmar, svår sömnstörning, irritabilitet och oförmåga att känna glädje är</w:t>
      </w:r>
      <w:r w:rsidRPr="0028434E">
        <w:rPr>
          <w:color w:val="211F1A"/>
          <w:spacing w:val="-9"/>
        </w:rPr>
        <w:t xml:space="preserve"> </w:t>
      </w:r>
      <w:r w:rsidRPr="0028434E">
        <w:rPr>
          <w:color w:val="211F1A"/>
          <w:spacing w:val="-1"/>
        </w:rPr>
        <w:t>fr</w:t>
      </w:r>
      <w:r w:rsidRPr="0028434E">
        <w:rPr>
          <w:color w:val="211F1A"/>
          <w:spacing w:val="-2"/>
        </w:rPr>
        <w:t>a</w:t>
      </w:r>
      <w:r w:rsidRPr="0028434E">
        <w:rPr>
          <w:color w:val="211F1A"/>
        </w:rPr>
        <w:t>m</w:t>
      </w:r>
      <w:r w:rsidRPr="0028434E">
        <w:rPr>
          <w:color w:val="211F1A"/>
          <w:spacing w:val="-1"/>
        </w:rPr>
        <w:t>tr</w:t>
      </w:r>
      <w:r w:rsidRPr="0028434E">
        <w:rPr>
          <w:color w:val="211F1A"/>
          <w:spacing w:val="-2"/>
        </w:rPr>
        <w:t>ä</w:t>
      </w:r>
      <w:r w:rsidRPr="0028434E">
        <w:rPr>
          <w:color w:val="211F1A"/>
        </w:rPr>
        <w:t>da</w:t>
      </w:r>
      <w:r w:rsidRPr="0028434E">
        <w:rPr>
          <w:color w:val="211F1A"/>
          <w:spacing w:val="-3"/>
        </w:rPr>
        <w:t>n</w:t>
      </w:r>
      <w:r w:rsidRPr="0028434E">
        <w:rPr>
          <w:color w:val="211F1A"/>
        </w:rPr>
        <w:t>de</w:t>
      </w:r>
      <w:r w:rsidRPr="0028434E">
        <w:rPr>
          <w:color w:val="211F1A"/>
          <w:spacing w:val="-6"/>
        </w:rPr>
        <w:t xml:space="preserve"> </w:t>
      </w:r>
      <w:r w:rsidRPr="0028434E">
        <w:rPr>
          <w:color w:val="211F1A"/>
          <w:spacing w:val="-5"/>
        </w:rPr>
        <w:t>symtom</w:t>
      </w:r>
      <w:r w:rsidRPr="0028434E">
        <w:rPr>
          <w:color w:val="211F1A"/>
        </w:rPr>
        <w:t>.</w:t>
      </w:r>
      <w:r w:rsidRPr="0028434E">
        <w:rPr>
          <w:color w:val="211F1A"/>
          <w:spacing w:val="-10"/>
        </w:rPr>
        <w:t xml:space="preserve"> </w:t>
      </w:r>
      <w:r w:rsidRPr="0028434E">
        <w:rPr>
          <w:color w:val="000000"/>
          <w:spacing w:val="-3"/>
        </w:rPr>
        <w:t>O</w:t>
      </w:r>
      <w:r w:rsidRPr="0028434E">
        <w:rPr>
          <w:color w:val="000000"/>
          <w:spacing w:val="-1"/>
        </w:rPr>
        <w:t>ft</w:t>
      </w:r>
      <w:r w:rsidRPr="0028434E">
        <w:rPr>
          <w:color w:val="000000"/>
          <w:spacing w:val="1"/>
        </w:rPr>
        <w:t>a</w:t>
      </w:r>
      <w:r w:rsidRPr="0028434E">
        <w:rPr>
          <w:color w:val="000000"/>
          <w:spacing w:val="-2"/>
        </w:rPr>
        <w:t>s</w:t>
      </w:r>
      <w:r w:rsidRPr="0028434E">
        <w:rPr>
          <w:color w:val="000000"/>
        </w:rPr>
        <w:t>t</w:t>
      </w:r>
      <w:r w:rsidRPr="0028434E">
        <w:rPr>
          <w:color w:val="000000"/>
          <w:spacing w:val="-8"/>
        </w:rPr>
        <w:t xml:space="preserve"> </w:t>
      </w:r>
      <w:r w:rsidRPr="0028434E">
        <w:rPr>
          <w:color w:val="000000"/>
        </w:rPr>
        <w:t>k</w:t>
      </w:r>
      <w:r w:rsidRPr="0028434E">
        <w:rPr>
          <w:color w:val="000000"/>
          <w:spacing w:val="-3"/>
        </w:rPr>
        <w:t>o</w:t>
      </w:r>
      <w:r w:rsidRPr="0028434E">
        <w:rPr>
          <w:color w:val="000000"/>
          <w:spacing w:val="-1"/>
        </w:rPr>
        <w:t>mm</w:t>
      </w:r>
      <w:r w:rsidRPr="0028434E">
        <w:rPr>
          <w:color w:val="000000"/>
        </w:rPr>
        <w:t xml:space="preserve">er </w:t>
      </w:r>
      <w:r w:rsidRPr="0028434E">
        <w:rPr>
          <w:color w:val="000000"/>
          <w:spacing w:val="-1"/>
        </w:rPr>
        <w:t>symtom</w:t>
      </w:r>
      <w:r w:rsidRPr="0028434E">
        <w:rPr>
          <w:color w:val="000000"/>
        </w:rPr>
        <w:t>en</w:t>
      </w:r>
      <w:r w:rsidRPr="0028434E">
        <w:rPr>
          <w:color w:val="000000"/>
          <w:spacing w:val="-9"/>
        </w:rPr>
        <w:t xml:space="preserve"> </w:t>
      </w:r>
      <w:r w:rsidRPr="0028434E">
        <w:rPr>
          <w:color w:val="000000"/>
        </w:rPr>
        <w:t>i</w:t>
      </w:r>
      <w:r w:rsidRPr="0028434E">
        <w:rPr>
          <w:color w:val="000000"/>
          <w:spacing w:val="-1"/>
        </w:rPr>
        <w:t>n</w:t>
      </w:r>
      <w:r w:rsidRPr="0028434E">
        <w:rPr>
          <w:color w:val="000000"/>
          <w:spacing w:val="-3"/>
        </w:rPr>
        <w:t>o</w:t>
      </w:r>
      <w:r w:rsidRPr="0028434E">
        <w:rPr>
          <w:color w:val="000000"/>
        </w:rPr>
        <w:t>m</w:t>
      </w:r>
      <w:r w:rsidRPr="0028434E">
        <w:rPr>
          <w:color w:val="000000"/>
          <w:spacing w:val="-9"/>
        </w:rPr>
        <w:t xml:space="preserve"> </w:t>
      </w:r>
      <w:r w:rsidRPr="0028434E">
        <w:rPr>
          <w:color w:val="000000"/>
          <w:spacing w:val="-3"/>
        </w:rPr>
        <w:t xml:space="preserve">någon vecka – </w:t>
      </w:r>
      <w:r w:rsidRPr="00B15134">
        <w:rPr>
          <w:color w:val="211F1A"/>
          <w:sz w:val="24"/>
          <w:szCs w:val="24"/>
        </w:rPr>
        <w:t>några månader efter den traumatiska händelsen. Sekundärt alkohol- eller tablettberoende (smärtstillande eller lugnande medel) är vanligt förekommande.</w:t>
      </w:r>
      <w:r w:rsidR="00067550">
        <w:rPr>
          <w:color w:val="211F1A"/>
          <w:sz w:val="24"/>
          <w:szCs w:val="24"/>
        </w:rPr>
        <w:t xml:space="preserve"> </w:t>
      </w:r>
      <w:r w:rsidR="00067550">
        <w:rPr>
          <w:color w:val="211F1A"/>
          <w:sz w:val="24"/>
          <w:szCs w:val="24"/>
        </w:rPr>
        <w:br/>
      </w:r>
      <w:r w:rsidRPr="3A20558F">
        <w:rPr>
          <w:color w:val="211F1A"/>
          <w:sz w:val="24"/>
          <w:szCs w:val="24"/>
        </w:rPr>
        <w:t xml:space="preserve">Utredning och behandlingen är en specialistangelägenhet. Långa behandlingstider är nödvändiga. </w:t>
      </w:r>
    </w:p>
    <w:p w14:paraId="36FC0BAA" w14:textId="77777777" w:rsidR="00702564" w:rsidRPr="0028434E" w:rsidRDefault="00702564" w:rsidP="00702564">
      <w:pPr>
        <w:pStyle w:val="Rubrik3"/>
      </w:pPr>
      <w:r>
        <w:t>Behandlingsmål</w:t>
      </w:r>
    </w:p>
    <w:p w14:paraId="7E58499A" w14:textId="77777777" w:rsidR="00702564" w:rsidRPr="00B15134" w:rsidRDefault="00702564" w:rsidP="00702564">
      <w:pPr>
        <w:spacing w:before="120"/>
        <w:rPr>
          <w:color w:val="211F1A"/>
          <w:sz w:val="24"/>
          <w:szCs w:val="24"/>
        </w:rPr>
      </w:pPr>
      <w:r w:rsidRPr="3A20558F">
        <w:rPr>
          <w:color w:val="211F1A"/>
          <w:sz w:val="24"/>
          <w:szCs w:val="24"/>
        </w:rPr>
        <w:t>Dämpning av ångestsymtom. Bättre psykisk och somatisk funktion. Bättre förmåga att somna.</w:t>
      </w:r>
    </w:p>
    <w:p w14:paraId="1C0C98C7" w14:textId="77777777" w:rsidR="00702564" w:rsidRPr="0028434E" w:rsidRDefault="00702564" w:rsidP="00702564">
      <w:pPr>
        <w:pStyle w:val="Rubrik3"/>
      </w:pPr>
      <w:r>
        <w:lastRenderedPageBreak/>
        <w:t>Utredning</w:t>
      </w:r>
    </w:p>
    <w:p w14:paraId="2A4DB946" w14:textId="77777777" w:rsidR="00702564" w:rsidRPr="00B15134" w:rsidRDefault="00702564" w:rsidP="00702564">
      <w:pPr>
        <w:spacing w:before="120"/>
        <w:rPr>
          <w:color w:val="211F1A"/>
          <w:sz w:val="24"/>
          <w:szCs w:val="24"/>
        </w:rPr>
      </w:pPr>
      <w:r w:rsidRPr="3A20558F">
        <w:rPr>
          <w:color w:val="211F1A"/>
          <w:sz w:val="24"/>
          <w:szCs w:val="24"/>
        </w:rPr>
        <w:t xml:space="preserve">Utredningens grundpelare är en noggrann anamnes: när och var ångesten uppkommer (situation), hur ångesten yttrar sig (symtomen och dess svårighetsgrad och duration), förekomst av traumatiska händelser, förekomst av sömnproblem, somatisk hälsa, läkemedelsintag, tidigare erfarenhet av ångest och ångestbehandling (farmakologisk och psykologisk), förekomst av annan psykisk sjuklighet, aktuell eller tidigare kontakt med psykiatrisk sjukvård. Missbruksanamnesen är viktig, gärna med t.ex. </w:t>
      </w:r>
      <w:hyperlink r:id="rId170">
        <w:r w:rsidRPr="3A20558F">
          <w:rPr>
            <w:color w:val="211F1A"/>
            <w:sz w:val="24"/>
            <w:szCs w:val="24"/>
          </w:rPr>
          <w:t>AUDIT</w:t>
        </w:r>
      </w:hyperlink>
      <w:r w:rsidRPr="3A20558F">
        <w:rPr>
          <w:color w:val="211F1A"/>
          <w:sz w:val="24"/>
          <w:szCs w:val="24"/>
        </w:rPr>
        <w:t xml:space="preserve"> (självskattningsskala för alkoholbruk). Skattning av symtomen med hjälp av t.ex. </w:t>
      </w:r>
      <w:hyperlink r:id="rId171">
        <w:r w:rsidRPr="3A20558F">
          <w:rPr>
            <w:color w:val="211F1A"/>
            <w:sz w:val="24"/>
            <w:szCs w:val="24"/>
          </w:rPr>
          <w:t>HAD</w:t>
        </w:r>
      </w:hyperlink>
      <w:r w:rsidRPr="3A20558F">
        <w:rPr>
          <w:color w:val="211F1A"/>
          <w:sz w:val="24"/>
          <w:szCs w:val="24"/>
        </w:rPr>
        <w:t>.</w:t>
      </w:r>
    </w:p>
    <w:p w14:paraId="02C98800" w14:textId="77777777" w:rsidR="00702564" w:rsidRPr="007E13BB" w:rsidRDefault="00702564" w:rsidP="00702564">
      <w:pPr>
        <w:pStyle w:val="Rubrik3"/>
      </w:pPr>
      <w:r>
        <w:t>Observera</w:t>
      </w:r>
    </w:p>
    <w:p w14:paraId="08732C1D" w14:textId="77777777" w:rsidR="00702564" w:rsidRPr="00B15134" w:rsidRDefault="00702564" w:rsidP="00702564">
      <w:pPr>
        <w:spacing w:before="120"/>
        <w:rPr>
          <w:color w:val="211F1A"/>
          <w:sz w:val="24"/>
          <w:szCs w:val="24"/>
        </w:rPr>
      </w:pPr>
      <w:r w:rsidRPr="3A20558F">
        <w:rPr>
          <w:color w:val="211F1A"/>
          <w:sz w:val="24"/>
          <w:szCs w:val="24"/>
        </w:rPr>
        <w:t>Observera att ångestförstärkning förekommer vid farmakologisk behandling med selektiva serotoninåterupptagshämmare (SSRI) och med selektiva noradrenalin-serotoninåterupptagshämmare (SNRI). Observera också risken för utveckling av serotonergt syndrom vid användning av högre doser SSRI eller SNRI-preparat. Kombination av läkemedel med liknande verkningsmekanism är förbehållet specialister. För att minska somatiska symtom (t.ex. hjärtklappning) kan β-blockerare användas.</w:t>
      </w:r>
    </w:p>
    <w:p w14:paraId="45700C49" w14:textId="77777777" w:rsidR="00702564" w:rsidRPr="00B15134" w:rsidRDefault="00702564" w:rsidP="00702564">
      <w:pPr>
        <w:spacing w:before="120"/>
        <w:rPr>
          <w:color w:val="211F1A"/>
          <w:sz w:val="24"/>
          <w:szCs w:val="24"/>
        </w:rPr>
      </w:pPr>
      <w:r w:rsidRPr="3A20558F">
        <w:rPr>
          <w:color w:val="211F1A"/>
          <w:sz w:val="24"/>
          <w:szCs w:val="24"/>
        </w:rPr>
        <w:t>Om ångest beror på ett läkemedel kan man se ett tidsmässigt samband mellan insättning av läkemedlet och uppkomsten av ångesten. Ångesten kan dock debutera först efter några dagar eller veckor. Även läkemedel som används vid behandling av t.ex. depressions- och ångesttillstånd kan initialt öka ångesten. Andra läkemedel som kan orsaka ångest som biverkan är kortikosteroider, tyreoideahormoner, betareceptorblockare, alfa-1-receptorblockare, angiotensin II-antagonister, hormoninnehållande preventivmedel med flera. Det finns sammantaget fler än 100 läkemedel i många olika läkemedelsgrupper som kan orsaka ångest.</w:t>
      </w:r>
    </w:p>
    <w:p w14:paraId="76941C61" w14:textId="77777777" w:rsidR="00702564" w:rsidRPr="0028434E" w:rsidRDefault="00702564" w:rsidP="00702564">
      <w:pPr>
        <w:pStyle w:val="Rubrik3"/>
      </w:pPr>
      <w:r w:rsidRPr="0028434E">
        <w:t>Be</w:t>
      </w:r>
      <w:r w:rsidRPr="0028434E">
        <w:rPr>
          <w:spacing w:val="-3"/>
        </w:rPr>
        <w:t>h</w:t>
      </w:r>
      <w:r w:rsidRPr="0028434E">
        <w:rPr>
          <w:spacing w:val="-2"/>
        </w:rPr>
        <w:t>a</w:t>
      </w:r>
      <w:r w:rsidRPr="0028434E">
        <w:rPr>
          <w:spacing w:val="-1"/>
        </w:rPr>
        <w:t>n</w:t>
      </w:r>
      <w:r w:rsidRPr="0028434E">
        <w:rPr>
          <w:spacing w:val="-3"/>
        </w:rPr>
        <w:t>d</w:t>
      </w:r>
      <w:r w:rsidRPr="0028434E">
        <w:t>l</w:t>
      </w:r>
      <w:r w:rsidRPr="0028434E">
        <w:rPr>
          <w:spacing w:val="-7"/>
        </w:rPr>
        <w:t>i</w:t>
      </w:r>
      <w:r w:rsidRPr="0028434E">
        <w:rPr>
          <w:spacing w:val="-1"/>
        </w:rPr>
        <w:t>n</w:t>
      </w:r>
      <w:r w:rsidRPr="0028434E">
        <w:t>g</w:t>
      </w:r>
    </w:p>
    <w:p w14:paraId="2B11BE49" w14:textId="77777777" w:rsidR="00702564" w:rsidRPr="005E2B0E" w:rsidRDefault="00702564" w:rsidP="00702564">
      <w:pPr>
        <w:pStyle w:val="Rubrik3"/>
      </w:pPr>
      <w:r>
        <w:t>Icke-farmakologisk behandling</w:t>
      </w:r>
    </w:p>
    <w:p w14:paraId="62BDB289" w14:textId="77777777" w:rsidR="00702564" w:rsidRPr="00B15134" w:rsidRDefault="00702564" w:rsidP="00702564">
      <w:pPr>
        <w:spacing w:before="120"/>
        <w:rPr>
          <w:sz w:val="24"/>
          <w:szCs w:val="24"/>
        </w:rPr>
      </w:pPr>
      <w:hyperlink r:id="rId172" w:history="1">
        <w:r w:rsidRPr="00B15134">
          <w:rPr>
            <w:rStyle w:val="Hyperlnk"/>
            <w:sz w:val="24"/>
            <w:szCs w:val="24"/>
          </w:rPr>
          <w:t>K</w:t>
        </w:r>
        <w:r w:rsidRPr="00B15134">
          <w:rPr>
            <w:rStyle w:val="Hyperlnk"/>
            <w:spacing w:val="-3"/>
            <w:sz w:val="24"/>
            <w:szCs w:val="24"/>
          </w:rPr>
          <w:t>o</w:t>
        </w:r>
        <w:r w:rsidRPr="00B15134">
          <w:rPr>
            <w:rStyle w:val="Hyperlnk"/>
            <w:spacing w:val="-6"/>
            <w:sz w:val="24"/>
            <w:szCs w:val="24"/>
          </w:rPr>
          <w:t>g</w:t>
        </w:r>
        <w:r w:rsidRPr="00B15134">
          <w:rPr>
            <w:rStyle w:val="Hyperlnk"/>
            <w:spacing w:val="-1"/>
            <w:sz w:val="24"/>
            <w:szCs w:val="24"/>
          </w:rPr>
          <w:t>n</w:t>
        </w:r>
        <w:r w:rsidRPr="00B15134">
          <w:rPr>
            <w:rStyle w:val="Hyperlnk"/>
            <w:sz w:val="24"/>
            <w:szCs w:val="24"/>
          </w:rPr>
          <w:t>i</w:t>
        </w:r>
        <w:r w:rsidRPr="00B15134">
          <w:rPr>
            <w:rStyle w:val="Hyperlnk"/>
            <w:spacing w:val="-1"/>
            <w:sz w:val="24"/>
            <w:szCs w:val="24"/>
          </w:rPr>
          <w:t>t</w:t>
        </w:r>
        <w:r w:rsidRPr="00B15134">
          <w:rPr>
            <w:rStyle w:val="Hyperlnk"/>
            <w:sz w:val="24"/>
            <w:szCs w:val="24"/>
          </w:rPr>
          <w:t>iv</w:t>
        </w:r>
        <w:r w:rsidRPr="00B15134">
          <w:rPr>
            <w:rStyle w:val="Hyperlnk"/>
            <w:spacing w:val="-10"/>
            <w:sz w:val="24"/>
            <w:szCs w:val="24"/>
          </w:rPr>
          <w:t xml:space="preserve"> </w:t>
        </w:r>
        <w:r w:rsidRPr="00B15134">
          <w:rPr>
            <w:rStyle w:val="Hyperlnk"/>
            <w:sz w:val="24"/>
            <w:szCs w:val="24"/>
          </w:rPr>
          <w:t>be</w:t>
        </w:r>
        <w:r w:rsidRPr="00B15134">
          <w:rPr>
            <w:rStyle w:val="Hyperlnk"/>
            <w:spacing w:val="-1"/>
            <w:sz w:val="24"/>
            <w:szCs w:val="24"/>
          </w:rPr>
          <w:t>t</w:t>
        </w:r>
        <w:r w:rsidRPr="00B15134">
          <w:rPr>
            <w:rStyle w:val="Hyperlnk"/>
            <w:spacing w:val="-2"/>
            <w:sz w:val="24"/>
            <w:szCs w:val="24"/>
          </w:rPr>
          <w:t>e</w:t>
        </w:r>
        <w:r w:rsidRPr="00B15134">
          <w:rPr>
            <w:rStyle w:val="Hyperlnk"/>
            <w:spacing w:val="-5"/>
            <w:sz w:val="24"/>
            <w:szCs w:val="24"/>
          </w:rPr>
          <w:t>e</w:t>
        </w:r>
        <w:r w:rsidRPr="00B15134">
          <w:rPr>
            <w:rStyle w:val="Hyperlnk"/>
            <w:spacing w:val="-3"/>
            <w:sz w:val="24"/>
            <w:szCs w:val="24"/>
          </w:rPr>
          <w:t>n</w:t>
        </w:r>
        <w:r w:rsidRPr="00B15134">
          <w:rPr>
            <w:rStyle w:val="Hyperlnk"/>
            <w:sz w:val="24"/>
            <w:szCs w:val="24"/>
          </w:rPr>
          <w:t>dete</w:t>
        </w:r>
        <w:r w:rsidRPr="00B15134">
          <w:rPr>
            <w:rStyle w:val="Hyperlnk"/>
            <w:spacing w:val="-1"/>
            <w:sz w:val="24"/>
            <w:szCs w:val="24"/>
          </w:rPr>
          <w:t>r</w:t>
        </w:r>
        <w:r w:rsidRPr="00B15134">
          <w:rPr>
            <w:rStyle w:val="Hyperlnk"/>
            <w:spacing w:val="-2"/>
            <w:sz w:val="24"/>
            <w:szCs w:val="24"/>
          </w:rPr>
          <w:t>a</w:t>
        </w:r>
        <w:r w:rsidRPr="00B15134">
          <w:rPr>
            <w:rStyle w:val="Hyperlnk"/>
            <w:spacing w:val="-3"/>
            <w:sz w:val="24"/>
            <w:szCs w:val="24"/>
          </w:rPr>
          <w:t>p</w:t>
        </w:r>
        <w:r w:rsidRPr="00B15134">
          <w:rPr>
            <w:rStyle w:val="Hyperlnk"/>
            <w:sz w:val="24"/>
            <w:szCs w:val="24"/>
          </w:rPr>
          <w:t>i</w:t>
        </w:r>
        <w:r w:rsidRPr="00B15134">
          <w:rPr>
            <w:rStyle w:val="Hyperlnk"/>
            <w:spacing w:val="-6"/>
            <w:sz w:val="24"/>
            <w:szCs w:val="24"/>
          </w:rPr>
          <w:t xml:space="preserve"> </w:t>
        </w:r>
        <w:r w:rsidRPr="00B15134">
          <w:rPr>
            <w:rStyle w:val="Hyperlnk"/>
            <w:spacing w:val="-3"/>
            <w:sz w:val="24"/>
            <w:szCs w:val="24"/>
          </w:rPr>
          <w:t>(</w:t>
        </w:r>
        <w:r w:rsidRPr="00B15134">
          <w:rPr>
            <w:rStyle w:val="Hyperlnk"/>
            <w:sz w:val="24"/>
            <w:szCs w:val="24"/>
          </w:rPr>
          <w:t>K</w:t>
        </w:r>
        <w:r w:rsidRPr="00B15134">
          <w:rPr>
            <w:rStyle w:val="Hyperlnk"/>
            <w:spacing w:val="-7"/>
            <w:sz w:val="24"/>
            <w:szCs w:val="24"/>
          </w:rPr>
          <w:t>BT)</w:t>
        </w:r>
      </w:hyperlink>
      <w:r w:rsidRPr="00B15134">
        <w:rPr>
          <w:spacing w:val="-10"/>
          <w:sz w:val="24"/>
          <w:szCs w:val="24"/>
        </w:rPr>
        <w:t xml:space="preserve"> </w:t>
      </w:r>
      <w:r w:rsidRPr="00B15134">
        <w:rPr>
          <w:spacing w:val="-3"/>
          <w:sz w:val="24"/>
          <w:szCs w:val="24"/>
        </w:rPr>
        <w:t>o</w:t>
      </w:r>
      <w:r w:rsidRPr="00B15134">
        <w:rPr>
          <w:spacing w:val="-2"/>
          <w:sz w:val="24"/>
          <w:szCs w:val="24"/>
        </w:rPr>
        <w:t>c</w:t>
      </w:r>
      <w:r w:rsidRPr="00B15134">
        <w:rPr>
          <w:sz w:val="24"/>
          <w:szCs w:val="24"/>
        </w:rPr>
        <w:t>h</w:t>
      </w:r>
      <w:r w:rsidRPr="00B15134">
        <w:rPr>
          <w:spacing w:val="-8"/>
          <w:sz w:val="24"/>
          <w:szCs w:val="24"/>
        </w:rPr>
        <w:t xml:space="preserve"> </w:t>
      </w:r>
      <w:r w:rsidRPr="00B15134">
        <w:rPr>
          <w:spacing w:val="1"/>
          <w:sz w:val="24"/>
          <w:szCs w:val="24"/>
        </w:rPr>
        <w:t>e</w:t>
      </w:r>
      <w:r w:rsidRPr="00B15134">
        <w:rPr>
          <w:spacing w:val="-3"/>
          <w:sz w:val="24"/>
          <w:szCs w:val="24"/>
        </w:rPr>
        <w:t>x</w:t>
      </w:r>
      <w:r w:rsidRPr="00B15134">
        <w:rPr>
          <w:spacing w:val="-1"/>
          <w:sz w:val="24"/>
          <w:szCs w:val="24"/>
        </w:rPr>
        <w:t>po</w:t>
      </w:r>
      <w:r w:rsidRPr="00B15134">
        <w:rPr>
          <w:spacing w:val="-3"/>
          <w:sz w:val="24"/>
          <w:szCs w:val="24"/>
        </w:rPr>
        <w:t>n</w:t>
      </w:r>
      <w:r w:rsidRPr="00B15134">
        <w:rPr>
          <w:sz w:val="24"/>
          <w:szCs w:val="24"/>
        </w:rPr>
        <w:t>e</w:t>
      </w:r>
      <w:r w:rsidRPr="00B15134">
        <w:rPr>
          <w:spacing w:val="-1"/>
          <w:sz w:val="24"/>
          <w:szCs w:val="24"/>
        </w:rPr>
        <w:t>r</w:t>
      </w:r>
      <w:r w:rsidRPr="00B15134">
        <w:rPr>
          <w:spacing w:val="-3"/>
          <w:sz w:val="24"/>
          <w:szCs w:val="24"/>
        </w:rPr>
        <w:t>in</w:t>
      </w:r>
      <w:r w:rsidRPr="00B15134">
        <w:rPr>
          <w:spacing w:val="-2"/>
          <w:sz w:val="24"/>
          <w:szCs w:val="24"/>
        </w:rPr>
        <w:t>gs</w:t>
      </w:r>
      <w:r w:rsidRPr="00B15134">
        <w:rPr>
          <w:spacing w:val="-1"/>
          <w:sz w:val="24"/>
          <w:szCs w:val="24"/>
        </w:rPr>
        <w:t>t</w:t>
      </w:r>
      <w:r w:rsidRPr="00B15134">
        <w:rPr>
          <w:sz w:val="24"/>
          <w:szCs w:val="24"/>
        </w:rPr>
        <w:t>e</w:t>
      </w:r>
      <w:r w:rsidRPr="00B15134">
        <w:rPr>
          <w:spacing w:val="-6"/>
          <w:sz w:val="24"/>
          <w:szCs w:val="24"/>
        </w:rPr>
        <w:t>r</w:t>
      </w:r>
      <w:r w:rsidRPr="00B15134">
        <w:rPr>
          <w:sz w:val="24"/>
          <w:szCs w:val="24"/>
        </w:rPr>
        <w:t>api</w:t>
      </w:r>
      <w:r w:rsidRPr="00B15134">
        <w:rPr>
          <w:spacing w:val="-10"/>
          <w:sz w:val="24"/>
          <w:szCs w:val="24"/>
        </w:rPr>
        <w:t xml:space="preserve"> </w:t>
      </w:r>
      <w:r w:rsidRPr="00B15134">
        <w:rPr>
          <w:sz w:val="24"/>
          <w:szCs w:val="24"/>
        </w:rPr>
        <w:t>är ofta lika effektiva som läkemedels</w:t>
      </w:r>
      <w:r w:rsidRPr="00B15134">
        <w:rPr>
          <w:sz w:val="24"/>
          <w:szCs w:val="24"/>
        </w:rPr>
        <w:softHyphen/>
        <w:t>behandling och rekommenderas i nationella riktlinjer.</w:t>
      </w:r>
    </w:p>
    <w:p w14:paraId="22771E91" w14:textId="77777777" w:rsidR="00702564" w:rsidRPr="005E2B0E" w:rsidRDefault="00702564" w:rsidP="00702564">
      <w:pPr>
        <w:pStyle w:val="Rubrik3"/>
      </w:pPr>
      <w:r>
        <w:t>Farmakologisk behandling</w:t>
      </w:r>
    </w:p>
    <w:p w14:paraId="4EDC70A0" w14:textId="77777777" w:rsidR="00702564" w:rsidRPr="00B15134" w:rsidRDefault="00702564" w:rsidP="00702564">
      <w:pPr>
        <w:spacing w:before="120"/>
        <w:rPr>
          <w:sz w:val="24"/>
          <w:szCs w:val="24"/>
        </w:rPr>
      </w:pPr>
      <w:r w:rsidRPr="3A20558F">
        <w:rPr>
          <w:sz w:val="24"/>
          <w:szCs w:val="24"/>
        </w:rPr>
        <w:t>Läkemedelsbehandling bygger på serotoninförstärkande farmaka men behandlingsstrategierna kan skilja sig något åt vid de olika tillstånden. Generellt sett är preparaten likvärdiga i effekt. I det individuella perspektivet kan dock den ena selektiva serotoninåterupptagshämmaren (SSRI) fungera bättre än den andra t.ex. vad gäller biverkningar. Liksom vid depression tar det några veckor (normalt inom sex veckor) innan någon respons ses och effekten ökar gradvis. Beakta den ångestförstärkning som kan inträffa i början av behandlingen och som kan dämpas med till exempel hydroxizin (Atarax), prometazin (Lergigan) eller oxazepam (Oxascand). Denna initiala ångestdämpning bör inte pågå i mer än 2–4 veckor.</w:t>
      </w:r>
    </w:p>
    <w:p w14:paraId="79D97CB1" w14:textId="77777777" w:rsidR="00702564" w:rsidRPr="0028434E" w:rsidRDefault="00702564" w:rsidP="00702564">
      <w:pPr>
        <w:spacing w:before="120"/>
      </w:pPr>
    </w:p>
    <w:p w14:paraId="279198F3" w14:textId="77777777" w:rsidR="00702564" w:rsidRPr="00B15134" w:rsidRDefault="00702564" w:rsidP="00702564">
      <w:pPr>
        <w:spacing w:before="120"/>
        <w:rPr>
          <w:sz w:val="24"/>
          <w:szCs w:val="24"/>
        </w:rPr>
      </w:pPr>
      <w:r w:rsidRPr="00B15134">
        <w:rPr>
          <w:rFonts w:cs="Garamond"/>
          <w:b/>
          <w:bCs/>
          <w:sz w:val="24"/>
          <w:szCs w:val="24"/>
        </w:rPr>
        <w:t>Se</w:t>
      </w:r>
      <w:r w:rsidRPr="00B15134">
        <w:rPr>
          <w:rFonts w:cs="Garamond"/>
          <w:b/>
          <w:bCs/>
          <w:spacing w:val="-1"/>
          <w:sz w:val="24"/>
          <w:szCs w:val="24"/>
        </w:rPr>
        <w:t>r</w:t>
      </w:r>
      <w:r w:rsidRPr="00B15134">
        <w:rPr>
          <w:rFonts w:cs="Garamond"/>
          <w:b/>
          <w:bCs/>
          <w:sz w:val="24"/>
          <w:szCs w:val="24"/>
        </w:rPr>
        <w:t>t</w:t>
      </w:r>
      <w:r w:rsidRPr="00B15134">
        <w:rPr>
          <w:rFonts w:cs="Garamond"/>
          <w:b/>
          <w:bCs/>
          <w:spacing w:val="-2"/>
          <w:sz w:val="24"/>
          <w:szCs w:val="24"/>
        </w:rPr>
        <w:t>r</w:t>
      </w:r>
      <w:r w:rsidRPr="00B15134">
        <w:rPr>
          <w:rFonts w:cs="Garamond"/>
          <w:b/>
          <w:bCs/>
          <w:sz w:val="24"/>
          <w:szCs w:val="24"/>
        </w:rPr>
        <w:t xml:space="preserve">alin </w:t>
      </w:r>
      <w:r w:rsidRPr="00B15134">
        <w:rPr>
          <w:rFonts w:cs="Garamond"/>
          <w:sz w:val="24"/>
          <w:szCs w:val="24"/>
        </w:rPr>
        <w:t>(Sertralin)</w:t>
      </w:r>
      <w:r w:rsidRPr="00B15134">
        <w:rPr>
          <w:rFonts w:cs="Garamond"/>
          <w:spacing w:val="-12"/>
          <w:sz w:val="24"/>
          <w:szCs w:val="24"/>
        </w:rPr>
        <w:t xml:space="preserve"> </w:t>
      </w:r>
      <w:r w:rsidRPr="3A20558F">
        <w:rPr>
          <w:rFonts w:cs="Garamond"/>
          <w:spacing w:val="-12"/>
          <w:sz w:val="24"/>
          <w:szCs w:val="24"/>
        </w:rPr>
        <w:t xml:space="preserve">är ett SSRI, </w:t>
      </w:r>
      <w:r w:rsidRPr="00B15134">
        <w:rPr>
          <w:sz w:val="24"/>
          <w:szCs w:val="24"/>
        </w:rPr>
        <w:t>har</w:t>
      </w:r>
      <w:r w:rsidRPr="00B15134">
        <w:rPr>
          <w:spacing w:val="-9"/>
          <w:sz w:val="24"/>
          <w:szCs w:val="24"/>
        </w:rPr>
        <w:t xml:space="preserve"> </w:t>
      </w:r>
      <w:r w:rsidRPr="00B15134">
        <w:rPr>
          <w:sz w:val="24"/>
          <w:szCs w:val="24"/>
        </w:rPr>
        <w:t>i</w:t>
      </w:r>
      <w:r w:rsidRPr="00B15134">
        <w:rPr>
          <w:spacing w:val="-3"/>
          <w:sz w:val="24"/>
          <w:szCs w:val="24"/>
        </w:rPr>
        <w:t>n</w:t>
      </w:r>
      <w:r w:rsidRPr="00B15134">
        <w:rPr>
          <w:spacing w:val="-1"/>
          <w:sz w:val="24"/>
          <w:szCs w:val="24"/>
        </w:rPr>
        <w:t>t</w:t>
      </w:r>
      <w:r w:rsidRPr="00B15134">
        <w:rPr>
          <w:sz w:val="24"/>
          <w:szCs w:val="24"/>
        </w:rPr>
        <w:t>e</w:t>
      </w:r>
      <w:r w:rsidRPr="00B15134">
        <w:rPr>
          <w:spacing w:val="-7"/>
          <w:sz w:val="24"/>
          <w:szCs w:val="24"/>
        </w:rPr>
        <w:t xml:space="preserve"> </w:t>
      </w:r>
      <w:r w:rsidRPr="00B15134">
        <w:rPr>
          <w:sz w:val="24"/>
          <w:szCs w:val="24"/>
        </w:rPr>
        <w:t>i</w:t>
      </w:r>
      <w:r w:rsidRPr="00B15134">
        <w:rPr>
          <w:spacing w:val="-3"/>
          <w:sz w:val="24"/>
          <w:szCs w:val="24"/>
        </w:rPr>
        <w:t>n</w:t>
      </w:r>
      <w:r w:rsidRPr="00B15134">
        <w:rPr>
          <w:sz w:val="24"/>
          <w:szCs w:val="24"/>
        </w:rPr>
        <w:t>di</w:t>
      </w:r>
      <w:r w:rsidRPr="00B15134">
        <w:rPr>
          <w:spacing w:val="-8"/>
          <w:sz w:val="24"/>
          <w:szCs w:val="24"/>
        </w:rPr>
        <w:t>k</w:t>
      </w:r>
      <w:r w:rsidRPr="00B15134">
        <w:rPr>
          <w:spacing w:val="-2"/>
          <w:sz w:val="24"/>
          <w:szCs w:val="24"/>
        </w:rPr>
        <w:t>a</w:t>
      </w:r>
      <w:r w:rsidRPr="00B15134">
        <w:rPr>
          <w:spacing w:val="-1"/>
          <w:sz w:val="24"/>
          <w:szCs w:val="24"/>
        </w:rPr>
        <w:t>t</w:t>
      </w:r>
      <w:r w:rsidRPr="00B15134">
        <w:rPr>
          <w:spacing w:val="-3"/>
          <w:sz w:val="24"/>
          <w:szCs w:val="24"/>
        </w:rPr>
        <w:t>io</w:t>
      </w:r>
      <w:r w:rsidRPr="00B15134">
        <w:rPr>
          <w:sz w:val="24"/>
          <w:szCs w:val="24"/>
        </w:rPr>
        <w:t>n</w:t>
      </w:r>
      <w:r w:rsidRPr="00B15134">
        <w:rPr>
          <w:spacing w:val="-9"/>
          <w:sz w:val="24"/>
          <w:szCs w:val="24"/>
        </w:rPr>
        <w:t xml:space="preserve"> </w:t>
      </w:r>
      <w:r w:rsidRPr="00B15134">
        <w:rPr>
          <w:spacing w:val="-1"/>
          <w:sz w:val="24"/>
          <w:szCs w:val="24"/>
        </w:rPr>
        <w:t>f</w:t>
      </w:r>
      <w:r w:rsidRPr="00B15134">
        <w:rPr>
          <w:sz w:val="24"/>
          <w:szCs w:val="24"/>
        </w:rPr>
        <w:t>ör</w:t>
      </w:r>
      <w:r w:rsidRPr="00B15134">
        <w:rPr>
          <w:spacing w:val="-9"/>
          <w:sz w:val="24"/>
          <w:szCs w:val="24"/>
        </w:rPr>
        <w:t xml:space="preserve"> </w:t>
      </w:r>
      <w:r w:rsidRPr="00B15134">
        <w:rPr>
          <w:spacing w:val="-2"/>
          <w:sz w:val="24"/>
          <w:szCs w:val="24"/>
        </w:rPr>
        <w:t>g</w:t>
      </w:r>
      <w:r w:rsidRPr="00B15134">
        <w:rPr>
          <w:sz w:val="24"/>
          <w:szCs w:val="24"/>
        </w:rPr>
        <w:t>ene</w:t>
      </w:r>
      <w:r w:rsidRPr="00B15134">
        <w:rPr>
          <w:spacing w:val="-9"/>
          <w:sz w:val="24"/>
          <w:szCs w:val="24"/>
        </w:rPr>
        <w:t>r</w:t>
      </w:r>
      <w:r w:rsidRPr="00B15134">
        <w:rPr>
          <w:sz w:val="24"/>
          <w:szCs w:val="24"/>
        </w:rPr>
        <w:t>a</w:t>
      </w:r>
      <w:r w:rsidRPr="00B15134">
        <w:rPr>
          <w:spacing w:val="-3"/>
          <w:sz w:val="24"/>
          <w:szCs w:val="24"/>
        </w:rPr>
        <w:t>l</w:t>
      </w:r>
      <w:r w:rsidRPr="00B15134">
        <w:rPr>
          <w:sz w:val="24"/>
          <w:szCs w:val="24"/>
        </w:rPr>
        <w:t>i</w:t>
      </w:r>
      <w:r w:rsidRPr="00B15134">
        <w:rPr>
          <w:spacing w:val="-2"/>
          <w:sz w:val="24"/>
          <w:szCs w:val="24"/>
        </w:rPr>
        <w:t>s</w:t>
      </w:r>
      <w:r w:rsidRPr="00B15134">
        <w:rPr>
          <w:sz w:val="24"/>
          <w:szCs w:val="24"/>
        </w:rPr>
        <w:t>e</w:t>
      </w:r>
      <w:r w:rsidRPr="00B15134">
        <w:rPr>
          <w:spacing w:val="-6"/>
          <w:sz w:val="24"/>
          <w:szCs w:val="24"/>
        </w:rPr>
        <w:t>r</w:t>
      </w:r>
      <w:r w:rsidRPr="00B15134">
        <w:rPr>
          <w:sz w:val="24"/>
          <w:szCs w:val="24"/>
        </w:rPr>
        <w:t>at</w:t>
      </w:r>
      <w:r w:rsidRPr="00B15134">
        <w:rPr>
          <w:spacing w:val="-11"/>
          <w:sz w:val="24"/>
          <w:szCs w:val="24"/>
        </w:rPr>
        <w:t xml:space="preserve"> </w:t>
      </w:r>
      <w:r w:rsidRPr="00B15134">
        <w:rPr>
          <w:sz w:val="24"/>
          <w:szCs w:val="24"/>
        </w:rPr>
        <w:t>å</w:t>
      </w:r>
      <w:r w:rsidRPr="00B15134">
        <w:rPr>
          <w:spacing w:val="-1"/>
          <w:sz w:val="24"/>
          <w:szCs w:val="24"/>
        </w:rPr>
        <w:t>n</w:t>
      </w:r>
      <w:r w:rsidRPr="00B15134">
        <w:rPr>
          <w:spacing w:val="-2"/>
          <w:sz w:val="24"/>
          <w:szCs w:val="24"/>
        </w:rPr>
        <w:t>ges</w:t>
      </w:r>
      <w:r w:rsidRPr="00B15134">
        <w:rPr>
          <w:spacing w:val="-1"/>
          <w:sz w:val="24"/>
          <w:szCs w:val="24"/>
        </w:rPr>
        <w:t>t</w:t>
      </w:r>
      <w:r w:rsidRPr="00B15134">
        <w:rPr>
          <w:spacing w:val="1"/>
          <w:sz w:val="24"/>
          <w:szCs w:val="24"/>
        </w:rPr>
        <w:t>s</w:t>
      </w:r>
      <w:r w:rsidRPr="00B15134">
        <w:rPr>
          <w:spacing w:val="-2"/>
          <w:sz w:val="24"/>
          <w:szCs w:val="24"/>
        </w:rPr>
        <w:t>y</w:t>
      </w:r>
      <w:r w:rsidRPr="00B15134">
        <w:rPr>
          <w:spacing w:val="-1"/>
          <w:sz w:val="24"/>
          <w:szCs w:val="24"/>
        </w:rPr>
        <w:t>n</w:t>
      </w:r>
      <w:r w:rsidRPr="00B15134">
        <w:rPr>
          <w:sz w:val="24"/>
          <w:szCs w:val="24"/>
        </w:rPr>
        <w:t>d</w:t>
      </w:r>
      <w:r w:rsidRPr="00B15134">
        <w:rPr>
          <w:spacing w:val="-1"/>
          <w:sz w:val="24"/>
          <w:szCs w:val="24"/>
        </w:rPr>
        <w:t>r</w:t>
      </w:r>
      <w:r w:rsidRPr="00B15134">
        <w:rPr>
          <w:sz w:val="24"/>
          <w:szCs w:val="24"/>
        </w:rPr>
        <w:t>om</w:t>
      </w:r>
      <w:r w:rsidRPr="00B15134">
        <w:rPr>
          <w:spacing w:val="-11"/>
          <w:sz w:val="24"/>
          <w:szCs w:val="24"/>
        </w:rPr>
        <w:t xml:space="preserve"> </w:t>
      </w:r>
      <w:r w:rsidRPr="00B15134">
        <w:rPr>
          <w:spacing w:val="-1"/>
          <w:sz w:val="24"/>
          <w:szCs w:val="24"/>
        </w:rPr>
        <w:t>m</w:t>
      </w:r>
      <w:r w:rsidRPr="00B15134">
        <w:rPr>
          <w:sz w:val="24"/>
          <w:szCs w:val="24"/>
        </w:rPr>
        <w:t>en</w:t>
      </w:r>
      <w:r w:rsidRPr="00B15134">
        <w:rPr>
          <w:spacing w:val="-9"/>
          <w:sz w:val="24"/>
          <w:szCs w:val="24"/>
        </w:rPr>
        <w:t xml:space="preserve"> </w:t>
      </w:r>
      <w:r w:rsidRPr="00B15134">
        <w:rPr>
          <w:spacing w:val="-1"/>
          <w:sz w:val="24"/>
          <w:szCs w:val="24"/>
        </w:rPr>
        <w:t>r</w:t>
      </w:r>
      <w:r w:rsidRPr="00B15134">
        <w:rPr>
          <w:spacing w:val="-2"/>
          <w:sz w:val="24"/>
          <w:szCs w:val="24"/>
        </w:rPr>
        <w:t>e</w:t>
      </w:r>
      <w:r w:rsidRPr="00B15134">
        <w:rPr>
          <w:sz w:val="24"/>
          <w:szCs w:val="24"/>
        </w:rPr>
        <w:t>ko</w:t>
      </w:r>
      <w:r w:rsidRPr="00B15134">
        <w:rPr>
          <w:spacing w:val="-1"/>
          <w:sz w:val="24"/>
          <w:szCs w:val="24"/>
        </w:rPr>
        <w:t>mm</w:t>
      </w:r>
      <w:r w:rsidRPr="00B15134">
        <w:rPr>
          <w:spacing w:val="-5"/>
          <w:sz w:val="24"/>
          <w:szCs w:val="24"/>
        </w:rPr>
        <w:t>e</w:t>
      </w:r>
      <w:r w:rsidRPr="00B15134">
        <w:rPr>
          <w:spacing w:val="-3"/>
          <w:sz w:val="24"/>
          <w:szCs w:val="24"/>
        </w:rPr>
        <w:t>nd</w:t>
      </w:r>
      <w:r w:rsidRPr="00B15134">
        <w:rPr>
          <w:sz w:val="24"/>
          <w:szCs w:val="24"/>
        </w:rPr>
        <w:t>e</w:t>
      </w:r>
      <w:r w:rsidRPr="00B15134">
        <w:rPr>
          <w:spacing w:val="-1"/>
          <w:sz w:val="24"/>
          <w:szCs w:val="24"/>
        </w:rPr>
        <w:t>r</w:t>
      </w:r>
      <w:r w:rsidRPr="00B15134">
        <w:rPr>
          <w:sz w:val="24"/>
          <w:szCs w:val="24"/>
        </w:rPr>
        <w:t>as</w:t>
      </w:r>
      <w:r w:rsidRPr="00B15134">
        <w:rPr>
          <w:spacing w:val="-12"/>
          <w:sz w:val="24"/>
          <w:szCs w:val="24"/>
        </w:rPr>
        <w:t xml:space="preserve"> </w:t>
      </w:r>
      <w:r w:rsidRPr="00B15134">
        <w:rPr>
          <w:sz w:val="24"/>
          <w:szCs w:val="24"/>
        </w:rPr>
        <w:t>ä</w:t>
      </w:r>
      <w:r w:rsidRPr="00B15134">
        <w:rPr>
          <w:spacing w:val="-3"/>
          <w:sz w:val="24"/>
          <w:szCs w:val="24"/>
        </w:rPr>
        <w:t>nd</w:t>
      </w:r>
      <w:r w:rsidRPr="00B15134">
        <w:rPr>
          <w:sz w:val="24"/>
          <w:szCs w:val="24"/>
        </w:rPr>
        <w:t>å</w:t>
      </w:r>
      <w:r w:rsidRPr="00B15134">
        <w:rPr>
          <w:spacing w:val="-5"/>
          <w:sz w:val="24"/>
          <w:szCs w:val="24"/>
        </w:rPr>
        <w:t xml:space="preserve"> </w:t>
      </w:r>
      <w:r w:rsidRPr="00B15134">
        <w:rPr>
          <w:spacing w:val="-1"/>
          <w:sz w:val="24"/>
          <w:szCs w:val="24"/>
        </w:rPr>
        <w:t>f</w:t>
      </w:r>
      <w:r w:rsidRPr="00B15134">
        <w:rPr>
          <w:sz w:val="24"/>
          <w:szCs w:val="24"/>
        </w:rPr>
        <w:t>ör samtliga</w:t>
      </w:r>
      <w:r w:rsidRPr="00B15134">
        <w:rPr>
          <w:spacing w:val="-8"/>
          <w:sz w:val="24"/>
          <w:szCs w:val="24"/>
        </w:rPr>
        <w:t xml:space="preserve"> </w:t>
      </w:r>
      <w:r w:rsidRPr="00B15134">
        <w:rPr>
          <w:spacing w:val="-2"/>
          <w:sz w:val="24"/>
          <w:szCs w:val="24"/>
        </w:rPr>
        <w:t>å</w:t>
      </w:r>
      <w:r w:rsidRPr="00B15134">
        <w:rPr>
          <w:spacing w:val="-1"/>
          <w:sz w:val="24"/>
          <w:szCs w:val="24"/>
        </w:rPr>
        <w:t>n</w:t>
      </w:r>
      <w:r w:rsidRPr="00B15134">
        <w:rPr>
          <w:spacing w:val="-2"/>
          <w:sz w:val="24"/>
          <w:szCs w:val="24"/>
        </w:rPr>
        <w:t>ge</w:t>
      </w:r>
      <w:r w:rsidRPr="00B15134">
        <w:rPr>
          <w:spacing w:val="-5"/>
          <w:sz w:val="24"/>
          <w:szCs w:val="24"/>
        </w:rPr>
        <w:t>s</w:t>
      </w:r>
      <w:r w:rsidRPr="00B15134">
        <w:rPr>
          <w:spacing w:val="-1"/>
          <w:sz w:val="24"/>
          <w:szCs w:val="24"/>
        </w:rPr>
        <w:t>t</w:t>
      </w:r>
      <w:r w:rsidRPr="00B15134">
        <w:rPr>
          <w:spacing w:val="-5"/>
          <w:sz w:val="24"/>
          <w:szCs w:val="24"/>
        </w:rPr>
        <w:t>s</w:t>
      </w:r>
      <w:r w:rsidRPr="00B15134">
        <w:rPr>
          <w:spacing w:val="-2"/>
          <w:sz w:val="24"/>
          <w:szCs w:val="24"/>
        </w:rPr>
        <w:t>y</w:t>
      </w:r>
      <w:r w:rsidRPr="00B15134">
        <w:rPr>
          <w:spacing w:val="-1"/>
          <w:sz w:val="24"/>
          <w:szCs w:val="24"/>
        </w:rPr>
        <w:t>n</w:t>
      </w:r>
      <w:r w:rsidRPr="00B15134">
        <w:rPr>
          <w:sz w:val="24"/>
          <w:szCs w:val="24"/>
        </w:rPr>
        <w:t>d</w:t>
      </w:r>
      <w:r w:rsidRPr="00B15134">
        <w:rPr>
          <w:spacing w:val="-1"/>
          <w:sz w:val="24"/>
          <w:szCs w:val="24"/>
        </w:rPr>
        <w:t>r</w:t>
      </w:r>
      <w:r w:rsidRPr="00B15134">
        <w:rPr>
          <w:spacing w:val="-5"/>
          <w:sz w:val="24"/>
          <w:szCs w:val="24"/>
        </w:rPr>
        <w:t>o</w:t>
      </w:r>
      <w:r w:rsidRPr="00B15134">
        <w:rPr>
          <w:spacing w:val="-1"/>
          <w:sz w:val="24"/>
          <w:szCs w:val="24"/>
        </w:rPr>
        <w:t>m</w:t>
      </w:r>
      <w:r w:rsidRPr="00B15134">
        <w:rPr>
          <w:sz w:val="24"/>
          <w:szCs w:val="24"/>
        </w:rPr>
        <w:t>.</w:t>
      </w:r>
      <w:r w:rsidRPr="00B15134">
        <w:rPr>
          <w:spacing w:val="-6"/>
          <w:sz w:val="24"/>
          <w:szCs w:val="24"/>
        </w:rPr>
        <w:t xml:space="preserve"> </w:t>
      </w:r>
      <w:r w:rsidRPr="00B15134">
        <w:rPr>
          <w:spacing w:val="1"/>
          <w:sz w:val="24"/>
          <w:szCs w:val="24"/>
        </w:rPr>
        <w:t>V</w:t>
      </w:r>
      <w:r w:rsidRPr="00B15134">
        <w:rPr>
          <w:spacing w:val="-3"/>
          <w:sz w:val="24"/>
          <w:szCs w:val="24"/>
        </w:rPr>
        <w:t>i</w:t>
      </w:r>
      <w:r w:rsidRPr="00B15134">
        <w:rPr>
          <w:sz w:val="24"/>
          <w:szCs w:val="24"/>
        </w:rPr>
        <w:t>d</w:t>
      </w:r>
      <w:r w:rsidRPr="00B15134">
        <w:rPr>
          <w:spacing w:val="-6"/>
          <w:sz w:val="24"/>
          <w:szCs w:val="24"/>
        </w:rPr>
        <w:t xml:space="preserve"> </w:t>
      </w:r>
      <w:r w:rsidRPr="00B15134">
        <w:rPr>
          <w:spacing w:val="-2"/>
          <w:sz w:val="24"/>
          <w:szCs w:val="24"/>
        </w:rPr>
        <w:t>s</w:t>
      </w:r>
      <w:r w:rsidRPr="00B15134">
        <w:rPr>
          <w:spacing w:val="-1"/>
          <w:sz w:val="24"/>
          <w:szCs w:val="24"/>
        </w:rPr>
        <w:t>t</w:t>
      </w:r>
      <w:r w:rsidRPr="00B15134">
        <w:rPr>
          <w:spacing w:val="1"/>
          <w:sz w:val="24"/>
          <w:szCs w:val="24"/>
        </w:rPr>
        <w:t>a</w:t>
      </w:r>
      <w:r w:rsidRPr="00B15134">
        <w:rPr>
          <w:spacing w:val="-1"/>
          <w:sz w:val="24"/>
          <w:szCs w:val="24"/>
        </w:rPr>
        <w:t>r</w:t>
      </w:r>
      <w:r w:rsidRPr="00B15134">
        <w:rPr>
          <w:sz w:val="24"/>
          <w:szCs w:val="24"/>
        </w:rPr>
        <w:t>t</w:t>
      </w:r>
      <w:r w:rsidRPr="00B15134">
        <w:rPr>
          <w:spacing w:val="-11"/>
          <w:sz w:val="24"/>
          <w:szCs w:val="24"/>
        </w:rPr>
        <w:t xml:space="preserve"> </w:t>
      </w:r>
      <w:r w:rsidRPr="00B15134">
        <w:rPr>
          <w:sz w:val="24"/>
          <w:szCs w:val="24"/>
        </w:rPr>
        <w:t>av</w:t>
      </w:r>
      <w:r w:rsidRPr="00B15134">
        <w:rPr>
          <w:spacing w:val="-10"/>
          <w:sz w:val="24"/>
          <w:szCs w:val="24"/>
        </w:rPr>
        <w:t xml:space="preserve"> </w:t>
      </w:r>
      <w:r w:rsidRPr="00B15134">
        <w:rPr>
          <w:sz w:val="24"/>
          <w:szCs w:val="24"/>
        </w:rPr>
        <w:t>be</w:t>
      </w:r>
      <w:r w:rsidRPr="00B15134">
        <w:rPr>
          <w:spacing w:val="-3"/>
          <w:sz w:val="24"/>
          <w:szCs w:val="24"/>
        </w:rPr>
        <w:t>h</w:t>
      </w:r>
      <w:r w:rsidRPr="00B15134">
        <w:rPr>
          <w:sz w:val="24"/>
          <w:szCs w:val="24"/>
        </w:rPr>
        <w:t>a</w:t>
      </w:r>
      <w:r w:rsidRPr="00B15134">
        <w:rPr>
          <w:spacing w:val="-1"/>
          <w:sz w:val="24"/>
          <w:szCs w:val="24"/>
        </w:rPr>
        <w:t>n</w:t>
      </w:r>
      <w:r w:rsidRPr="00B15134">
        <w:rPr>
          <w:spacing w:val="-3"/>
          <w:sz w:val="24"/>
          <w:szCs w:val="24"/>
        </w:rPr>
        <w:t>dl</w:t>
      </w:r>
      <w:r w:rsidRPr="00B15134">
        <w:rPr>
          <w:sz w:val="24"/>
          <w:szCs w:val="24"/>
        </w:rPr>
        <w:t>i</w:t>
      </w:r>
      <w:r w:rsidRPr="00B15134">
        <w:rPr>
          <w:spacing w:val="-1"/>
          <w:sz w:val="24"/>
          <w:szCs w:val="24"/>
        </w:rPr>
        <w:t>n</w:t>
      </w:r>
      <w:r w:rsidRPr="00B15134">
        <w:rPr>
          <w:spacing w:val="-11"/>
          <w:sz w:val="24"/>
          <w:szCs w:val="24"/>
        </w:rPr>
        <w:t>g</w:t>
      </w:r>
      <w:r w:rsidRPr="00B15134">
        <w:rPr>
          <w:spacing w:val="-2"/>
          <w:sz w:val="24"/>
          <w:szCs w:val="24"/>
        </w:rPr>
        <w:t>e</w:t>
      </w:r>
      <w:r w:rsidRPr="00B15134">
        <w:rPr>
          <w:sz w:val="24"/>
          <w:szCs w:val="24"/>
        </w:rPr>
        <w:t>n,</w:t>
      </w:r>
      <w:r w:rsidRPr="00B15134">
        <w:rPr>
          <w:spacing w:val="-8"/>
          <w:sz w:val="24"/>
          <w:szCs w:val="24"/>
        </w:rPr>
        <w:t xml:space="preserve"> </w:t>
      </w:r>
      <w:r w:rsidRPr="00B15134">
        <w:rPr>
          <w:sz w:val="24"/>
          <w:szCs w:val="24"/>
        </w:rPr>
        <w:t>o</w:t>
      </w:r>
      <w:r w:rsidRPr="00B15134">
        <w:rPr>
          <w:spacing w:val="-1"/>
          <w:sz w:val="24"/>
          <w:szCs w:val="24"/>
        </w:rPr>
        <w:t>r</w:t>
      </w:r>
      <w:r w:rsidRPr="00B15134">
        <w:rPr>
          <w:sz w:val="24"/>
          <w:szCs w:val="24"/>
        </w:rPr>
        <w:t>di</w:t>
      </w:r>
      <w:r w:rsidRPr="00B15134">
        <w:rPr>
          <w:spacing w:val="-3"/>
          <w:sz w:val="24"/>
          <w:szCs w:val="24"/>
        </w:rPr>
        <w:t>n</w:t>
      </w:r>
      <w:r w:rsidRPr="00B15134">
        <w:rPr>
          <w:sz w:val="24"/>
          <w:szCs w:val="24"/>
        </w:rPr>
        <w:t>e</w:t>
      </w:r>
      <w:r w:rsidRPr="00B15134">
        <w:rPr>
          <w:spacing w:val="-1"/>
          <w:sz w:val="24"/>
          <w:szCs w:val="24"/>
        </w:rPr>
        <w:t>r</w:t>
      </w:r>
      <w:r w:rsidRPr="00B15134">
        <w:rPr>
          <w:sz w:val="24"/>
          <w:szCs w:val="24"/>
        </w:rPr>
        <w:t>a</w:t>
      </w:r>
      <w:r w:rsidRPr="00B15134">
        <w:rPr>
          <w:spacing w:val="-7"/>
          <w:sz w:val="24"/>
          <w:szCs w:val="24"/>
        </w:rPr>
        <w:t xml:space="preserve"> </w:t>
      </w:r>
      <w:r w:rsidRPr="00B15134">
        <w:rPr>
          <w:spacing w:val="-3"/>
          <w:sz w:val="24"/>
          <w:szCs w:val="24"/>
        </w:rPr>
        <w:t>h</w:t>
      </w:r>
      <w:r w:rsidRPr="00B15134">
        <w:rPr>
          <w:spacing w:val="-2"/>
          <w:sz w:val="24"/>
          <w:szCs w:val="24"/>
        </w:rPr>
        <w:t>a</w:t>
      </w:r>
      <w:r w:rsidRPr="00B15134">
        <w:rPr>
          <w:spacing w:val="-3"/>
          <w:sz w:val="24"/>
          <w:szCs w:val="24"/>
        </w:rPr>
        <w:t>lv</w:t>
      </w:r>
      <w:r w:rsidRPr="00B15134">
        <w:rPr>
          <w:sz w:val="24"/>
          <w:szCs w:val="24"/>
        </w:rPr>
        <w:t>a</w:t>
      </w:r>
      <w:r w:rsidRPr="00B15134">
        <w:rPr>
          <w:spacing w:val="-7"/>
          <w:sz w:val="24"/>
          <w:szCs w:val="24"/>
        </w:rPr>
        <w:t xml:space="preserve"> </w:t>
      </w:r>
      <w:r w:rsidRPr="00B15134">
        <w:rPr>
          <w:spacing w:val="-2"/>
          <w:sz w:val="24"/>
          <w:szCs w:val="24"/>
        </w:rPr>
        <w:t>s</w:t>
      </w:r>
      <w:r w:rsidRPr="00B15134">
        <w:rPr>
          <w:spacing w:val="-1"/>
          <w:sz w:val="24"/>
          <w:szCs w:val="24"/>
        </w:rPr>
        <w:t>t</w:t>
      </w:r>
      <w:r w:rsidRPr="00B15134">
        <w:rPr>
          <w:spacing w:val="1"/>
          <w:sz w:val="24"/>
          <w:szCs w:val="24"/>
        </w:rPr>
        <w:t>a</w:t>
      </w:r>
      <w:r w:rsidRPr="00B15134">
        <w:rPr>
          <w:spacing w:val="-1"/>
          <w:sz w:val="24"/>
          <w:szCs w:val="24"/>
        </w:rPr>
        <w:t>rt</w:t>
      </w:r>
      <w:r w:rsidRPr="00B15134">
        <w:rPr>
          <w:sz w:val="24"/>
          <w:szCs w:val="24"/>
        </w:rPr>
        <w:t>d</w:t>
      </w:r>
      <w:r w:rsidRPr="00B15134">
        <w:rPr>
          <w:spacing w:val="-3"/>
          <w:sz w:val="24"/>
          <w:szCs w:val="24"/>
        </w:rPr>
        <w:t>o</w:t>
      </w:r>
      <w:r w:rsidRPr="00B15134">
        <w:rPr>
          <w:spacing w:val="-7"/>
          <w:sz w:val="24"/>
          <w:szCs w:val="24"/>
        </w:rPr>
        <w:t>s</w:t>
      </w:r>
      <w:r w:rsidRPr="00B15134">
        <w:rPr>
          <w:sz w:val="24"/>
          <w:szCs w:val="24"/>
        </w:rPr>
        <w:t>en</w:t>
      </w:r>
      <w:r w:rsidRPr="00B15134">
        <w:rPr>
          <w:spacing w:val="-6"/>
          <w:sz w:val="24"/>
          <w:szCs w:val="24"/>
        </w:rPr>
        <w:t xml:space="preserve"> </w:t>
      </w:r>
      <w:r w:rsidRPr="00B15134">
        <w:rPr>
          <w:spacing w:val="-2"/>
          <w:sz w:val="24"/>
          <w:szCs w:val="24"/>
        </w:rPr>
        <w:t>s</w:t>
      </w:r>
      <w:r w:rsidRPr="00B15134">
        <w:rPr>
          <w:sz w:val="24"/>
          <w:szCs w:val="24"/>
        </w:rPr>
        <w:t>om</w:t>
      </w:r>
      <w:r w:rsidRPr="00B15134">
        <w:rPr>
          <w:spacing w:val="-9"/>
          <w:sz w:val="24"/>
          <w:szCs w:val="24"/>
        </w:rPr>
        <w:t xml:space="preserve"> </w:t>
      </w:r>
      <w:r w:rsidRPr="00B15134">
        <w:rPr>
          <w:spacing w:val="-1"/>
          <w:sz w:val="24"/>
          <w:szCs w:val="24"/>
        </w:rPr>
        <w:t>för</w:t>
      </w:r>
      <w:r w:rsidRPr="00B15134">
        <w:rPr>
          <w:spacing w:val="-9"/>
          <w:sz w:val="24"/>
          <w:szCs w:val="24"/>
        </w:rPr>
        <w:t xml:space="preserve"> </w:t>
      </w:r>
      <w:r w:rsidRPr="00B15134">
        <w:rPr>
          <w:spacing w:val="-3"/>
          <w:sz w:val="24"/>
          <w:szCs w:val="24"/>
        </w:rPr>
        <w:t>d</w:t>
      </w:r>
      <w:r w:rsidRPr="00B15134">
        <w:rPr>
          <w:sz w:val="24"/>
          <w:szCs w:val="24"/>
        </w:rPr>
        <w:t>ep</w:t>
      </w:r>
      <w:r w:rsidRPr="00B15134">
        <w:rPr>
          <w:spacing w:val="-1"/>
          <w:sz w:val="24"/>
          <w:szCs w:val="24"/>
        </w:rPr>
        <w:t>r</w:t>
      </w:r>
      <w:r w:rsidRPr="00B15134">
        <w:rPr>
          <w:spacing w:val="-2"/>
          <w:sz w:val="24"/>
          <w:szCs w:val="24"/>
        </w:rPr>
        <w:t>ess</w:t>
      </w:r>
      <w:r w:rsidRPr="00B15134">
        <w:rPr>
          <w:sz w:val="24"/>
          <w:szCs w:val="24"/>
        </w:rPr>
        <w:t>i</w:t>
      </w:r>
      <w:r w:rsidRPr="00B15134">
        <w:rPr>
          <w:spacing w:val="-3"/>
          <w:sz w:val="24"/>
          <w:szCs w:val="24"/>
        </w:rPr>
        <w:t>o</w:t>
      </w:r>
      <w:r w:rsidRPr="00B15134">
        <w:rPr>
          <w:sz w:val="24"/>
          <w:szCs w:val="24"/>
        </w:rPr>
        <w:t>n o</w:t>
      </w:r>
      <w:r w:rsidRPr="00B15134">
        <w:rPr>
          <w:spacing w:val="-2"/>
          <w:sz w:val="24"/>
          <w:szCs w:val="24"/>
        </w:rPr>
        <w:t>c</w:t>
      </w:r>
      <w:r w:rsidRPr="00B15134">
        <w:rPr>
          <w:sz w:val="24"/>
          <w:szCs w:val="24"/>
        </w:rPr>
        <w:t>h</w:t>
      </w:r>
      <w:r w:rsidRPr="00B15134">
        <w:rPr>
          <w:spacing w:val="-8"/>
          <w:sz w:val="24"/>
          <w:szCs w:val="24"/>
        </w:rPr>
        <w:t xml:space="preserve"> </w:t>
      </w:r>
      <w:r w:rsidRPr="00B15134">
        <w:rPr>
          <w:sz w:val="24"/>
          <w:szCs w:val="24"/>
        </w:rPr>
        <w:t xml:space="preserve">öka </w:t>
      </w:r>
      <w:r w:rsidRPr="00B15134">
        <w:rPr>
          <w:spacing w:val="-5"/>
          <w:sz w:val="24"/>
          <w:szCs w:val="24"/>
        </w:rPr>
        <w:t>s</w:t>
      </w:r>
      <w:r w:rsidRPr="00B15134">
        <w:rPr>
          <w:sz w:val="24"/>
          <w:szCs w:val="24"/>
        </w:rPr>
        <w:t>e</w:t>
      </w:r>
      <w:r w:rsidRPr="00B15134">
        <w:rPr>
          <w:spacing w:val="-3"/>
          <w:sz w:val="24"/>
          <w:szCs w:val="24"/>
        </w:rPr>
        <w:t>d</w:t>
      </w:r>
      <w:r w:rsidRPr="00B15134">
        <w:rPr>
          <w:sz w:val="24"/>
          <w:szCs w:val="24"/>
        </w:rPr>
        <w:t>an</w:t>
      </w:r>
      <w:r w:rsidRPr="00B15134">
        <w:rPr>
          <w:spacing w:val="-8"/>
          <w:sz w:val="24"/>
          <w:szCs w:val="24"/>
        </w:rPr>
        <w:t xml:space="preserve"> </w:t>
      </w:r>
      <w:r w:rsidRPr="00B15134">
        <w:rPr>
          <w:sz w:val="24"/>
          <w:szCs w:val="24"/>
        </w:rPr>
        <w:t>l</w:t>
      </w:r>
      <w:r w:rsidRPr="00B15134">
        <w:rPr>
          <w:spacing w:val="-2"/>
          <w:sz w:val="24"/>
          <w:szCs w:val="24"/>
        </w:rPr>
        <w:t>å</w:t>
      </w:r>
      <w:r w:rsidRPr="00B15134">
        <w:rPr>
          <w:spacing w:val="-3"/>
          <w:sz w:val="24"/>
          <w:szCs w:val="24"/>
        </w:rPr>
        <w:t>n</w:t>
      </w:r>
      <w:r w:rsidRPr="00B15134">
        <w:rPr>
          <w:spacing w:val="-2"/>
          <w:sz w:val="24"/>
          <w:szCs w:val="24"/>
        </w:rPr>
        <w:t>gs</w:t>
      </w:r>
      <w:r w:rsidRPr="00B15134">
        <w:rPr>
          <w:sz w:val="24"/>
          <w:szCs w:val="24"/>
        </w:rPr>
        <w:t>a</w:t>
      </w:r>
      <w:r w:rsidRPr="00B15134">
        <w:rPr>
          <w:spacing w:val="-3"/>
          <w:sz w:val="24"/>
          <w:szCs w:val="24"/>
        </w:rPr>
        <w:t>m</w:t>
      </w:r>
      <w:r w:rsidRPr="00B15134">
        <w:rPr>
          <w:sz w:val="24"/>
          <w:szCs w:val="24"/>
        </w:rPr>
        <w:t>t</w:t>
      </w:r>
      <w:r w:rsidRPr="00B15134">
        <w:rPr>
          <w:spacing w:val="-8"/>
          <w:sz w:val="24"/>
          <w:szCs w:val="24"/>
        </w:rPr>
        <w:t xml:space="preserve"> </w:t>
      </w:r>
      <w:r w:rsidRPr="00B15134">
        <w:rPr>
          <w:spacing w:val="-1"/>
          <w:sz w:val="24"/>
          <w:szCs w:val="24"/>
        </w:rPr>
        <w:t>t</w:t>
      </w:r>
      <w:r w:rsidRPr="00B15134">
        <w:rPr>
          <w:sz w:val="24"/>
          <w:szCs w:val="24"/>
        </w:rPr>
        <w:t>ill</w:t>
      </w:r>
      <w:r w:rsidRPr="00B15134">
        <w:rPr>
          <w:spacing w:val="-5"/>
          <w:sz w:val="24"/>
          <w:szCs w:val="24"/>
        </w:rPr>
        <w:t xml:space="preserve"> </w:t>
      </w:r>
      <w:r w:rsidRPr="00B15134">
        <w:rPr>
          <w:spacing w:val="-1"/>
          <w:sz w:val="24"/>
          <w:szCs w:val="24"/>
        </w:rPr>
        <w:t>effektiv</w:t>
      </w:r>
      <w:r w:rsidRPr="00B15134">
        <w:rPr>
          <w:spacing w:val="-10"/>
          <w:sz w:val="24"/>
          <w:szCs w:val="24"/>
        </w:rPr>
        <w:t xml:space="preserve"> </w:t>
      </w:r>
      <w:r w:rsidRPr="00B15134">
        <w:rPr>
          <w:sz w:val="24"/>
          <w:szCs w:val="24"/>
        </w:rPr>
        <w:t>do</w:t>
      </w:r>
      <w:r w:rsidRPr="00B15134">
        <w:rPr>
          <w:spacing w:val="-2"/>
          <w:sz w:val="24"/>
          <w:szCs w:val="24"/>
        </w:rPr>
        <w:t>s</w:t>
      </w:r>
      <w:r w:rsidRPr="00B15134">
        <w:rPr>
          <w:sz w:val="24"/>
          <w:szCs w:val="24"/>
        </w:rPr>
        <w:t>.</w:t>
      </w:r>
      <w:r w:rsidRPr="00B15134">
        <w:rPr>
          <w:spacing w:val="-9"/>
          <w:sz w:val="24"/>
          <w:szCs w:val="24"/>
        </w:rPr>
        <w:t xml:space="preserve"> Långsam upptrappning minskar risken för biverkningar och ökar följsamheten. </w:t>
      </w:r>
      <w:r w:rsidRPr="00B15134">
        <w:rPr>
          <w:spacing w:val="-3"/>
          <w:sz w:val="24"/>
          <w:szCs w:val="24"/>
        </w:rPr>
        <w:t>S</w:t>
      </w:r>
      <w:r w:rsidRPr="00B15134">
        <w:rPr>
          <w:sz w:val="24"/>
          <w:szCs w:val="24"/>
        </w:rPr>
        <w:t>e</w:t>
      </w:r>
      <w:r w:rsidRPr="00B15134">
        <w:rPr>
          <w:spacing w:val="-1"/>
          <w:sz w:val="24"/>
          <w:szCs w:val="24"/>
        </w:rPr>
        <w:t>r</w:t>
      </w:r>
      <w:r w:rsidRPr="00B15134">
        <w:rPr>
          <w:spacing w:val="-3"/>
          <w:sz w:val="24"/>
          <w:szCs w:val="24"/>
        </w:rPr>
        <w:t>tr</w:t>
      </w:r>
      <w:r w:rsidRPr="00B15134">
        <w:rPr>
          <w:sz w:val="24"/>
          <w:szCs w:val="24"/>
        </w:rPr>
        <w:t>alin</w:t>
      </w:r>
      <w:r w:rsidRPr="00B15134">
        <w:rPr>
          <w:spacing w:val="-7"/>
          <w:sz w:val="24"/>
          <w:szCs w:val="24"/>
        </w:rPr>
        <w:t xml:space="preserve"> </w:t>
      </w:r>
      <w:r w:rsidRPr="00B15134">
        <w:rPr>
          <w:spacing w:val="-1"/>
          <w:sz w:val="24"/>
          <w:szCs w:val="24"/>
        </w:rPr>
        <w:t>to</w:t>
      </w:r>
      <w:r w:rsidRPr="00B15134">
        <w:rPr>
          <w:spacing w:val="-5"/>
          <w:sz w:val="24"/>
          <w:szCs w:val="24"/>
        </w:rPr>
        <w:t>l</w:t>
      </w:r>
      <w:r w:rsidRPr="00B15134">
        <w:rPr>
          <w:sz w:val="24"/>
          <w:szCs w:val="24"/>
        </w:rPr>
        <w:t>e</w:t>
      </w:r>
      <w:r w:rsidRPr="00B15134">
        <w:rPr>
          <w:spacing w:val="-1"/>
          <w:sz w:val="24"/>
          <w:szCs w:val="24"/>
        </w:rPr>
        <w:t>r</w:t>
      </w:r>
      <w:r w:rsidRPr="00B15134">
        <w:rPr>
          <w:sz w:val="24"/>
          <w:szCs w:val="24"/>
        </w:rPr>
        <w:t>e</w:t>
      </w:r>
      <w:r w:rsidRPr="00B15134">
        <w:rPr>
          <w:spacing w:val="-9"/>
          <w:sz w:val="24"/>
          <w:szCs w:val="24"/>
        </w:rPr>
        <w:t>r</w:t>
      </w:r>
      <w:r w:rsidRPr="00B15134">
        <w:rPr>
          <w:sz w:val="24"/>
          <w:szCs w:val="24"/>
        </w:rPr>
        <w:t>as</w:t>
      </w:r>
      <w:r w:rsidRPr="00B15134">
        <w:rPr>
          <w:spacing w:val="-5"/>
          <w:sz w:val="24"/>
          <w:szCs w:val="24"/>
        </w:rPr>
        <w:t xml:space="preserve"> </w:t>
      </w:r>
      <w:r w:rsidRPr="00B15134">
        <w:rPr>
          <w:sz w:val="24"/>
          <w:szCs w:val="24"/>
        </w:rPr>
        <w:t>i</w:t>
      </w:r>
      <w:r w:rsidRPr="00B15134">
        <w:rPr>
          <w:spacing w:val="-5"/>
          <w:sz w:val="24"/>
          <w:szCs w:val="24"/>
        </w:rPr>
        <w:t xml:space="preserve"> </w:t>
      </w:r>
      <w:r w:rsidRPr="00B15134">
        <w:rPr>
          <w:spacing w:val="-6"/>
          <w:sz w:val="24"/>
          <w:szCs w:val="24"/>
        </w:rPr>
        <w:t>r</w:t>
      </w:r>
      <w:r w:rsidRPr="00B15134">
        <w:rPr>
          <w:sz w:val="24"/>
          <w:szCs w:val="24"/>
        </w:rPr>
        <w:t>e</w:t>
      </w:r>
      <w:r w:rsidRPr="00B15134">
        <w:rPr>
          <w:spacing w:val="-2"/>
          <w:sz w:val="24"/>
          <w:szCs w:val="24"/>
        </w:rPr>
        <w:t>g</w:t>
      </w:r>
      <w:r w:rsidRPr="00B15134">
        <w:rPr>
          <w:sz w:val="24"/>
          <w:szCs w:val="24"/>
        </w:rPr>
        <w:t>el</w:t>
      </w:r>
      <w:r w:rsidRPr="00B15134">
        <w:rPr>
          <w:spacing w:val="-7"/>
          <w:sz w:val="24"/>
          <w:szCs w:val="24"/>
        </w:rPr>
        <w:t xml:space="preserve"> </w:t>
      </w:r>
      <w:r w:rsidRPr="00B15134">
        <w:rPr>
          <w:spacing w:val="-8"/>
          <w:sz w:val="24"/>
          <w:szCs w:val="24"/>
        </w:rPr>
        <w:t>v</w:t>
      </w:r>
      <w:r w:rsidRPr="00B15134">
        <w:rPr>
          <w:spacing w:val="-2"/>
          <w:sz w:val="24"/>
          <w:szCs w:val="24"/>
        </w:rPr>
        <w:t>ä</w:t>
      </w:r>
      <w:r w:rsidRPr="00B15134">
        <w:rPr>
          <w:sz w:val="24"/>
          <w:szCs w:val="24"/>
        </w:rPr>
        <w:t>l</w:t>
      </w:r>
      <w:r w:rsidRPr="00B15134">
        <w:rPr>
          <w:spacing w:val="-5"/>
          <w:sz w:val="24"/>
          <w:szCs w:val="24"/>
        </w:rPr>
        <w:t xml:space="preserve"> </w:t>
      </w:r>
      <w:r w:rsidRPr="00B15134">
        <w:rPr>
          <w:sz w:val="24"/>
          <w:szCs w:val="24"/>
        </w:rPr>
        <w:t>och</w:t>
      </w:r>
      <w:r w:rsidRPr="00B15134">
        <w:rPr>
          <w:spacing w:val="-6"/>
          <w:sz w:val="24"/>
          <w:szCs w:val="24"/>
        </w:rPr>
        <w:t xml:space="preserve"> </w:t>
      </w:r>
      <w:r w:rsidRPr="00B15134">
        <w:rPr>
          <w:sz w:val="24"/>
          <w:szCs w:val="24"/>
        </w:rPr>
        <w:t>har</w:t>
      </w:r>
      <w:r w:rsidRPr="00B15134">
        <w:rPr>
          <w:spacing w:val="-10"/>
          <w:sz w:val="24"/>
          <w:szCs w:val="24"/>
        </w:rPr>
        <w:t xml:space="preserve"> </w:t>
      </w:r>
      <w:r w:rsidRPr="00B15134">
        <w:rPr>
          <w:spacing w:val="-1"/>
          <w:sz w:val="24"/>
          <w:szCs w:val="24"/>
        </w:rPr>
        <w:t>m</w:t>
      </w:r>
      <w:r w:rsidRPr="00B15134">
        <w:rPr>
          <w:sz w:val="24"/>
          <w:szCs w:val="24"/>
        </w:rPr>
        <w:t>in</w:t>
      </w:r>
      <w:r w:rsidRPr="00B15134">
        <w:rPr>
          <w:spacing w:val="-1"/>
          <w:sz w:val="24"/>
          <w:szCs w:val="24"/>
        </w:rPr>
        <w:t>s</w:t>
      </w:r>
      <w:r w:rsidRPr="00B15134">
        <w:rPr>
          <w:sz w:val="24"/>
          <w:szCs w:val="24"/>
        </w:rPr>
        <w:t>t</w:t>
      </w:r>
      <w:r w:rsidRPr="00B15134">
        <w:rPr>
          <w:spacing w:val="-5"/>
          <w:sz w:val="24"/>
          <w:szCs w:val="24"/>
        </w:rPr>
        <w:t xml:space="preserve"> </w:t>
      </w:r>
      <w:r w:rsidRPr="00B15134">
        <w:rPr>
          <w:spacing w:val="-8"/>
          <w:sz w:val="24"/>
          <w:szCs w:val="24"/>
        </w:rPr>
        <w:t>k</w:t>
      </w:r>
      <w:r w:rsidRPr="00B15134">
        <w:rPr>
          <w:sz w:val="24"/>
          <w:szCs w:val="24"/>
        </w:rPr>
        <w:t>ä</w:t>
      </w:r>
      <w:r w:rsidRPr="00B15134">
        <w:rPr>
          <w:spacing w:val="-3"/>
          <w:sz w:val="24"/>
          <w:szCs w:val="24"/>
        </w:rPr>
        <w:t>nd</w:t>
      </w:r>
      <w:r w:rsidRPr="00B15134">
        <w:rPr>
          <w:sz w:val="24"/>
          <w:szCs w:val="24"/>
        </w:rPr>
        <w:t>a</w:t>
      </w:r>
      <w:r w:rsidRPr="00B15134">
        <w:rPr>
          <w:spacing w:val="-4"/>
          <w:sz w:val="24"/>
          <w:szCs w:val="24"/>
        </w:rPr>
        <w:t xml:space="preserve"> </w:t>
      </w:r>
      <w:r w:rsidRPr="00B15134">
        <w:rPr>
          <w:spacing w:val="-1"/>
          <w:sz w:val="24"/>
          <w:szCs w:val="24"/>
        </w:rPr>
        <w:t>r</w:t>
      </w:r>
      <w:r w:rsidRPr="00B15134">
        <w:rPr>
          <w:sz w:val="24"/>
          <w:szCs w:val="24"/>
        </w:rPr>
        <w:t>i</w:t>
      </w:r>
      <w:r w:rsidRPr="00B15134">
        <w:rPr>
          <w:spacing w:val="-5"/>
          <w:sz w:val="24"/>
          <w:szCs w:val="24"/>
        </w:rPr>
        <w:t>s</w:t>
      </w:r>
      <w:r w:rsidRPr="00B15134">
        <w:rPr>
          <w:sz w:val="24"/>
          <w:szCs w:val="24"/>
        </w:rPr>
        <w:t>ker</w:t>
      </w:r>
      <w:r w:rsidRPr="00B15134">
        <w:rPr>
          <w:spacing w:val="-8"/>
          <w:sz w:val="24"/>
          <w:szCs w:val="24"/>
        </w:rPr>
        <w:t xml:space="preserve"> </w:t>
      </w:r>
      <w:r w:rsidRPr="00B15134">
        <w:rPr>
          <w:spacing w:val="-3"/>
          <w:sz w:val="24"/>
          <w:szCs w:val="24"/>
        </w:rPr>
        <w:t>v</w:t>
      </w:r>
      <w:r w:rsidRPr="00B15134">
        <w:rPr>
          <w:sz w:val="24"/>
          <w:szCs w:val="24"/>
        </w:rPr>
        <w:t>id</w:t>
      </w:r>
      <w:r w:rsidRPr="00B15134">
        <w:rPr>
          <w:spacing w:val="-6"/>
          <w:sz w:val="24"/>
          <w:szCs w:val="24"/>
        </w:rPr>
        <w:t xml:space="preserve"> </w:t>
      </w:r>
      <w:r w:rsidRPr="00B15134">
        <w:rPr>
          <w:spacing w:val="-2"/>
          <w:sz w:val="24"/>
          <w:szCs w:val="24"/>
        </w:rPr>
        <w:t>graviditet</w:t>
      </w:r>
      <w:r w:rsidRPr="00B15134">
        <w:rPr>
          <w:spacing w:val="-5"/>
          <w:sz w:val="24"/>
          <w:szCs w:val="24"/>
        </w:rPr>
        <w:t xml:space="preserve"> </w:t>
      </w:r>
      <w:r w:rsidRPr="00B15134">
        <w:rPr>
          <w:spacing w:val="-3"/>
          <w:sz w:val="24"/>
          <w:szCs w:val="24"/>
        </w:rPr>
        <w:t>o</w:t>
      </w:r>
      <w:r w:rsidRPr="00B15134">
        <w:rPr>
          <w:spacing w:val="-2"/>
          <w:sz w:val="24"/>
          <w:szCs w:val="24"/>
        </w:rPr>
        <w:t>c</w:t>
      </w:r>
      <w:r w:rsidRPr="00B15134">
        <w:rPr>
          <w:sz w:val="24"/>
          <w:szCs w:val="24"/>
        </w:rPr>
        <w:t xml:space="preserve">h </w:t>
      </w:r>
      <w:r w:rsidRPr="00B15134">
        <w:rPr>
          <w:spacing w:val="-2"/>
          <w:sz w:val="24"/>
          <w:szCs w:val="24"/>
        </w:rPr>
        <w:t>a</w:t>
      </w:r>
      <w:r w:rsidRPr="00B15134">
        <w:rPr>
          <w:spacing w:val="-1"/>
          <w:sz w:val="24"/>
          <w:szCs w:val="24"/>
        </w:rPr>
        <w:t>mn</w:t>
      </w:r>
      <w:r w:rsidRPr="00B15134">
        <w:rPr>
          <w:sz w:val="24"/>
          <w:szCs w:val="24"/>
        </w:rPr>
        <w:t>i</w:t>
      </w:r>
      <w:r w:rsidRPr="00B15134">
        <w:rPr>
          <w:spacing w:val="-1"/>
          <w:sz w:val="24"/>
          <w:szCs w:val="24"/>
        </w:rPr>
        <w:t>n</w:t>
      </w:r>
      <w:r w:rsidRPr="00B15134">
        <w:rPr>
          <w:spacing w:val="-2"/>
          <w:sz w:val="24"/>
          <w:szCs w:val="24"/>
        </w:rPr>
        <w:t>g.</w:t>
      </w:r>
    </w:p>
    <w:p w14:paraId="3F3343A1" w14:textId="6D077D5E" w:rsidR="00702564" w:rsidRPr="00067550" w:rsidRDefault="00702564" w:rsidP="00702564">
      <w:pPr>
        <w:spacing w:before="120"/>
        <w:rPr>
          <w:sz w:val="24"/>
          <w:szCs w:val="24"/>
        </w:rPr>
      </w:pPr>
      <w:r w:rsidRPr="3A20558F">
        <w:rPr>
          <w:sz w:val="24"/>
          <w:szCs w:val="24"/>
        </w:rPr>
        <w:lastRenderedPageBreak/>
        <w:t xml:space="preserve">GAD: Ångestdämpande behandling under de första 2–4 veckorna (inte längre) kan ibland vara nödvändig. För att minska somatiska symtom (t.ex. hjärtklappning) kan β-blockerare användas. </w:t>
      </w:r>
      <w:r>
        <w:br/>
      </w:r>
      <w:hyperlink r:id="rId173">
        <w:r w:rsidRPr="3A20558F">
          <w:rPr>
            <w:rStyle w:val="Hyperlnk"/>
            <w:sz w:val="24"/>
            <w:szCs w:val="24"/>
          </w:rPr>
          <w:t>Kognitiv beteendeterapi (KBT)</w:t>
        </w:r>
      </w:hyperlink>
      <w:r w:rsidRPr="3A20558F">
        <w:rPr>
          <w:sz w:val="24"/>
          <w:szCs w:val="24"/>
        </w:rPr>
        <w:t xml:space="preserve"> är också effektivt och rekommenderat i nationella riktlinjer. Kombination av KBT med SSRI har bättre effekt än behandlingarna var för sig.</w:t>
      </w:r>
      <w:r w:rsidR="00067550">
        <w:rPr>
          <w:sz w:val="24"/>
          <w:szCs w:val="24"/>
        </w:rPr>
        <w:t xml:space="preserve"> </w:t>
      </w:r>
      <w:r w:rsidR="00067550">
        <w:rPr>
          <w:sz w:val="24"/>
          <w:szCs w:val="24"/>
        </w:rPr>
        <w:br/>
      </w:r>
      <w:r w:rsidRPr="00B15134">
        <w:rPr>
          <w:sz w:val="24"/>
          <w:szCs w:val="24"/>
        </w:rPr>
        <w:t>Paniksyndrom: Läkemedlen bör sättas in långsamt för att minska risken för biverkningar. P</w:t>
      </w:r>
      <w:r w:rsidRPr="00B15134">
        <w:rPr>
          <w:spacing w:val="-2"/>
          <w:sz w:val="24"/>
          <w:szCs w:val="24"/>
        </w:rPr>
        <w:t>a</w:t>
      </w:r>
      <w:r w:rsidRPr="00B15134">
        <w:rPr>
          <w:spacing w:val="-1"/>
          <w:sz w:val="24"/>
          <w:szCs w:val="24"/>
        </w:rPr>
        <w:t>n</w:t>
      </w:r>
      <w:r w:rsidRPr="00B15134">
        <w:rPr>
          <w:sz w:val="24"/>
          <w:szCs w:val="24"/>
        </w:rPr>
        <w:t>ik</w:t>
      </w:r>
      <w:r w:rsidRPr="00B15134">
        <w:rPr>
          <w:spacing w:val="-5"/>
          <w:sz w:val="24"/>
          <w:szCs w:val="24"/>
        </w:rPr>
        <w:t>symtom</w:t>
      </w:r>
      <w:r w:rsidRPr="00B15134">
        <w:rPr>
          <w:spacing w:val="-2"/>
          <w:sz w:val="24"/>
          <w:szCs w:val="24"/>
        </w:rPr>
        <w:t>e</w:t>
      </w:r>
      <w:r w:rsidRPr="00B15134">
        <w:rPr>
          <w:sz w:val="24"/>
          <w:szCs w:val="24"/>
        </w:rPr>
        <w:t>n</w:t>
      </w:r>
      <w:r w:rsidRPr="00B15134">
        <w:rPr>
          <w:spacing w:val="-9"/>
          <w:sz w:val="24"/>
          <w:szCs w:val="24"/>
        </w:rPr>
        <w:t xml:space="preserve"> </w:t>
      </w:r>
      <w:r w:rsidRPr="00B15134">
        <w:rPr>
          <w:sz w:val="24"/>
          <w:szCs w:val="24"/>
        </w:rPr>
        <w:t xml:space="preserve">kan återkomma </w:t>
      </w:r>
      <w:r w:rsidRPr="00B15134">
        <w:rPr>
          <w:spacing w:val="-2"/>
          <w:sz w:val="24"/>
          <w:szCs w:val="24"/>
        </w:rPr>
        <w:t>d</w:t>
      </w:r>
      <w:r w:rsidRPr="00B15134">
        <w:rPr>
          <w:sz w:val="24"/>
          <w:szCs w:val="24"/>
        </w:rPr>
        <w:t>å</w:t>
      </w:r>
      <w:r w:rsidRPr="00B15134">
        <w:rPr>
          <w:spacing w:val="-8"/>
          <w:sz w:val="24"/>
          <w:szCs w:val="24"/>
        </w:rPr>
        <w:t xml:space="preserve"> </w:t>
      </w:r>
      <w:r w:rsidRPr="00B15134">
        <w:rPr>
          <w:sz w:val="24"/>
          <w:szCs w:val="24"/>
        </w:rPr>
        <w:t>lä</w:t>
      </w:r>
      <w:r w:rsidRPr="00B15134">
        <w:rPr>
          <w:spacing w:val="-3"/>
          <w:sz w:val="24"/>
          <w:szCs w:val="24"/>
        </w:rPr>
        <w:t>k</w:t>
      </w:r>
      <w:r w:rsidRPr="00B15134">
        <w:rPr>
          <w:spacing w:val="-2"/>
          <w:sz w:val="24"/>
          <w:szCs w:val="24"/>
        </w:rPr>
        <w:t>e</w:t>
      </w:r>
      <w:r w:rsidRPr="00B15134">
        <w:rPr>
          <w:spacing w:val="-3"/>
          <w:sz w:val="24"/>
          <w:szCs w:val="24"/>
        </w:rPr>
        <w:t>m</w:t>
      </w:r>
      <w:r w:rsidRPr="00B15134">
        <w:rPr>
          <w:sz w:val="24"/>
          <w:szCs w:val="24"/>
        </w:rPr>
        <w:t>ed</w:t>
      </w:r>
      <w:r w:rsidRPr="00B15134">
        <w:rPr>
          <w:spacing w:val="-5"/>
          <w:sz w:val="24"/>
          <w:szCs w:val="24"/>
        </w:rPr>
        <w:t>l</w:t>
      </w:r>
      <w:r w:rsidRPr="00B15134">
        <w:rPr>
          <w:sz w:val="24"/>
          <w:szCs w:val="24"/>
        </w:rPr>
        <w:t>et</w:t>
      </w:r>
      <w:r w:rsidRPr="00B15134">
        <w:rPr>
          <w:spacing w:val="-6"/>
          <w:sz w:val="24"/>
          <w:szCs w:val="24"/>
        </w:rPr>
        <w:t xml:space="preserve"> hastigt </w:t>
      </w:r>
      <w:r w:rsidRPr="00B15134">
        <w:rPr>
          <w:spacing w:val="-2"/>
          <w:sz w:val="24"/>
          <w:szCs w:val="24"/>
        </w:rPr>
        <w:t>sä</w:t>
      </w:r>
      <w:r w:rsidRPr="00B15134">
        <w:rPr>
          <w:spacing w:val="-1"/>
          <w:sz w:val="24"/>
          <w:szCs w:val="24"/>
        </w:rPr>
        <w:t>t</w:t>
      </w:r>
      <w:r w:rsidRPr="00B15134">
        <w:rPr>
          <w:spacing w:val="-7"/>
          <w:sz w:val="24"/>
          <w:szCs w:val="24"/>
        </w:rPr>
        <w:t>t</w:t>
      </w:r>
      <w:r w:rsidRPr="00B15134">
        <w:rPr>
          <w:sz w:val="24"/>
          <w:szCs w:val="24"/>
        </w:rPr>
        <w:t>s</w:t>
      </w:r>
      <w:r w:rsidRPr="00B15134">
        <w:rPr>
          <w:spacing w:val="-7"/>
          <w:sz w:val="24"/>
          <w:szCs w:val="24"/>
        </w:rPr>
        <w:t xml:space="preserve"> </w:t>
      </w:r>
      <w:r w:rsidRPr="00B15134">
        <w:rPr>
          <w:spacing w:val="-3"/>
          <w:sz w:val="24"/>
          <w:szCs w:val="24"/>
        </w:rPr>
        <w:t>u</w:t>
      </w:r>
      <w:r w:rsidRPr="00B15134">
        <w:rPr>
          <w:spacing w:val="-1"/>
          <w:sz w:val="24"/>
          <w:szCs w:val="24"/>
        </w:rPr>
        <w:t>t varför långsam utsättning rekommenderas</w:t>
      </w:r>
      <w:r w:rsidRPr="00B15134">
        <w:rPr>
          <w:sz w:val="24"/>
          <w:szCs w:val="24"/>
        </w:rPr>
        <w:t>.</w:t>
      </w:r>
      <w:r w:rsidRPr="00B15134">
        <w:rPr>
          <w:spacing w:val="-10"/>
          <w:sz w:val="24"/>
          <w:szCs w:val="24"/>
        </w:rPr>
        <w:t xml:space="preserve"> </w:t>
      </w:r>
    </w:p>
    <w:p w14:paraId="2CB63B73" w14:textId="77777777" w:rsidR="00702564" w:rsidRPr="00F017A4" w:rsidRDefault="00702564" w:rsidP="00702564">
      <w:pPr>
        <w:pStyle w:val="Rubrik3"/>
      </w:pPr>
      <w:r>
        <w:t>Behandlingstid</w:t>
      </w:r>
    </w:p>
    <w:p w14:paraId="1460A3C2" w14:textId="5DB01968" w:rsidR="00702564" w:rsidRDefault="00702564" w:rsidP="00702564">
      <w:pPr>
        <w:spacing w:before="120"/>
        <w:rPr>
          <w:sz w:val="24"/>
          <w:szCs w:val="24"/>
        </w:rPr>
      </w:pPr>
      <w:r w:rsidRPr="3A20558F">
        <w:rPr>
          <w:sz w:val="24"/>
          <w:szCs w:val="24"/>
        </w:rPr>
        <w:t xml:space="preserve">Ofta minst 1 år eller mer. </w:t>
      </w:r>
      <w:r w:rsidR="00067550">
        <w:rPr>
          <w:sz w:val="24"/>
          <w:szCs w:val="24"/>
        </w:rPr>
        <w:br/>
      </w:r>
      <w:r w:rsidRPr="3A20558F">
        <w:rPr>
          <w:sz w:val="24"/>
          <w:szCs w:val="24"/>
        </w:rPr>
        <w:t>Dosering: Ofta högre doser än vid behandling av depression. Observera att terapeutisk dos skiljer sig åt mellan de olika ångestsyndromen.</w:t>
      </w:r>
    </w:p>
    <w:p w14:paraId="5A76F708" w14:textId="77777777" w:rsidR="00702564" w:rsidRPr="00861B6B" w:rsidRDefault="00702564" w:rsidP="00702564">
      <w:pPr>
        <w:pStyle w:val="Rubrik3"/>
      </w:pPr>
      <w:r w:rsidRPr="3A20558F">
        <w:t>Biverkningar</w:t>
      </w:r>
    </w:p>
    <w:p w14:paraId="20EFD888" w14:textId="77777777" w:rsidR="00702564" w:rsidRPr="00B15134" w:rsidRDefault="00702564" w:rsidP="00702564">
      <w:pPr>
        <w:spacing w:before="120"/>
        <w:rPr>
          <w:sz w:val="24"/>
          <w:szCs w:val="24"/>
        </w:rPr>
      </w:pPr>
      <w:r w:rsidRPr="3A20558F">
        <w:rPr>
          <w:sz w:val="24"/>
          <w:szCs w:val="24"/>
        </w:rPr>
        <w:t xml:space="preserve">Biverkningar är vanligare än vid depressionsbehandling. Vanligt förekommande biverkningar är övergående ångestförstärkning, huvudvärk, illamående, diarré, muntorrhet, yrsel och insomni men biverkningar kan minskas genom upptrappande dos och tablettintag i samband med måltid. Sexuella biverkningar (sexuell dysfunktion och minskad libido) är vanliga (20–40 %) men måste oftast aktivt efterfrågas. Suicidtankar och suicidaltbeteende är mindre vanligt. Vid behandling med sertralin finns en ökad risk för blödning och risken ökar ytterligare då patienten även behandlas med antikoagulantia eller NSAID. Ovanligare biverkningar som kan vara viktiga att känna till är hyponatremi, speciellt vid samtidig behandling med diuretika. Hyponatremi uppstår vanligtvis inom den första månaden av behandlingen och riskpatienter bör kontrolleras. Motoriska biverkningar såsom akatisi och parkinsonlika biverkningar har också rapporterats (framför allt för paroxetin). Även tandgnissling förekommer vilket resulterar i huvudvärk på morgonen och ömmande käkar. Vid kombination med andra läkemedel som påverkar serotoninnivån som t.ex. litium, moklobemid, buspiron, linezolid, tramadol och andra opioider kan serotonergt syndrom uppstå (sällsynt). </w:t>
      </w:r>
    </w:p>
    <w:p w14:paraId="2C529F17" w14:textId="77777777" w:rsidR="00702564" w:rsidRPr="0028434E" w:rsidRDefault="00702564" w:rsidP="00702564">
      <w:pPr>
        <w:pStyle w:val="Rubrik3"/>
      </w:pPr>
      <w:r>
        <w:t>Byte av läkemedel</w:t>
      </w:r>
    </w:p>
    <w:p w14:paraId="481C87C0" w14:textId="651EBFC5" w:rsidR="00702564" w:rsidRPr="00B15134" w:rsidRDefault="00702564" w:rsidP="00702564">
      <w:pPr>
        <w:spacing w:before="120"/>
        <w:rPr>
          <w:sz w:val="24"/>
          <w:szCs w:val="24"/>
        </w:rPr>
      </w:pPr>
      <w:r w:rsidRPr="3A20558F">
        <w:rPr>
          <w:sz w:val="24"/>
          <w:szCs w:val="24"/>
        </w:rPr>
        <w:t xml:space="preserve">Om ett läkemedel inom en läkemedelsgrupp (t.ex. SSRI) inte ger rimlig effekt kan man som första steg byta till ett läkemedel inom samma grupp. Ett sådant byte kan ske utan ned- resp. upptrappning. Om även detta läkemedel inte ger tillräckligt effekt, bör man byta till ett preparat från en grupp till en annan (t.ex. från SSRI till SNRI). Även detta byte kan ske utan nedtrappning. Dock bör SNRI preparatets dos vara lägre än den terapeutiska dosen och trappas upp. Om bytet sker från SNRI till SSRI bör SNRI trappas ner innan SSRI trappas upp. Om ett läkemedelsbyte sker p.g.a. biverkning bör bytet ske till preparat från en annan grupp eftersom biverkningarna inom en läkemedelsgrupp liknar varandra. </w:t>
      </w:r>
      <w:r w:rsidR="00067550">
        <w:rPr>
          <w:sz w:val="24"/>
          <w:szCs w:val="24"/>
        </w:rPr>
        <w:br/>
      </w:r>
      <w:r w:rsidRPr="3A20558F">
        <w:rPr>
          <w:sz w:val="24"/>
          <w:szCs w:val="24"/>
        </w:rPr>
        <w:t>Var god se också depressionsavsnittet.</w:t>
      </w:r>
    </w:p>
    <w:p w14:paraId="0990AD4A" w14:textId="77777777" w:rsidR="00702564" w:rsidRPr="0028434E" w:rsidRDefault="00702564" w:rsidP="00702564">
      <w:pPr>
        <w:pStyle w:val="Rubrik3"/>
      </w:pPr>
      <w:r>
        <w:t>Kombinationsbehandling</w:t>
      </w:r>
    </w:p>
    <w:p w14:paraId="0E54AFE0" w14:textId="77777777" w:rsidR="00702564" w:rsidRPr="00B15134" w:rsidRDefault="00702564" w:rsidP="00702564">
      <w:pPr>
        <w:spacing w:before="120"/>
        <w:rPr>
          <w:sz w:val="24"/>
          <w:szCs w:val="24"/>
        </w:rPr>
      </w:pPr>
      <w:r w:rsidRPr="3A20558F">
        <w:rPr>
          <w:sz w:val="24"/>
          <w:szCs w:val="24"/>
        </w:rPr>
        <w:t>Icke-farmakologisk (t.ex. KBT) och farmakologisk behandling kan kombineras för bättre effektivitet och minskad risk för återfall i ångest.</w:t>
      </w:r>
    </w:p>
    <w:p w14:paraId="61EBDC7F" w14:textId="77777777" w:rsidR="00702564" w:rsidRPr="0028434E" w:rsidRDefault="00702564" w:rsidP="00702564">
      <w:pPr>
        <w:pStyle w:val="Rubrik3"/>
      </w:pPr>
      <w:r>
        <w:lastRenderedPageBreak/>
        <w:t>Utsättning av läkemedel</w:t>
      </w:r>
    </w:p>
    <w:p w14:paraId="3076CFDA" w14:textId="77777777" w:rsidR="00702564" w:rsidRPr="00B15134" w:rsidRDefault="00702564" w:rsidP="00702564">
      <w:pPr>
        <w:spacing w:before="120"/>
        <w:rPr>
          <w:sz w:val="24"/>
          <w:szCs w:val="24"/>
        </w:rPr>
      </w:pPr>
      <w:r w:rsidRPr="3A20558F">
        <w:rPr>
          <w:sz w:val="24"/>
          <w:szCs w:val="24"/>
        </w:rPr>
        <w:t xml:space="preserve">Symtom förekommer hos många patienter vid utsättning av alla läkemedel vid ångestbehandling. När det gäller SSRI och SNRI liknar utsättningssymtomen ofta de symtom patienten initialt sökte för (oro, ångest, illamående, magbesvär) men kan också vara mer diffusa t.ex. yrsel och sjukdomskänsla. Utsättningssymtomen uppkommer vid direkt utsättning eller vid allt för snabb nedtrappning av läkemedlet. Det tycks vara så, att utsättningssymtomens svårighetsgrad beror på både dosen och hur länge patienten använt läkemedlet. Om läkemedlet sätts ut långsamt (dossänkning med 10–20 % per vecka) kan uppkomsten av utsättningssymtomen ofta förebyggas eller symtomen vara hanterbara. Psykologiska faktorer spelar också roll: patienten har fungerat bra med läkemedlet, och förväntar sig att bli sämre utan. </w:t>
      </w:r>
    </w:p>
    <w:p w14:paraId="59109E42" w14:textId="77777777" w:rsidR="00702564" w:rsidRPr="0028434E" w:rsidRDefault="00702564" w:rsidP="00702564">
      <w:pPr>
        <w:pStyle w:val="Rubrik3"/>
      </w:pPr>
      <w:r>
        <w:t>Varför rekommenderas inte?</w:t>
      </w:r>
    </w:p>
    <w:p w14:paraId="6D942F6D" w14:textId="77777777" w:rsidR="00702564" w:rsidRPr="00B15134" w:rsidRDefault="00702564" w:rsidP="00702564">
      <w:pPr>
        <w:spacing w:before="120"/>
        <w:rPr>
          <w:sz w:val="24"/>
          <w:szCs w:val="24"/>
        </w:rPr>
      </w:pPr>
      <w:r w:rsidRPr="3A20558F">
        <w:rPr>
          <w:b/>
          <w:bCs/>
          <w:sz w:val="24"/>
          <w:szCs w:val="24"/>
        </w:rPr>
        <w:t>Bensodiazepiner</w:t>
      </w:r>
      <w:r w:rsidRPr="3A20558F">
        <w:rPr>
          <w:sz w:val="24"/>
          <w:szCs w:val="24"/>
        </w:rPr>
        <w:t xml:space="preserve"> (diazepam, alprazolam, lorazepam) ska inte användas vid behandling av ångesttillstånd pga. risken för beroende- och toleransutveckling. Behandling med bensodiazepiner är ”icke-göra” enl. nationella riktlinjer.</w:t>
      </w:r>
    </w:p>
    <w:p w14:paraId="68EC668D" w14:textId="77777777" w:rsidR="00702564" w:rsidRPr="00B15134" w:rsidRDefault="00702564" w:rsidP="00702564">
      <w:pPr>
        <w:spacing w:before="120"/>
        <w:rPr>
          <w:sz w:val="24"/>
          <w:szCs w:val="24"/>
        </w:rPr>
      </w:pPr>
      <w:r w:rsidRPr="3A20558F">
        <w:rPr>
          <w:b/>
          <w:bCs/>
          <w:sz w:val="24"/>
          <w:szCs w:val="24"/>
        </w:rPr>
        <w:t>Anafranil</w:t>
      </w:r>
      <w:r w:rsidRPr="3A20558F">
        <w:rPr>
          <w:sz w:val="24"/>
          <w:szCs w:val="24"/>
        </w:rPr>
        <w:t xml:space="preserve"> har ett smalt terapeutiskt fönster och det föreligger risk för toxiska effekter.</w:t>
      </w:r>
    </w:p>
    <w:p w14:paraId="50271619" w14:textId="77777777" w:rsidR="00702564" w:rsidRDefault="00702564" w:rsidP="00702564">
      <w:pPr>
        <w:spacing w:before="120"/>
        <w:rPr>
          <w:sz w:val="24"/>
          <w:szCs w:val="24"/>
        </w:rPr>
      </w:pPr>
      <w:r w:rsidRPr="00B15134">
        <w:rPr>
          <w:b/>
          <w:bCs/>
          <w:sz w:val="24"/>
          <w:szCs w:val="24"/>
        </w:rPr>
        <w:t>Pregabalin</w:t>
      </w:r>
      <w:r w:rsidRPr="00B15134">
        <w:rPr>
          <w:sz w:val="24"/>
          <w:szCs w:val="24"/>
        </w:rPr>
        <w:t xml:space="preserve"> har nackdelen att det finns risk för läkemedelsberoende framför allt hos dem som redan har ett annat beroende (inkl. tobak och alkohol).</w:t>
      </w:r>
      <w:r w:rsidRPr="00B15134">
        <w:rPr>
          <w:spacing w:val="-6"/>
          <w:sz w:val="24"/>
          <w:szCs w:val="24"/>
        </w:rPr>
        <w:t xml:space="preserve"> </w:t>
      </w:r>
      <w:r w:rsidRPr="00B15134">
        <w:rPr>
          <w:spacing w:val="4"/>
          <w:sz w:val="24"/>
          <w:szCs w:val="24"/>
        </w:rPr>
        <w:t>P</w:t>
      </w:r>
      <w:r w:rsidRPr="00B15134">
        <w:rPr>
          <w:spacing w:val="-6"/>
          <w:sz w:val="24"/>
          <w:szCs w:val="24"/>
        </w:rPr>
        <w:t>r</w:t>
      </w:r>
      <w:r w:rsidRPr="00B15134">
        <w:rPr>
          <w:sz w:val="24"/>
          <w:szCs w:val="24"/>
        </w:rPr>
        <w:t>e</w:t>
      </w:r>
      <w:r w:rsidRPr="00B15134">
        <w:rPr>
          <w:spacing w:val="-2"/>
          <w:sz w:val="24"/>
          <w:szCs w:val="24"/>
        </w:rPr>
        <w:t>g</w:t>
      </w:r>
      <w:r w:rsidRPr="00B15134">
        <w:rPr>
          <w:sz w:val="24"/>
          <w:szCs w:val="24"/>
        </w:rPr>
        <w:t>a</w:t>
      </w:r>
      <w:r w:rsidRPr="00B15134">
        <w:rPr>
          <w:spacing w:val="-3"/>
          <w:sz w:val="24"/>
          <w:szCs w:val="24"/>
        </w:rPr>
        <w:t>b</w:t>
      </w:r>
      <w:r w:rsidRPr="00B15134">
        <w:rPr>
          <w:spacing w:val="-2"/>
          <w:sz w:val="24"/>
          <w:szCs w:val="24"/>
        </w:rPr>
        <w:t>a</w:t>
      </w:r>
      <w:r w:rsidRPr="00B15134">
        <w:rPr>
          <w:sz w:val="24"/>
          <w:szCs w:val="24"/>
        </w:rPr>
        <w:t>lin</w:t>
      </w:r>
      <w:r w:rsidRPr="00B15134">
        <w:rPr>
          <w:spacing w:val="-6"/>
          <w:sz w:val="24"/>
          <w:szCs w:val="24"/>
        </w:rPr>
        <w:t xml:space="preserve"> </w:t>
      </w:r>
      <w:r w:rsidRPr="00B15134">
        <w:rPr>
          <w:spacing w:val="-5"/>
          <w:sz w:val="24"/>
          <w:szCs w:val="24"/>
        </w:rPr>
        <w:t>s</w:t>
      </w:r>
      <w:r w:rsidRPr="00B15134">
        <w:rPr>
          <w:sz w:val="24"/>
          <w:szCs w:val="24"/>
        </w:rPr>
        <w:t>ka</w:t>
      </w:r>
      <w:r w:rsidRPr="00B15134">
        <w:rPr>
          <w:spacing w:val="-6"/>
          <w:sz w:val="24"/>
          <w:szCs w:val="24"/>
        </w:rPr>
        <w:t xml:space="preserve"> därför </w:t>
      </w:r>
      <w:r w:rsidRPr="00B15134">
        <w:rPr>
          <w:spacing w:val="-2"/>
          <w:sz w:val="24"/>
          <w:szCs w:val="24"/>
        </w:rPr>
        <w:t>e</w:t>
      </w:r>
      <w:r w:rsidRPr="00B15134">
        <w:rPr>
          <w:spacing w:val="-1"/>
          <w:sz w:val="24"/>
          <w:szCs w:val="24"/>
        </w:rPr>
        <w:t>n</w:t>
      </w:r>
      <w:r w:rsidRPr="00B15134">
        <w:rPr>
          <w:spacing w:val="-3"/>
          <w:sz w:val="24"/>
          <w:szCs w:val="24"/>
        </w:rPr>
        <w:t>d</w:t>
      </w:r>
      <w:r w:rsidRPr="00B15134">
        <w:rPr>
          <w:spacing w:val="1"/>
          <w:sz w:val="24"/>
          <w:szCs w:val="24"/>
        </w:rPr>
        <w:t>a</w:t>
      </w:r>
      <w:r w:rsidRPr="00B15134">
        <w:rPr>
          <w:spacing w:val="-2"/>
          <w:sz w:val="24"/>
          <w:szCs w:val="24"/>
        </w:rPr>
        <w:t>s</w:t>
      </w:r>
      <w:r w:rsidRPr="00B15134">
        <w:rPr>
          <w:sz w:val="24"/>
          <w:szCs w:val="24"/>
        </w:rPr>
        <w:t>t</w:t>
      </w:r>
      <w:r w:rsidRPr="00B15134">
        <w:rPr>
          <w:spacing w:val="-8"/>
          <w:sz w:val="24"/>
          <w:szCs w:val="24"/>
        </w:rPr>
        <w:t xml:space="preserve"> </w:t>
      </w:r>
      <w:r w:rsidRPr="00B15134">
        <w:rPr>
          <w:sz w:val="24"/>
          <w:szCs w:val="24"/>
        </w:rPr>
        <w:t>a</w:t>
      </w:r>
      <w:r w:rsidRPr="00B15134">
        <w:rPr>
          <w:spacing w:val="-1"/>
          <w:sz w:val="24"/>
          <w:szCs w:val="24"/>
        </w:rPr>
        <w:t>n</w:t>
      </w:r>
      <w:r w:rsidRPr="00B15134">
        <w:rPr>
          <w:spacing w:val="-3"/>
          <w:sz w:val="24"/>
          <w:szCs w:val="24"/>
        </w:rPr>
        <w:t>v</w:t>
      </w:r>
      <w:r w:rsidRPr="00B15134">
        <w:rPr>
          <w:spacing w:val="-2"/>
          <w:sz w:val="24"/>
          <w:szCs w:val="24"/>
        </w:rPr>
        <w:t>ä</w:t>
      </w:r>
      <w:r w:rsidRPr="00B15134">
        <w:rPr>
          <w:spacing w:val="-1"/>
          <w:sz w:val="24"/>
          <w:szCs w:val="24"/>
        </w:rPr>
        <w:t>n</w:t>
      </w:r>
      <w:r w:rsidRPr="00B15134">
        <w:rPr>
          <w:spacing w:val="-3"/>
          <w:sz w:val="24"/>
          <w:szCs w:val="24"/>
        </w:rPr>
        <w:t>d</w:t>
      </w:r>
      <w:r w:rsidRPr="00B15134">
        <w:rPr>
          <w:spacing w:val="-4"/>
          <w:sz w:val="24"/>
          <w:szCs w:val="24"/>
        </w:rPr>
        <w:t>a</w:t>
      </w:r>
      <w:r w:rsidRPr="00B15134">
        <w:rPr>
          <w:sz w:val="24"/>
          <w:szCs w:val="24"/>
        </w:rPr>
        <w:t>s</w:t>
      </w:r>
      <w:r w:rsidRPr="00B15134">
        <w:rPr>
          <w:spacing w:val="-5"/>
          <w:sz w:val="24"/>
          <w:szCs w:val="24"/>
        </w:rPr>
        <w:t xml:space="preserve"> </w:t>
      </w:r>
      <w:r w:rsidRPr="00B15134">
        <w:rPr>
          <w:spacing w:val="-8"/>
          <w:sz w:val="24"/>
          <w:szCs w:val="24"/>
        </w:rPr>
        <w:t>n</w:t>
      </w:r>
      <w:r w:rsidRPr="00B15134">
        <w:rPr>
          <w:sz w:val="24"/>
          <w:szCs w:val="24"/>
        </w:rPr>
        <w:t>är</w:t>
      </w:r>
      <w:r w:rsidRPr="00B15134">
        <w:rPr>
          <w:spacing w:val="-8"/>
          <w:sz w:val="24"/>
          <w:szCs w:val="24"/>
        </w:rPr>
        <w:t xml:space="preserve"> </w:t>
      </w:r>
      <w:r w:rsidRPr="00B15134">
        <w:rPr>
          <w:spacing w:val="-2"/>
          <w:sz w:val="24"/>
          <w:szCs w:val="24"/>
        </w:rPr>
        <w:t>a</w:t>
      </w:r>
      <w:r w:rsidRPr="00B15134">
        <w:rPr>
          <w:spacing w:val="-1"/>
          <w:sz w:val="24"/>
          <w:szCs w:val="24"/>
        </w:rPr>
        <w:t>n</w:t>
      </w:r>
      <w:r w:rsidRPr="00B15134">
        <w:rPr>
          <w:sz w:val="24"/>
          <w:szCs w:val="24"/>
        </w:rPr>
        <w:t>d</w:t>
      </w:r>
      <w:r w:rsidRPr="00B15134">
        <w:rPr>
          <w:spacing w:val="-1"/>
          <w:sz w:val="24"/>
          <w:szCs w:val="24"/>
        </w:rPr>
        <w:t>r</w:t>
      </w:r>
      <w:r w:rsidRPr="00B15134">
        <w:rPr>
          <w:sz w:val="24"/>
          <w:szCs w:val="24"/>
        </w:rPr>
        <w:t>a</w:t>
      </w:r>
      <w:r w:rsidRPr="00B15134">
        <w:rPr>
          <w:spacing w:val="-6"/>
          <w:sz w:val="24"/>
          <w:szCs w:val="24"/>
        </w:rPr>
        <w:t xml:space="preserve"> </w:t>
      </w:r>
      <w:r w:rsidRPr="00B15134">
        <w:rPr>
          <w:spacing w:val="1"/>
          <w:sz w:val="24"/>
          <w:szCs w:val="24"/>
        </w:rPr>
        <w:t>a</w:t>
      </w:r>
      <w:r w:rsidRPr="00B15134">
        <w:rPr>
          <w:sz w:val="24"/>
          <w:szCs w:val="24"/>
        </w:rPr>
        <w:t>l</w:t>
      </w:r>
      <w:r w:rsidRPr="00B15134">
        <w:rPr>
          <w:spacing w:val="-3"/>
          <w:sz w:val="24"/>
          <w:szCs w:val="24"/>
        </w:rPr>
        <w:t>t</w:t>
      </w:r>
      <w:r w:rsidRPr="00B15134">
        <w:rPr>
          <w:sz w:val="24"/>
          <w:szCs w:val="24"/>
        </w:rPr>
        <w:t>e</w:t>
      </w:r>
      <w:r w:rsidRPr="00B15134">
        <w:rPr>
          <w:spacing w:val="-4"/>
          <w:sz w:val="24"/>
          <w:szCs w:val="24"/>
        </w:rPr>
        <w:t>r</w:t>
      </w:r>
      <w:r w:rsidRPr="00B15134">
        <w:rPr>
          <w:spacing w:val="-1"/>
          <w:sz w:val="24"/>
          <w:szCs w:val="24"/>
        </w:rPr>
        <w:t>n</w:t>
      </w:r>
      <w:r w:rsidRPr="00B15134">
        <w:rPr>
          <w:spacing w:val="-2"/>
          <w:sz w:val="24"/>
          <w:szCs w:val="24"/>
        </w:rPr>
        <w:t>a</w:t>
      </w:r>
      <w:r w:rsidRPr="00B15134">
        <w:rPr>
          <w:spacing w:val="-1"/>
          <w:sz w:val="24"/>
          <w:szCs w:val="24"/>
        </w:rPr>
        <w:t>t</w:t>
      </w:r>
      <w:r w:rsidRPr="00B15134">
        <w:rPr>
          <w:sz w:val="24"/>
          <w:szCs w:val="24"/>
        </w:rPr>
        <w:t>iv</w:t>
      </w:r>
      <w:r w:rsidRPr="00B15134">
        <w:rPr>
          <w:spacing w:val="-9"/>
          <w:sz w:val="24"/>
          <w:szCs w:val="24"/>
        </w:rPr>
        <w:t xml:space="preserve"> </w:t>
      </w:r>
      <w:r w:rsidRPr="00B15134">
        <w:rPr>
          <w:sz w:val="24"/>
          <w:szCs w:val="24"/>
        </w:rPr>
        <w:t>in</w:t>
      </w:r>
      <w:r w:rsidRPr="00B15134">
        <w:rPr>
          <w:spacing w:val="-3"/>
          <w:sz w:val="24"/>
          <w:szCs w:val="24"/>
        </w:rPr>
        <w:t>t</w:t>
      </w:r>
      <w:r w:rsidRPr="00B15134">
        <w:rPr>
          <w:sz w:val="24"/>
          <w:szCs w:val="24"/>
        </w:rPr>
        <w:t>e</w:t>
      </w:r>
      <w:r w:rsidRPr="00B15134">
        <w:rPr>
          <w:w w:val="99"/>
          <w:sz w:val="24"/>
          <w:szCs w:val="24"/>
        </w:rPr>
        <w:t xml:space="preserve"> </w:t>
      </w:r>
      <w:r w:rsidRPr="00B15134">
        <w:rPr>
          <w:spacing w:val="2"/>
          <w:sz w:val="24"/>
          <w:szCs w:val="24"/>
        </w:rPr>
        <w:t>f</w:t>
      </w:r>
      <w:r w:rsidRPr="00B15134">
        <w:rPr>
          <w:spacing w:val="-3"/>
          <w:sz w:val="24"/>
          <w:szCs w:val="24"/>
        </w:rPr>
        <w:t>un</w:t>
      </w:r>
      <w:r w:rsidRPr="00B15134">
        <w:rPr>
          <w:spacing w:val="-2"/>
          <w:sz w:val="24"/>
          <w:szCs w:val="24"/>
        </w:rPr>
        <w:t>g</w:t>
      </w:r>
      <w:r w:rsidRPr="00B15134">
        <w:rPr>
          <w:sz w:val="24"/>
          <w:szCs w:val="24"/>
        </w:rPr>
        <w:t>e</w:t>
      </w:r>
      <w:r w:rsidRPr="00B15134">
        <w:rPr>
          <w:spacing w:val="-1"/>
          <w:sz w:val="24"/>
          <w:szCs w:val="24"/>
        </w:rPr>
        <w:t>r</w:t>
      </w:r>
      <w:r w:rsidRPr="00B15134">
        <w:rPr>
          <w:sz w:val="24"/>
          <w:szCs w:val="24"/>
        </w:rPr>
        <w:t>at.</w:t>
      </w:r>
    </w:p>
    <w:p w14:paraId="0687A5FC" w14:textId="77777777" w:rsidR="00702564" w:rsidRPr="00171195" w:rsidRDefault="00702564" w:rsidP="00702564">
      <w:pPr>
        <w:pStyle w:val="Rubrik3"/>
      </w:pPr>
      <w:r>
        <w:t>Länkar och referenser</w:t>
      </w:r>
    </w:p>
    <w:p w14:paraId="1CF7736A" w14:textId="77777777" w:rsidR="00702564" w:rsidRDefault="00702564" w:rsidP="00702564">
      <w:pPr>
        <w:spacing w:before="120"/>
        <w:rPr>
          <w:rStyle w:val="Hyperlnk"/>
        </w:rPr>
      </w:pPr>
      <w:hyperlink r:id="rId174" w:history="1">
        <w:r w:rsidRPr="0028434E">
          <w:rPr>
            <w:rStyle w:val="Hyperlnk"/>
          </w:rPr>
          <w:t xml:space="preserve">Läkemedelsboken </w:t>
        </w:r>
        <w:r>
          <w:rPr>
            <w:rStyle w:val="Hyperlnk"/>
          </w:rPr>
          <w:t>2015, Ångest och oro</w:t>
        </w:r>
      </w:hyperlink>
    </w:p>
    <w:p w14:paraId="5C136C31" w14:textId="77777777" w:rsidR="00702564" w:rsidRPr="008453A0" w:rsidRDefault="00702564" w:rsidP="00702564">
      <w:pPr>
        <w:spacing w:before="120"/>
        <w:rPr>
          <w:rStyle w:val="Hyperlnk"/>
          <w:sz w:val="24"/>
          <w:szCs w:val="24"/>
        </w:rPr>
      </w:pPr>
      <w:hyperlink r:id="rId175" w:history="1">
        <w:r w:rsidRPr="008453A0">
          <w:rPr>
            <w:rStyle w:val="Hyperlnk"/>
            <w:sz w:val="24"/>
            <w:szCs w:val="24"/>
          </w:rPr>
          <w:t>HAD</w:t>
        </w:r>
      </w:hyperlink>
    </w:p>
    <w:p w14:paraId="702A86F7" w14:textId="77777777" w:rsidR="00702564" w:rsidRPr="008453A0" w:rsidRDefault="00702564" w:rsidP="00702564">
      <w:pPr>
        <w:spacing w:before="120"/>
        <w:rPr>
          <w:rStyle w:val="Hyperlnk"/>
          <w:sz w:val="24"/>
          <w:szCs w:val="24"/>
        </w:rPr>
      </w:pPr>
      <w:hyperlink r:id="rId176" w:history="1">
        <w:r w:rsidRPr="008453A0">
          <w:rPr>
            <w:rStyle w:val="Hyperlnk"/>
            <w:sz w:val="24"/>
            <w:szCs w:val="24"/>
          </w:rPr>
          <w:t>AUDIT</w:t>
        </w:r>
      </w:hyperlink>
    </w:p>
    <w:p w14:paraId="2A88928A" w14:textId="77777777" w:rsidR="00702564" w:rsidRPr="008453A0" w:rsidRDefault="00702564" w:rsidP="00702564">
      <w:pPr>
        <w:spacing w:before="120"/>
        <w:rPr>
          <w:rStyle w:val="Hyperlnk"/>
          <w:sz w:val="24"/>
          <w:szCs w:val="24"/>
        </w:rPr>
      </w:pPr>
      <w:hyperlink r:id="rId177" w:history="1">
        <w:r w:rsidRPr="008453A0">
          <w:rPr>
            <w:color w:val="0000FF"/>
            <w:sz w:val="24"/>
            <w:szCs w:val="24"/>
            <w:u w:val="single"/>
          </w:rPr>
          <w:t>Nationella riktlinjer för vård vid depression och ångestsyndrom - Socialstyrelsen</w:t>
        </w:r>
      </w:hyperlink>
      <w:r>
        <w:rPr>
          <w:color w:val="0000FF"/>
          <w:sz w:val="24"/>
          <w:szCs w:val="24"/>
          <w:u w:val="single"/>
        </w:rPr>
        <w:t xml:space="preserve"> 2021</w:t>
      </w:r>
    </w:p>
    <w:p w14:paraId="546A85AF" w14:textId="77777777" w:rsidR="00702564" w:rsidRDefault="00702564" w:rsidP="00702564">
      <w:pPr>
        <w:spacing w:before="120"/>
        <w:rPr>
          <w:sz w:val="24"/>
          <w:szCs w:val="24"/>
        </w:rPr>
      </w:pPr>
      <w:r w:rsidRPr="3A20558F">
        <w:rPr>
          <w:sz w:val="24"/>
          <w:szCs w:val="24"/>
        </w:rPr>
        <w:t>FAS UT 3, Att utvärdera, ifrågasätta och skonsamt avsluta läkemedelsbehandling, Claes Lundgren, 2010, ISBN 978-91-633-7637-5.</w:t>
      </w:r>
    </w:p>
    <w:p w14:paraId="15976457" w14:textId="77777777" w:rsidR="00702564" w:rsidRDefault="00702564" w:rsidP="00702564">
      <w:pPr>
        <w:tabs>
          <w:tab w:val="clear" w:pos="284"/>
        </w:tabs>
        <w:spacing w:after="120" w:line="260" w:lineRule="atLeast"/>
        <w:rPr>
          <w:sz w:val="24"/>
          <w:szCs w:val="24"/>
        </w:rPr>
      </w:pPr>
      <w:r>
        <w:rPr>
          <w:sz w:val="24"/>
          <w:szCs w:val="24"/>
        </w:rPr>
        <w:br w:type="page"/>
      </w:r>
    </w:p>
    <w:p w14:paraId="6BF1284E" w14:textId="77777777" w:rsidR="00702564" w:rsidRPr="008A5053" w:rsidRDefault="00702564" w:rsidP="00702564">
      <w:pPr>
        <w:pStyle w:val="Rubrik2"/>
      </w:pPr>
      <w:r>
        <w:lastRenderedPageBreak/>
        <w:t>Kognitiva sjukdomar</w:t>
      </w:r>
    </w:p>
    <w:p w14:paraId="1DA43C36" w14:textId="77777777" w:rsidR="00702564" w:rsidRPr="002068FD" w:rsidRDefault="00702564" w:rsidP="00702564">
      <w:pPr>
        <w:tabs>
          <w:tab w:val="clear" w:pos="284"/>
        </w:tabs>
        <w:autoSpaceDE w:val="0"/>
        <w:autoSpaceDN w:val="0"/>
        <w:adjustRightInd w:val="0"/>
        <w:spacing w:line="240" w:lineRule="auto"/>
        <w:rPr>
          <w:sz w:val="24"/>
          <w:szCs w:val="24"/>
        </w:rPr>
      </w:pPr>
      <w:r w:rsidRPr="3A20558F">
        <w:rPr>
          <w:rFonts w:asciiTheme="majorHAnsi" w:eastAsiaTheme="majorEastAsia" w:hAnsiTheme="majorHAnsi" w:cstheme="majorBidi"/>
          <w:b/>
          <w:bCs/>
        </w:rPr>
        <w:t>Senast uppdaterad 2020-12-10</w:t>
      </w:r>
    </w:p>
    <w:p w14:paraId="40A6B178" w14:textId="77777777" w:rsidR="00702564" w:rsidRPr="002068FD" w:rsidRDefault="00702564" w:rsidP="00702564">
      <w:pPr>
        <w:rPr>
          <w:sz w:val="24"/>
          <w:szCs w:val="24"/>
        </w:rPr>
      </w:pPr>
    </w:p>
    <w:tbl>
      <w:tblPr>
        <w:tblStyle w:val="RegionBlekinge-medlinjer"/>
        <w:tblW w:w="0" w:type="auto"/>
        <w:tblLook w:val="04A0" w:firstRow="1" w:lastRow="0" w:firstColumn="1" w:lastColumn="0" w:noHBand="0" w:noVBand="1"/>
      </w:tblPr>
      <w:tblGrid>
        <w:gridCol w:w="3963"/>
        <w:gridCol w:w="4679"/>
      </w:tblGrid>
      <w:tr w:rsidR="00702564" w:rsidRPr="008453A0" w14:paraId="712F3671" w14:textId="77777777" w:rsidTr="0063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2" w:type="dxa"/>
            <w:gridSpan w:val="2"/>
          </w:tcPr>
          <w:p w14:paraId="55F317DE" w14:textId="77777777" w:rsidR="00702564" w:rsidRPr="008453A0" w:rsidRDefault="00702564" w:rsidP="00632FCC">
            <w:pPr>
              <w:rPr>
                <w:b w:val="0"/>
                <w:sz w:val="24"/>
                <w:szCs w:val="24"/>
              </w:rPr>
            </w:pPr>
            <w:r w:rsidRPr="3A20558F">
              <w:rPr>
                <w:b w:val="0"/>
                <w:sz w:val="24"/>
                <w:szCs w:val="24"/>
              </w:rPr>
              <w:t>Vid säkerställd diagnos kan följande preparat övervägas:</w:t>
            </w:r>
          </w:p>
          <w:p w14:paraId="69E7803B" w14:textId="77777777" w:rsidR="00702564" w:rsidRPr="008453A0" w:rsidRDefault="00702564" w:rsidP="00632FCC">
            <w:pPr>
              <w:rPr>
                <w:sz w:val="24"/>
                <w:szCs w:val="24"/>
              </w:rPr>
            </w:pPr>
            <w:r w:rsidRPr="3A20558F">
              <w:rPr>
                <w:sz w:val="24"/>
                <w:szCs w:val="24"/>
              </w:rPr>
              <w:t>Alzheimertyp</w:t>
            </w:r>
          </w:p>
        </w:tc>
      </w:tr>
      <w:tr w:rsidR="00702564" w:rsidRPr="008453A0" w14:paraId="6577755D" w14:textId="77777777" w:rsidTr="00632FCC">
        <w:tc>
          <w:tcPr>
            <w:cnfStyle w:val="001000000000" w:firstRow="0" w:lastRow="0" w:firstColumn="1" w:lastColumn="0" w:oddVBand="0" w:evenVBand="0" w:oddHBand="0" w:evenHBand="0" w:firstRowFirstColumn="0" w:firstRowLastColumn="0" w:lastRowFirstColumn="0" w:lastRowLastColumn="0"/>
            <w:tcW w:w="8642" w:type="dxa"/>
            <w:gridSpan w:val="2"/>
          </w:tcPr>
          <w:p w14:paraId="3B48732E" w14:textId="77777777" w:rsidR="00702564" w:rsidRPr="008453A0" w:rsidRDefault="00702564" w:rsidP="00632FCC">
            <w:pPr>
              <w:rPr>
                <w:sz w:val="24"/>
                <w:szCs w:val="24"/>
              </w:rPr>
            </w:pPr>
          </w:p>
        </w:tc>
      </w:tr>
      <w:tr w:rsidR="00702564" w:rsidRPr="008453A0" w14:paraId="180F2933" w14:textId="77777777" w:rsidTr="00632FCC">
        <w:tc>
          <w:tcPr>
            <w:cnfStyle w:val="001000000000" w:firstRow="0" w:lastRow="0" w:firstColumn="1" w:lastColumn="0" w:oddVBand="0" w:evenVBand="0" w:oddHBand="0" w:evenHBand="0" w:firstRowFirstColumn="0" w:firstRowLastColumn="0" w:lastRowFirstColumn="0" w:lastRowLastColumn="0"/>
            <w:tcW w:w="8642" w:type="dxa"/>
            <w:gridSpan w:val="2"/>
          </w:tcPr>
          <w:p w14:paraId="32DE5FD4" w14:textId="77777777" w:rsidR="00702564" w:rsidRPr="008453A0" w:rsidRDefault="00702564" w:rsidP="00632FCC">
            <w:pPr>
              <w:rPr>
                <w:sz w:val="24"/>
                <w:szCs w:val="24"/>
              </w:rPr>
            </w:pPr>
            <w:r w:rsidRPr="3A20558F">
              <w:rPr>
                <w:sz w:val="24"/>
                <w:szCs w:val="24"/>
              </w:rPr>
              <w:t>Mild–måttlig</w:t>
            </w:r>
          </w:p>
        </w:tc>
      </w:tr>
      <w:tr w:rsidR="00702564" w:rsidRPr="008453A0" w14:paraId="0FA3B0C0" w14:textId="77777777" w:rsidTr="00632FCC">
        <w:tc>
          <w:tcPr>
            <w:cnfStyle w:val="001000000000" w:firstRow="0" w:lastRow="0" w:firstColumn="1" w:lastColumn="0" w:oddVBand="0" w:evenVBand="0" w:oddHBand="0" w:evenHBand="0" w:firstRowFirstColumn="0" w:firstRowLastColumn="0" w:lastRowFirstColumn="0" w:lastRowLastColumn="0"/>
            <w:tcW w:w="3963" w:type="dxa"/>
          </w:tcPr>
          <w:p w14:paraId="18AC538F" w14:textId="77777777" w:rsidR="00702564" w:rsidRPr="008453A0" w:rsidRDefault="00702564" w:rsidP="00632FCC">
            <w:pPr>
              <w:rPr>
                <w:sz w:val="24"/>
                <w:szCs w:val="24"/>
              </w:rPr>
            </w:pPr>
            <w:r w:rsidRPr="3A20558F">
              <w:rPr>
                <w:sz w:val="24"/>
                <w:szCs w:val="24"/>
              </w:rPr>
              <w:t>Kolinesterashämmare</w:t>
            </w:r>
          </w:p>
        </w:tc>
        <w:tc>
          <w:tcPr>
            <w:tcW w:w="4679" w:type="dxa"/>
          </w:tcPr>
          <w:p w14:paraId="260E5A1C"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sz w:val="24"/>
                <w:szCs w:val="24"/>
              </w:rPr>
            </w:pPr>
            <w:r w:rsidRPr="3A20558F">
              <w:rPr>
                <w:sz w:val="24"/>
                <w:szCs w:val="24"/>
              </w:rPr>
              <w:t>Donepezil</w:t>
            </w:r>
          </w:p>
        </w:tc>
      </w:tr>
      <w:tr w:rsidR="00702564" w:rsidRPr="008453A0" w14:paraId="0987D5C6" w14:textId="77777777" w:rsidTr="00632FCC">
        <w:tc>
          <w:tcPr>
            <w:cnfStyle w:val="001000000000" w:firstRow="0" w:lastRow="0" w:firstColumn="1" w:lastColumn="0" w:oddVBand="0" w:evenVBand="0" w:oddHBand="0" w:evenHBand="0" w:firstRowFirstColumn="0" w:firstRowLastColumn="0" w:lastRowFirstColumn="0" w:lastRowLastColumn="0"/>
            <w:tcW w:w="3963" w:type="dxa"/>
          </w:tcPr>
          <w:p w14:paraId="15C081A8" w14:textId="77777777" w:rsidR="00702564" w:rsidRPr="008453A0" w:rsidRDefault="00702564" w:rsidP="00632FCC">
            <w:pPr>
              <w:rPr>
                <w:sz w:val="24"/>
                <w:szCs w:val="24"/>
              </w:rPr>
            </w:pPr>
          </w:p>
        </w:tc>
        <w:tc>
          <w:tcPr>
            <w:tcW w:w="4679" w:type="dxa"/>
          </w:tcPr>
          <w:p w14:paraId="153ABD96"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sz w:val="24"/>
                <w:szCs w:val="24"/>
              </w:rPr>
            </w:pPr>
            <w:r w:rsidRPr="3A20558F">
              <w:rPr>
                <w:sz w:val="24"/>
                <w:szCs w:val="24"/>
              </w:rPr>
              <w:t>Rivastigmin</w:t>
            </w:r>
          </w:p>
        </w:tc>
      </w:tr>
      <w:tr w:rsidR="00702564" w:rsidRPr="008453A0" w14:paraId="3F692B33" w14:textId="77777777" w:rsidTr="00632FCC">
        <w:tc>
          <w:tcPr>
            <w:cnfStyle w:val="001000000000" w:firstRow="0" w:lastRow="0" w:firstColumn="1" w:lastColumn="0" w:oddVBand="0" w:evenVBand="0" w:oddHBand="0" w:evenHBand="0" w:firstRowFirstColumn="0" w:firstRowLastColumn="0" w:lastRowFirstColumn="0" w:lastRowLastColumn="0"/>
            <w:tcW w:w="3963" w:type="dxa"/>
          </w:tcPr>
          <w:p w14:paraId="3B20BBD6" w14:textId="77777777" w:rsidR="00702564" w:rsidRPr="008453A0" w:rsidRDefault="00702564" w:rsidP="00632FCC">
            <w:pPr>
              <w:rPr>
                <w:sz w:val="24"/>
                <w:szCs w:val="24"/>
              </w:rPr>
            </w:pPr>
          </w:p>
        </w:tc>
        <w:tc>
          <w:tcPr>
            <w:tcW w:w="4679" w:type="dxa"/>
          </w:tcPr>
          <w:p w14:paraId="71D2CF57"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sz w:val="24"/>
                <w:szCs w:val="24"/>
              </w:rPr>
            </w:pPr>
            <w:r w:rsidRPr="3A20558F">
              <w:rPr>
                <w:sz w:val="24"/>
                <w:szCs w:val="24"/>
              </w:rPr>
              <w:t>Galantamin</w:t>
            </w:r>
          </w:p>
        </w:tc>
      </w:tr>
      <w:tr w:rsidR="00702564" w:rsidRPr="008453A0" w14:paraId="0027EA19" w14:textId="77777777" w:rsidTr="00632FCC">
        <w:tc>
          <w:tcPr>
            <w:cnfStyle w:val="001000000000" w:firstRow="0" w:lastRow="0" w:firstColumn="1" w:lastColumn="0" w:oddVBand="0" w:evenVBand="0" w:oddHBand="0" w:evenHBand="0" w:firstRowFirstColumn="0" w:firstRowLastColumn="0" w:lastRowFirstColumn="0" w:lastRowLastColumn="0"/>
            <w:tcW w:w="8642" w:type="dxa"/>
            <w:gridSpan w:val="2"/>
          </w:tcPr>
          <w:p w14:paraId="40AB2143" w14:textId="77777777" w:rsidR="00702564" w:rsidRPr="008453A0" w:rsidRDefault="00702564" w:rsidP="00632FCC">
            <w:pPr>
              <w:rPr>
                <w:sz w:val="24"/>
                <w:szCs w:val="24"/>
              </w:rPr>
            </w:pPr>
          </w:p>
        </w:tc>
      </w:tr>
      <w:tr w:rsidR="00702564" w:rsidRPr="008453A0" w14:paraId="107088FC" w14:textId="77777777" w:rsidTr="00632FCC">
        <w:tc>
          <w:tcPr>
            <w:cnfStyle w:val="001000000000" w:firstRow="0" w:lastRow="0" w:firstColumn="1" w:lastColumn="0" w:oddVBand="0" w:evenVBand="0" w:oddHBand="0" w:evenHBand="0" w:firstRowFirstColumn="0" w:firstRowLastColumn="0" w:lastRowFirstColumn="0" w:lastRowLastColumn="0"/>
            <w:tcW w:w="8642" w:type="dxa"/>
            <w:gridSpan w:val="2"/>
          </w:tcPr>
          <w:p w14:paraId="164C83FF" w14:textId="77777777" w:rsidR="00702564" w:rsidRPr="008453A0" w:rsidRDefault="00702564" w:rsidP="00632FCC">
            <w:pPr>
              <w:rPr>
                <w:sz w:val="24"/>
                <w:szCs w:val="24"/>
              </w:rPr>
            </w:pPr>
            <w:r w:rsidRPr="3A20558F">
              <w:rPr>
                <w:sz w:val="24"/>
                <w:szCs w:val="24"/>
              </w:rPr>
              <w:t>Måttlig–svår</w:t>
            </w:r>
          </w:p>
        </w:tc>
      </w:tr>
      <w:tr w:rsidR="00702564" w:rsidRPr="008453A0" w14:paraId="47B01F03" w14:textId="77777777" w:rsidTr="00632FCC">
        <w:tc>
          <w:tcPr>
            <w:cnfStyle w:val="001000000000" w:firstRow="0" w:lastRow="0" w:firstColumn="1" w:lastColumn="0" w:oddVBand="0" w:evenVBand="0" w:oddHBand="0" w:evenHBand="0" w:firstRowFirstColumn="0" w:firstRowLastColumn="0" w:lastRowFirstColumn="0" w:lastRowLastColumn="0"/>
            <w:tcW w:w="3963" w:type="dxa"/>
          </w:tcPr>
          <w:p w14:paraId="4843E7FF" w14:textId="77777777" w:rsidR="00702564" w:rsidRPr="008453A0" w:rsidRDefault="00702564" w:rsidP="00632FCC">
            <w:pPr>
              <w:rPr>
                <w:sz w:val="24"/>
                <w:szCs w:val="24"/>
              </w:rPr>
            </w:pPr>
            <w:r w:rsidRPr="3A20558F">
              <w:rPr>
                <w:sz w:val="24"/>
                <w:szCs w:val="24"/>
              </w:rPr>
              <w:t>Memantin</w:t>
            </w:r>
          </w:p>
        </w:tc>
        <w:tc>
          <w:tcPr>
            <w:tcW w:w="4679" w:type="dxa"/>
          </w:tcPr>
          <w:p w14:paraId="7027F35D" w14:textId="77777777" w:rsidR="00702564" w:rsidRPr="008453A0" w:rsidRDefault="00702564" w:rsidP="00632FCC">
            <w:pPr>
              <w:cnfStyle w:val="000000000000" w:firstRow="0" w:lastRow="0" w:firstColumn="0" w:lastColumn="0" w:oddVBand="0" w:evenVBand="0" w:oddHBand="0" w:evenHBand="0" w:firstRowFirstColumn="0" w:firstRowLastColumn="0" w:lastRowFirstColumn="0" w:lastRowLastColumn="0"/>
              <w:rPr>
                <w:sz w:val="24"/>
                <w:szCs w:val="24"/>
              </w:rPr>
            </w:pPr>
            <w:r w:rsidRPr="3A20558F">
              <w:rPr>
                <w:sz w:val="24"/>
                <w:szCs w:val="24"/>
              </w:rPr>
              <w:t>Memantin</w:t>
            </w:r>
          </w:p>
        </w:tc>
      </w:tr>
      <w:tr w:rsidR="00702564" w:rsidRPr="008453A0" w14:paraId="578A0560" w14:textId="77777777" w:rsidTr="00632FCC">
        <w:tc>
          <w:tcPr>
            <w:cnfStyle w:val="001000000000" w:firstRow="0" w:lastRow="0" w:firstColumn="1" w:lastColumn="0" w:oddVBand="0" w:evenVBand="0" w:oddHBand="0" w:evenHBand="0" w:firstRowFirstColumn="0" w:firstRowLastColumn="0" w:lastRowFirstColumn="0" w:lastRowLastColumn="0"/>
            <w:tcW w:w="8642" w:type="dxa"/>
            <w:gridSpan w:val="2"/>
          </w:tcPr>
          <w:p w14:paraId="4AA2830A" w14:textId="77777777" w:rsidR="00702564" w:rsidRPr="008453A0" w:rsidRDefault="00702564" w:rsidP="00632FCC">
            <w:pPr>
              <w:rPr>
                <w:b w:val="0"/>
                <w:sz w:val="24"/>
                <w:szCs w:val="24"/>
              </w:rPr>
            </w:pPr>
            <w:r w:rsidRPr="3A20558F">
              <w:rPr>
                <w:b w:val="0"/>
                <w:sz w:val="24"/>
                <w:szCs w:val="24"/>
              </w:rPr>
              <w:t>Som tillägg till kolinesterashämmare eller i monoterapi.</w:t>
            </w:r>
          </w:p>
        </w:tc>
      </w:tr>
    </w:tbl>
    <w:p w14:paraId="64FD1F8C" w14:textId="77777777" w:rsidR="00702564" w:rsidRDefault="00702564" w:rsidP="00702564">
      <w:pPr>
        <w:tabs>
          <w:tab w:val="clear" w:pos="284"/>
        </w:tabs>
        <w:spacing w:after="120" w:line="260" w:lineRule="atLeast"/>
        <w:rPr>
          <w:rFonts w:asciiTheme="majorHAnsi" w:eastAsiaTheme="majorEastAsia" w:hAnsiTheme="majorHAnsi"/>
          <w:b/>
          <w:bCs/>
          <w:sz w:val="28"/>
          <w:szCs w:val="26"/>
        </w:rPr>
      </w:pPr>
    </w:p>
    <w:p w14:paraId="5DB0185F" w14:textId="77777777" w:rsidR="00702564" w:rsidRPr="005A4B57" w:rsidRDefault="00702564" w:rsidP="00702564">
      <w:pPr>
        <w:pStyle w:val="Rubrik2"/>
      </w:pPr>
      <w:r>
        <w:t>Inledning</w:t>
      </w:r>
    </w:p>
    <w:p w14:paraId="749D086E" w14:textId="266E546D" w:rsidR="00702564" w:rsidRPr="00067550" w:rsidRDefault="00702564" w:rsidP="00702564">
      <w:pPr>
        <w:spacing w:before="120"/>
        <w:rPr>
          <w:rFonts w:cs="Garamond"/>
          <w:sz w:val="24"/>
          <w:szCs w:val="24"/>
        </w:rPr>
      </w:pPr>
      <w:r w:rsidRPr="3A20558F">
        <w:rPr>
          <w:rFonts w:cs="Garamond"/>
          <w:sz w:val="24"/>
          <w:szCs w:val="24"/>
        </w:rPr>
        <w:t>Kognitiva sjukdomar är ett samlingsbegrepp för olika sjukdomar där hjärnans högre funktioner sviktar vilket leder till nedsatt funktionsförmåga för individen. Kognitiva störningar är kostsamma för samhället. Det är viktigt med tidig utredning och adekvat diagnos för tidig optimal behandling och ökad livskvalité.</w:t>
      </w:r>
      <w:r w:rsidR="00067550">
        <w:rPr>
          <w:rFonts w:cs="Garamond"/>
          <w:sz w:val="24"/>
          <w:szCs w:val="24"/>
        </w:rPr>
        <w:t xml:space="preserve"> </w:t>
      </w:r>
      <w:r w:rsidR="00067550">
        <w:rPr>
          <w:rFonts w:cs="Garamond"/>
          <w:sz w:val="24"/>
          <w:szCs w:val="24"/>
        </w:rPr>
        <w:br/>
      </w:r>
      <w:r w:rsidRPr="3A20558F">
        <w:rPr>
          <w:rFonts w:cs="Garamond"/>
          <w:sz w:val="24"/>
          <w:szCs w:val="24"/>
        </w:rPr>
        <w:t xml:space="preserve">I Sverige nyinsjuknar årligen 20 000–25 000 personer i kognitiva sjukdomar och idag finns det 130 000–150 000 personer med kognitiv sjukdom. Antalet personer med kognitiva sjukdomar kommer att öka kraftigt de kommande åren då fler lever längre och risken för kognitiva sjukdomar ökar med stigande ålder. </w:t>
      </w:r>
    </w:p>
    <w:p w14:paraId="47595BEC" w14:textId="77777777" w:rsidR="00702564" w:rsidRPr="002E70DC" w:rsidRDefault="00702564" w:rsidP="00702564">
      <w:pPr>
        <w:spacing w:before="120"/>
        <w:rPr>
          <w:rFonts w:cs="Garamond"/>
          <w:sz w:val="24"/>
          <w:szCs w:val="24"/>
        </w:rPr>
      </w:pPr>
      <w:r w:rsidRPr="3A20558F">
        <w:rPr>
          <w:rFonts w:cs="Garamond"/>
          <w:sz w:val="24"/>
          <w:szCs w:val="24"/>
        </w:rPr>
        <w:t>Det finns flera typer av kognitiva sjukdomar och de vanligaste är:</w:t>
      </w:r>
    </w:p>
    <w:p w14:paraId="4A283F3B" w14:textId="77777777" w:rsidR="00702564" w:rsidRPr="002E70DC" w:rsidRDefault="00702564" w:rsidP="00702564">
      <w:pPr>
        <w:pStyle w:val="Liststycke"/>
        <w:numPr>
          <w:ilvl w:val="0"/>
          <w:numId w:val="39"/>
        </w:numPr>
        <w:spacing w:before="120"/>
        <w:contextualSpacing/>
        <w:rPr>
          <w:rFonts w:cs="Garamond"/>
          <w:sz w:val="24"/>
          <w:szCs w:val="24"/>
        </w:rPr>
      </w:pPr>
      <w:r w:rsidRPr="3A20558F">
        <w:rPr>
          <w:rFonts w:cs="Garamond"/>
          <w:sz w:val="24"/>
          <w:szCs w:val="24"/>
        </w:rPr>
        <w:t>Alzheimertyp</w:t>
      </w:r>
    </w:p>
    <w:p w14:paraId="050E93C1" w14:textId="77777777" w:rsidR="00702564" w:rsidRPr="002E70DC" w:rsidRDefault="00702564" w:rsidP="00702564">
      <w:pPr>
        <w:pStyle w:val="Liststycke"/>
        <w:numPr>
          <w:ilvl w:val="0"/>
          <w:numId w:val="39"/>
        </w:numPr>
        <w:spacing w:before="120"/>
        <w:contextualSpacing/>
        <w:rPr>
          <w:rFonts w:cs="Garamond"/>
          <w:sz w:val="24"/>
          <w:szCs w:val="24"/>
        </w:rPr>
      </w:pPr>
      <w:r w:rsidRPr="3A20558F">
        <w:rPr>
          <w:rFonts w:cs="Garamond"/>
          <w:sz w:val="24"/>
          <w:szCs w:val="24"/>
        </w:rPr>
        <w:t>Vaskulär typ</w:t>
      </w:r>
    </w:p>
    <w:p w14:paraId="1B46F402" w14:textId="77777777" w:rsidR="00702564" w:rsidRPr="002E70DC" w:rsidRDefault="00702564" w:rsidP="00702564">
      <w:pPr>
        <w:pStyle w:val="Liststycke"/>
        <w:numPr>
          <w:ilvl w:val="0"/>
          <w:numId w:val="39"/>
        </w:numPr>
        <w:spacing w:before="120"/>
        <w:contextualSpacing/>
        <w:rPr>
          <w:rFonts w:cs="Garamond"/>
          <w:sz w:val="24"/>
          <w:szCs w:val="24"/>
        </w:rPr>
      </w:pPr>
      <w:r w:rsidRPr="3A20558F">
        <w:rPr>
          <w:rFonts w:cs="Garamond"/>
          <w:sz w:val="24"/>
          <w:szCs w:val="24"/>
        </w:rPr>
        <w:t>Lewykroppstyp (Lewybody)</w:t>
      </w:r>
    </w:p>
    <w:p w14:paraId="0C0BC09B" w14:textId="77777777" w:rsidR="00702564" w:rsidRPr="002E70DC" w:rsidRDefault="00702564" w:rsidP="00702564">
      <w:pPr>
        <w:pStyle w:val="Liststycke"/>
        <w:numPr>
          <w:ilvl w:val="0"/>
          <w:numId w:val="39"/>
        </w:numPr>
        <w:spacing w:before="120"/>
        <w:contextualSpacing/>
        <w:rPr>
          <w:rFonts w:cs="Garamond"/>
          <w:sz w:val="24"/>
          <w:szCs w:val="24"/>
        </w:rPr>
      </w:pPr>
      <w:r w:rsidRPr="3A20558F">
        <w:rPr>
          <w:rFonts w:cs="Garamond"/>
          <w:sz w:val="24"/>
          <w:szCs w:val="24"/>
        </w:rPr>
        <w:t>Parkinsontyp</w:t>
      </w:r>
    </w:p>
    <w:p w14:paraId="39E89F8C" w14:textId="77777777" w:rsidR="00702564" w:rsidRPr="002E70DC" w:rsidRDefault="00702564" w:rsidP="00702564">
      <w:pPr>
        <w:pStyle w:val="Liststycke"/>
        <w:numPr>
          <w:ilvl w:val="0"/>
          <w:numId w:val="39"/>
        </w:numPr>
        <w:spacing w:before="120"/>
        <w:contextualSpacing/>
        <w:rPr>
          <w:rFonts w:cs="Garamond"/>
          <w:sz w:val="24"/>
          <w:szCs w:val="24"/>
        </w:rPr>
      </w:pPr>
      <w:r w:rsidRPr="3A20558F">
        <w:rPr>
          <w:rFonts w:cs="Garamond"/>
          <w:sz w:val="24"/>
          <w:szCs w:val="24"/>
        </w:rPr>
        <w:t xml:space="preserve">Frontotemporal lobär degeneration </w:t>
      </w:r>
    </w:p>
    <w:p w14:paraId="2C3DA244" w14:textId="77777777" w:rsidR="00702564" w:rsidRDefault="00702564" w:rsidP="00702564">
      <w:pPr>
        <w:spacing w:before="120"/>
      </w:pPr>
    </w:p>
    <w:p w14:paraId="5386CD77" w14:textId="77777777" w:rsidR="00702564" w:rsidRPr="002E70DC" w:rsidRDefault="00702564" w:rsidP="00702564">
      <w:pPr>
        <w:spacing w:before="120"/>
        <w:contextualSpacing/>
        <w:rPr>
          <w:rFonts w:cs="Garamond"/>
          <w:sz w:val="24"/>
          <w:szCs w:val="24"/>
        </w:rPr>
      </w:pPr>
      <w:r w:rsidRPr="3A20558F">
        <w:rPr>
          <w:rFonts w:cs="Garamond"/>
          <w:sz w:val="24"/>
          <w:szCs w:val="24"/>
        </w:rPr>
        <w:t>De olika typerna kan förekomma samtidigt i blandform.</w:t>
      </w:r>
    </w:p>
    <w:p w14:paraId="758521FF" w14:textId="77777777" w:rsidR="00702564" w:rsidRDefault="00702564" w:rsidP="00702564"/>
    <w:p w14:paraId="0F7636B1" w14:textId="77777777" w:rsidR="00702564" w:rsidRPr="0071138D" w:rsidRDefault="00702564" w:rsidP="00702564">
      <w:pPr>
        <w:spacing w:before="120"/>
      </w:pPr>
      <w:r w:rsidRPr="3A20558F">
        <w:rPr>
          <w:rFonts w:asciiTheme="majorHAnsi" w:hAnsiTheme="majorHAnsi"/>
          <w:b/>
          <w:bCs/>
          <w:sz w:val="24"/>
          <w:szCs w:val="24"/>
        </w:rPr>
        <w:t>Alzheimertyp</w:t>
      </w:r>
      <w:r>
        <w:br/>
      </w:r>
      <w:r w:rsidRPr="3A20558F">
        <w:rPr>
          <w:rFonts w:cs="Garamond"/>
          <w:sz w:val="24"/>
          <w:szCs w:val="24"/>
        </w:rPr>
        <w:t xml:space="preserve">Minnesstörning och orienteringsnedsättning är tidiga tecken. Försämrade språkliga funktioner som t.ex. svårt att hitta rätt ord och namn kan också komma tidigt samt att den intellektuella förmågan begränsas i stressituationer. Depressiva symtom kan föregå de intellektuella (kognitiva) symtomen. Personen drar sig tillbaka socialt och får allt svårare att klara sig själv. I förloppet förekommer exekutiva nedsättningar och personen får svårigheter att lösa problem (t.ex. betala räkningar), läsa, se på TV, orientera sig och förstå </w:t>
      </w:r>
      <w:r w:rsidRPr="3A20558F">
        <w:rPr>
          <w:rFonts w:cs="Garamond"/>
          <w:sz w:val="24"/>
          <w:szCs w:val="24"/>
        </w:rPr>
        <w:lastRenderedPageBreak/>
        <w:t>komplexa resonemang. I senare stadier svårigheter att klara aktiviteter i dagliga livet (ADL).</w:t>
      </w:r>
      <w:r>
        <w:br/>
      </w:r>
    </w:p>
    <w:p w14:paraId="451CCBF0" w14:textId="77777777" w:rsidR="00702564" w:rsidRPr="008A5053" w:rsidRDefault="00702564" w:rsidP="00702564">
      <w:pPr>
        <w:spacing w:before="120"/>
        <w:rPr>
          <w:rFonts w:ascii="Corbel" w:hAnsi="Corbel"/>
          <w:b/>
          <w:bCs/>
          <w:sz w:val="24"/>
          <w:szCs w:val="24"/>
        </w:rPr>
      </w:pPr>
      <w:r w:rsidRPr="3A20558F">
        <w:rPr>
          <w:rFonts w:ascii="Corbel" w:hAnsi="Corbel"/>
          <w:b/>
          <w:bCs/>
          <w:sz w:val="24"/>
          <w:szCs w:val="24"/>
        </w:rPr>
        <w:t>Vaskulär typ</w:t>
      </w:r>
    </w:p>
    <w:p w14:paraId="7CC89365" w14:textId="77777777" w:rsidR="00702564" w:rsidRDefault="00702564" w:rsidP="00702564">
      <w:pPr>
        <w:spacing w:before="120"/>
        <w:contextualSpacing/>
        <w:rPr>
          <w:rFonts w:cs="Garamond"/>
          <w:sz w:val="24"/>
          <w:szCs w:val="24"/>
        </w:rPr>
      </w:pPr>
      <w:r w:rsidRPr="3A20558F">
        <w:rPr>
          <w:rFonts w:cs="Garamond"/>
          <w:sz w:val="24"/>
          <w:szCs w:val="24"/>
        </w:rPr>
        <w:t>Vaskulära riskfaktorer måste förekomma. Motorisk och psykisk förlångsamning samt nedsatt förmåga till målinriktad aktivitet är tidiga symtom. Minnesförsämring är ofta inte så påtaglig tidigt i förloppet. Neurologiska symtom är vanliga (t.ex. gångsvårigheter, visuospatiala nedsättningar och inkontinens).</w:t>
      </w:r>
    </w:p>
    <w:p w14:paraId="35CB8865" w14:textId="77777777" w:rsidR="00702564" w:rsidRDefault="00702564" w:rsidP="00702564">
      <w:pPr>
        <w:tabs>
          <w:tab w:val="clear" w:pos="284"/>
        </w:tabs>
        <w:spacing w:after="120" w:line="260" w:lineRule="atLeast"/>
        <w:rPr>
          <w:rFonts w:cs="Garamond"/>
          <w:sz w:val="24"/>
          <w:szCs w:val="24"/>
        </w:rPr>
      </w:pPr>
    </w:p>
    <w:p w14:paraId="5C3C6A86" w14:textId="77777777" w:rsidR="00702564" w:rsidRPr="008A5053" w:rsidRDefault="00702564" w:rsidP="00702564">
      <w:pPr>
        <w:spacing w:before="120"/>
        <w:rPr>
          <w:rFonts w:asciiTheme="majorHAnsi" w:hAnsiTheme="majorHAnsi"/>
          <w:b/>
          <w:bCs/>
          <w:sz w:val="24"/>
          <w:szCs w:val="24"/>
        </w:rPr>
      </w:pPr>
      <w:r w:rsidRPr="3A20558F">
        <w:rPr>
          <w:rFonts w:asciiTheme="majorHAnsi" w:hAnsiTheme="majorHAnsi"/>
          <w:b/>
          <w:bCs/>
          <w:sz w:val="24"/>
          <w:szCs w:val="24"/>
        </w:rPr>
        <w:t>Lewykroppstyp</w:t>
      </w:r>
    </w:p>
    <w:p w14:paraId="14CF7CBC" w14:textId="77777777" w:rsidR="00702564" w:rsidRPr="0071138D" w:rsidRDefault="00702564" w:rsidP="00702564">
      <w:pPr>
        <w:spacing w:before="120"/>
      </w:pPr>
      <w:r w:rsidRPr="3A20558F">
        <w:rPr>
          <w:rFonts w:cs="Garamond"/>
          <w:sz w:val="24"/>
          <w:szCs w:val="24"/>
        </w:rPr>
        <w:t>Parkinsonism, ortostatism, påverkad REM-sömn (tidigt tecken), synhallucinationer och fluktuation i tillståendet. Kognitiva symtom och minnessvikt framkommer senare i förloppet. Antipsykotiska läkemedel ska absolut undvikas eftersom den centrala verkningsmekanismen är dopaminblockad vilket förvärrar neurologiska symtom och kan orsaka utveckling av malignt neuroleptika syndrom. Undantaget är quetiapin (som har mer affinitet till 5HT2A-receptorer än till D2-receptorer) och klozapin (som har låg affinitet till D2-receptorer).</w:t>
      </w:r>
    </w:p>
    <w:p w14:paraId="76F0FAE8" w14:textId="77777777" w:rsidR="00702564" w:rsidRDefault="00702564" w:rsidP="00702564">
      <w:pPr>
        <w:spacing w:before="120"/>
        <w:rPr>
          <w:rFonts w:cs="Garamond"/>
          <w:sz w:val="24"/>
          <w:szCs w:val="24"/>
        </w:rPr>
      </w:pPr>
      <w:r w:rsidRPr="3A20558F">
        <w:rPr>
          <w:rFonts w:ascii="Corbel" w:hAnsi="Corbel"/>
          <w:b/>
          <w:bCs/>
          <w:sz w:val="24"/>
          <w:szCs w:val="24"/>
        </w:rPr>
        <w:t>Parkinsontyp</w:t>
      </w:r>
      <w:r>
        <w:br/>
      </w:r>
      <w:r w:rsidRPr="3A20558F">
        <w:rPr>
          <w:rFonts w:cs="Garamond"/>
          <w:sz w:val="24"/>
          <w:szCs w:val="24"/>
        </w:rPr>
        <w:t>Parkinsons sjukdom måste förekomma. Symtomen liknar de vid Lewybody typ men de motoriska symtomen föregår de kognitiva symtomen.</w:t>
      </w:r>
    </w:p>
    <w:p w14:paraId="15D6827B" w14:textId="77777777" w:rsidR="00702564" w:rsidRPr="0071138D" w:rsidRDefault="00702564" w:rsidP="00702564">
      <w:pPr>
        <w:spacing w:before="120"/>
      </w:pPr>
    </w:p>
    <w:p w14:paraId="6158673F" w14:textId="77777777" w:rsidR="00702564" w:rsidRPr="002E70DC" w:rsidRDefault="00702564" w:rsidP="00702564">
      <w:pPr>
        <w:spacing w:before="120"/>
        <w:rPr>
          <w:rFonts w:cs="Garamond"/>
          <w:sz w:val="24"/>
          <w:szCs w:val="24"/>
        </w:rPr>
      </w:pPr>
      <w:r w:rsidRPr="3A20558F">
        <w:rPr>
          <w:rFonts w:asciiTheme="majorHAnsi" w:hAnsiTheme="majorHAnsi"/>
          <w:b/>
          <w:bCs/>
          <w:sz w:val="24"/>
          <w:szCs w:val="24"/>
        </w:rPr>
        <w:t>Frontotemporal lobär degeneration</w:t>
      </w:r>
      <w:r>
        <w:br/>
      </w:r>
      <w:r w:rsidRPr="3A20558F">
        <w:rPr>
          <w:rFonts w:cs="Garamond"/>
          <w:sz w:val="24"/>
          <w:szCs w:val="24"/>
        </w:rPr>
        <w:t>Lägre ålder vid insjuknande än vid övriga kognitiva sjukdomar. Personlighetsförändringar med bristande insikt och omdöme och språkliga förändringar är tidiga symtom. Förändrad social förmåga. Emotionell avflackning. Minnesnedsättning kommer sent i förloppet.</w:t>
      </w:r>
    </w:p>
    <w:p w14:paraId="177DCF6E" w14:textId="77777777" w:rsidR="00702564" w:rsidRPr="0055305B" w:rsidRDefault="00702564" w:rsidP="00702564">
      <w:pPr>
        <w:pStyle w:val="Rubrik3"/>
        <w:rPr>
          <w:sz w:val="28"/>
          <w:szCs w:val="28"/>
        </w:rPr>
      </w:pPr>
      <w:r w:rsidRPr="0055305B">
        <w:rPr>
          <w:sz w:val="28"/>
          <w:szCs w:val="28"/>
        </w:rPr>
        <w:t>Behandlingsmål</w:t>
      </w:r>
    </w:p>
    <w:p w14:paraId="508B65E2" w14:textId="77777777" w:rsidR="00702564" w:rsidRPr="002E70DC" w:rsidRDefault="00702564" w:rsidP="00702564">
      <w:pPr>
        <w:spacing w:before="120"/>
        <w:rPr>
          <w:rFonts w:cs="Garamond"/>
          <w:sz w:val="24"/>
          <w:szCs w:val="24"/>
        </w:rPr>
      </w:pPr>
      <w:r w:rsidRPr="3A20558F">
        <w:rPr>
          <w:rFonts w:cs="Garamond"/>
          <w:sz w:val="24"/>
          <w:szCs w:val="24"/>
        </w:rPr>
        <w:t xml:space="preserve">Syftet med farmakologisk behandling är att påverka symtom och kognitiv förmåga, förbättra patientens och även anhörigas livskvalitet samt att fördröja utvecklingen av nya symtom. Detta kan i sin tur fördröjer patientens behov av särskilt boende eller akuta åtgärder som exempelvis inskrivning på sjukhus. </w:t>
      </w:r>
    </w:p>
    <w:p w14:paraId="0ED06E6A" w14:textId="77777777" w:rsidR="00702564" w:rsidRPr="0055305B" w:rsidRDefault="00702564" w:rsidP="00702564">
      <w:pPr>
        <w:pStyle w:val="Rubrik3"/>
        <w:rPr>
          <w:sz w:val="28"/>
          <w:szCs w:val="28"/>
        </w:rPr>
      </w:pPr>
      <w:r w:rsidRPr="0055305B">
        <w:rPr>
          <w:sz w:val="28"/>
          <w:szCs w:val="28"/>
        </w:rPr>
        <w:t>Utredning</w:t>
      </w:r>
    </w:p>
    <w:p w14:paraId="6D288DC8" w14:textId="77777777" w:rsidR="00702564" w:rsidRDefault="00702564" w:rsidP="00702564">
      <w:pPr>
        <w:spacing w:before="120"/>
        <w:rPr>
          <w:sz w:val="24"/>
          <w:szCs w:val="24"/>
        </w:rPr>
      </w:pPr>
      <w:r w:rsidRPr="002E70DC">
        <w:rPr>
          <w:rFonts w:cs="Garamond"/>
          <w:sz w:val="24"/>
          <w:szCs w:val="24"/>
        </w:rPr>
        <w:t>Den basala utredningen genomförs i första hand gemensamt av primärvårdsläkare och demenssjuksköterska.</w:t>
      </w:r>
      <w:r w:rsidRPr="002E70DC">
        <w:rPr>
          <w:sz w:val="24"/>
          <w:szCs w:val="24"/>
        </w:rPr>
        <w:t xml:space="preserve"> Utredningen syftar till att klargöra om personen har en kognitiv sjukdom eller annan sjukdom som kan orsaka symtomen. För mer information om utredning </w:t>
      </w:r>
      <w:r>
        <w:rPr>
          <w:sz w:val="24"/>
          <w:szCs w:val="24"/>
        </w:rPr>
        <w:br/>
      </w:r>
      <w:r w:rsidRPr="002E70DC">
        <w:rPr>
          <w:sz w:val="24"/>
          <w:szCs w:val="24"/>
        </w:rPr>
        <w:t xml:space="preserve">se </w:t>
      </w:r>
      <w:hyperlink r:id="rId178" w:history="1">
        <w:r w:rsidRPr="002E70DC">
          <w:rPr>
            <w:rStyle w:val="Hyperlnk"/>
            <w:sz w:val="24"/>
            <w:szCs w:val="24"/>
          </w:rPr>
          <w:t>Regionala riktlinjer – Utredning, vård och omsorg av personer med demenssjukdom i Blekinge</w:t>
        </w:r>
      </w:hyperlink>
      <w:r w:rsidRPr="002E70DC">
        <w:rPr>
          <w:sz w:val="24"/>
          <w:szCs w:val="24"/>
        </w:rPr>
        <w:t>.</w:t>
      </w:r>
    </w:p>
    <w:p w14:paraId="47D4111D" w14:textId="77777777" w:rsidR="00702564" w:rsidRDefault="00702564" w:rsidP="00702564">
      <w:pPr>
        <w:pStyle w:val="Rubrik3"/>
      </w:pPr>
      <w:r>
        <w:t xml:space="preserve">Basal utredning ska innehålla </w:t>
      </w:r>
    </w:p>
    <w:p w14:paraId="2DA16F43" w14:textId="77777777" w:rsidR="00702564" w:rsidRPr="002E70DC" w:rsidRDefault="00702564" w:rsidP="00702564">
      <w:pPr>
        <w:pStyle w:val="Liststycke"/>
        <w:numPr>
          <w:ilvl w:val="0"/>
          <w:numId w:val="40"/>
        </w:numPr>
        <w:spacing w:before="120"/>
        <w:contextualSpacing/>
        <w:rPr>
          <w:b/>
          <w:bCs/>
          <w:sz w:val="24"/>
          <w:szCs w:val="24"/>
        </w:rPr>
      </w:pPr>
      <w:r w:rsidRPr="3A20558F">
        <w:rPr>
          <w:sz w:val="24"/>
          <w:szCs w:val="24"/>
        </w:rPr>
        <w:t xml:space="preserve">strukturerad anamnes från patient och närstående </w:t>
      </w:r>
    </w:p>
    <w:p w14:paraId="25361C22" w14:textId="77777777" w:rsidR="00702564" w:rsidRPr="002E70DC" w:rsidRDefault="00702564" w:rsidP="00702564">
      <w:pPr>
        <w:pStyle w:val="Liststycke"/>
        <w:numPr>
          <w:ilvl w:val="0"/>
          <w:numId w:val="40"/>
        </w:numPr>
        <w:spacing w:before="120"/>
        <w:contextualSpacing/>
        <w:rPr>
          <w:b/>
          <w:bCs/>
          <w:sz w:val="24"/>
          <w:szCs w:val="24"/>
        </w:rPr>
      </w:pPr>
      <w:r w:rsidRPr="3A20558F">
        <w:rPr>
          <w:sz w:val="24"/>
          <w:szCs w:val="24"/>
        </w:rPr>
        <w:t xml:space="preserve">bedömning av fysisk och psykisk status </w:t>
      </w:r>
    </w:p>
    <w:p w14:paraId="27E20012" w14:textId="77777777" w:rsidR="00702564" w:rsidRPr="002E70DC" w:rsidRDefault="00702564" w:rsidP="00702564">
      <w:pPr>
        <w:pStyle w:val="Liststycke"/>
        <w:numPr>
          <w:ilvl w:val="0"/>
          <w:numId w:val="40"/>
        </w:numPr>
        <w:spacing w:before="120"/>
        <w:contextualSpacing/>
        <w:rPr>
          <w:b/>
          <w:bCs/>
          <w:sz w:val="24"/>
          <w:szCs w:val="24"/>
        </w:rPr>
      </w:pPr>
      <w:r w:rsidRPr="3A20558F">
        <w:rPr>
          <w:sz w:val="24"/>
          <w:szCs w:val="24"/>
        </w:rPr>
        <w:t xml:space="preserve">strukturerad bedömning av kognition, funktions- och aktivitetsförmåga </w:t>
      </w:r>
      <w:r>
        <w:br/>
      </w:r>
      <w:r w:rsidRPr="3A20558F">
        <w:rPr>
          <w:sz w:val="24"/>
          <w:szCs w:val="24"/>
        </w:rPr>
        <w:t>(MMSE, klocktest, kub-test)</w:t>
      </w:r>
    </w:p>
    <w:p w14:paraId="24298377" w14:textId="77777777" w:rsidR="00702564" w:rsidRPr="002E70DC" w:rsidRDefault="00702564" w:rsidP="00702564">
      <w:pPr>
        <w:pStyle w:val="Liststycke"/>
        <w:numPr>
          <w:ilvl w:val="0"/>
          <w:numId w:val="40"/>
        </w:numPr>
        <w:spacing w:before="120"/>
        <w:contextualSpacing/>
        <w:rPr>
          <w:b/>
          <w:bCs/>
          <w:sz w:val="24"/>
          <w:szCs w:val="24"/>
        </w:rPr>
      </w:pPr>
      <w:r w:rsidRPr="3A20558F">
        <w:rPr>
          <w:sz w:val="24"/>
          <w:szCs w:val="24"/>
        </w:rPr>
        <w:t>blodprovstagning och EKG</w:t>
      </w:r>
    </w:p>
    <w:p w14:paraId="67A5264C" w14:textId="77777777" w:rsidR="00702564" w:rsidRPr="002E70DC" w:rsidRDefault="00702564" w:rsidP="00702564">
      <w:pPr>
        <w:pStyle w:val="Liststycke"/>
        <w:numPr>
          <w:ilvl w:val="0"/>
          <w:numId w:val="40"/>
        </w:numPr>
        <w:spacing w:before="120"/>
        <w:contextualSpacing/>
        <w:rPr>
          <w:b/>
          <w:bCs/>
          <w:sz w:val="24"/>
          <w:szCs w:val="24"/>
        </w:rPr>
      </w:pPr>
      <w:r w:rsidRPr="3A20558F">
        <w:rPr>
          <w:sz w:val="24"/>
          <w:szCs w:val="24"/>
        </w:rPr>
        <w:t>hjärnavbildning</w:t>
      </w:r>
    </w:p>
    <w:p w14:paraId="45BB290C" w14:textId="77777777" w:rsidR="00702564" w:rsidRPr="000917D0" w:rsidRDefault="00702564" w:rsidP="00702564">
      <w:pPr>
        <w:pStyle w:val="Rubrik3"/>
      </w:pPr>
      <w:r>
        <w:lastRenderedPageBreak/>
        <w:t>Observera</w:t>
      </w:r>
    </w:p>
    <w:p w14:paraId="1D96D3FB" w14:textId="740F0637" w:rsidR="00702564" w:rsidRPr="002E70DC" w:rsidRDefault="00702564" w:rsidP="00702564">
      <w:pPr>
        <w:spacing w:before="120"/>
        <w:rPr>
          <w:sz w:val="24"/>
          <w:szCs w:val="24"/>
        </w:rPr>
      </w:pPr>
      <w:r w:rsidRPr="3A20558F">
        <w:rPr>
          <w:sz w:val="24"/>
          <w:szCs w:val="24"/>
        </w:rPr>
        <w:t>Observera att kolinesterashämmare kan, förutom sick-sinussyndrom och överledningsfel, orsaka bradykardi, vilket utgör en riskfaktor för torsades de pointes, främst hos patienter med andra riskfaktorer. Försiktighet rekommenderas för patienter med högre risk att utveckla torsades de pointes, till exempel de med okompenserad hjärtsvikt, nyligen genomgången hjärtinfarkt, bradyarytmier, en predisposition för hypokalemi eller hypomagnesemi, eller samtidig användning av läkemedel som är kända för att inducera QT-förlängning och/eller torsades de pointes.</w:t>
      </w:r>
      <w:r w:rsidR="00067550">
        <w:rPr>
          <w:sz w:val="24"/>
          <w:szCs w:val="24"/>
        </w:rPr>
        <w:t xml:space="preserve"> </w:t>
      </w:r>
      <w:r w:rsidR="00067550">
        <w:rPr>
          <w:sz w:val="24"/>
          <w:szCs w:val="24"/>
        </w:rPr>
        <w:br/>
      </w:r>
      <w:r w:rsidRPr="3A20558F">
        <w:rPr>
          <w:sz w:val="24"/>
          <w:szCs w:val="24"/>
        </w:rPr>
        <w:t>Kolinesterashämmare kan ge upphov till ökad magsyrasekretion. Försiktighet bör iakttas vid behandling av patienter med aktivt magsår eller duodenalt sår eller patienter som är predisponerade för dessa tillstånd.</w:t>
      </w:r>
      <w:r>
        <w:rPr>
          <w:sz w:val="24"/>
          <w:szCs w:val="24"/>
        </w:rPr>
        <w:t xml:space="preserve"> </w:t>
      </w:r>
      <w:r w:rsidRPr="3A20558F">
        <w:rPr>
          <w:sz w:val="24"/>
          <w:szCs w:val="24"/>
        </w:rPr>
        <w:t>Kolinesterashämmare skall ges med försiktighet till patienter som har eller har haft astma eller obstruktiv lungsjukdom då bronkokonstriktionen ökar.</w:t>
      </w:r>
    </w:p>
    <w:p w14:paraId="3E4F0CF0" w14:textId="77777777" w:rsidR="00702564" w:rsidRPr="0043503D" w:rsidRDefault="00702564" w:rsidP="00702564">
      <w:pPr>
        <w:pStyle w:val="Rubrik3"/>
      </w:pPr>
      <w:r w:rsidRPr="0055305B">
        <w:rPr>
          <w:sz w:val="28"/>
          <w:szCs w:val="28"/>
        </w:rPr>
        <w:t>Behandling</w:t>
      </w:r>
      <w:r>
        <w:br/>
        <w:t>Farmakologisk behandling</w:t>
      </w:r>
    </w:p>
    <w:p w14:paraId="79B03B56" w14:textId="77777777" w:rsidR="00702564" w:rsidRPr="002E70DC" w:rsidRDefault="00702564" w:rsidP="00702564">
      <w:pPr>
        <w:spacing w:before="120"/>
        <w:rPr>
          <w:sz w:val="24"/>
          <w:szCs w:val="24"/>
        </w:rPr>
      </w:pPr>
      <w:r w:rsidRPr="3A20558F">
        <w:rPr>
          <w:sz w:val="24"/>
          <w:szCs w:val="24"/>
        </w:rPr>
        <w:t xml:space="preserve">Vid bekräftad diagnos ska </w:t>
      </w:r>
      <w:r w:rsidRPr="3A20558F">
        <w:rPr>
          <w:b/>
          <w:bCs/>
          <w:sz w:val="24"/>
          <w:szCs w:val="24"/>
        </w:rPr>
        <w:t>kolinesterashämmare</w:t>
      </w:r>
      <w:r w:rsidRPr="3A20558F">
        <w:rPr>
          <w:sz w:val="24"/>
          <w:szCs w:val="24"/>
        </w:rPr>
        <w:t xml:space="preserve"> och/eller </w:t>
      </w:r>
      <w:r w:rsidRPr="3A20558F">
        <w:rPr>
          <w:b/>
          <w:bCs/>
          <w:sz w:val="24"/>
          <w:szCs w:val="24"/>
        </w:rPr>
        <w:t xml:space="preserve">memantin </w:t>
      </w:r>
      <w:r w:rsidRPr="3A20558F">
        <w:rPr>
          <w:sz w:val="24"/>
          <w:szCs w:val="24"/>
        </w:rPr>
        <w:t xml:space="preserve">erbjudas patienten. De olika läkemedlen är sammanfattade i tabellen nedan. Välj det läkemedel som är mest lämpligt för patienten. Se tabell sist i detta avsnitt. </w:t>
      </w:r>
    </w:p>
    <w:p w14:paraId="78E13E83" w14:textId="77777777" w:rsidR="00702564" w:rsidRPr="0043503D" w:rsidRDefault="00702564" w:rsidP="00702564">
      <w:pPr>
        <w:pStyle w:val="Rubrik3"/>
      </w:pPr>
      <w:r w:rsidRPr="3A20558F">
        <w:t>Behandlingseffekt</w:t>
      </w:r>
    </w:p>
    <w:p w14:paraId="7428138F" w14:textId="77777777" w:rsidR="00702564" w:rsidRDefault="00702564" w:rsidP="00702564">
      <w:pPr>
        <w:spacing w:before="120"/>
        <w:rPr>
          <w:sz w:val="24"/>
          <w:szCs w:val="24"/>
        </w:rPr>
      </w:pPr>
      <w:r w:rsidRPr="3A20558F">
        <w:rPr>
          <w:sz w:val="24"/>
          <w:szCs w:val="24"/>
        </w:rPr>
        <w:t>Positiva mätbara effekter av behandlingen kan vara förbättring av uppmärksamhet, koncentrationsförmåga, initiativförmåga och social funktion. Detta kan leda till positiva effekter på ADL-funktion.</w:t>
      </w:r>
    </w:p>
    <w:p w14:paraId="40834B69" w14:textId="77777777" w:rsidR="00702564" w:rsidRDefault="00702564" w:rsidP="00702564">
      <w:pPr>
        <w:pStyle w:val="Rubrik3"/>
      </w:pPr>
      <w:r>
        <w:t>Biverkningar</w:t>
      </w:r>
    </w:p>
    <w:p w14:paraId="3E2A4D94" w14:textId="473F5B2B" w:rsidR="00702564" w:rsidRDefault="00702564" w:rsidP="00702564">
      <w:pPr>
        <w:spacing w:before="120"/>
        <w:rPr>
          <w:sz w:val="24"/>
          <w:szCs w:val="24"/>
        </w:rPr>
      </w:pPr>
      <w:r w:rsidRPr="004767B6">
        <w:rPr>
          <w:sz w:val="24"/>
          <w:szCs w:val="24"/>
        </w:rPr>
        <w:t xml:space="preserve">Vanligast förekommande biverkningar av acetylkolinesterashämmare är gastrointestinala (kan vara övergående) och kardiella biverkningar. Om vattentunna diarréer så bör behandlingen omedelbart avbrytas och nytt behandlingsförsök kan göras efter återhämtning (se Byta läkemedel). </w:t>
      </w:r>
      <w:r w:rsidR="00067550">
        <w:rPr>
          <w:sz w:val="24"/>
          <w:szCs w:val="24"/>
        </w:rPr>
        <w:br/>
      </w:r>
      <w:r w:rsidRPr="004767B6">
        <w:rPr>
          <w:sz w:val="24"/>
          <w:szCs w:val="24"/>
        </w:rPr>
        <w:t>Vanliga biverkningar av memantin är yrsel och huvudvärk.</w:t>
      </w:r>
    </w:p>
    <w:p w14:paraId="77EF0CE4" w14:textId="77777777" w:rsidR="00702564" w:rsidRPr="0043503D" w:rsidRDefault="00702564" w:rsidP="00702564">
      <w:pPr>
        <w:spacing w:before="120"/>
        <w:rPr>
          <w:b/>
          <w:bCs/>
        </w:rPr>
      </w:pPr>
      <w:r>
        <w:br/>
      </w:r>
      <w:r w:rsidRPr="004767B6">
        <w:rPr>
          <w:rStyle w:val="Rubrik3Char"/>
        </w:rPr>
        <w:t>Uppföljning/utvärdering</w:t>
      </w:r>
    </w:p>
    <w:p w14:paraId="13AF4BCB" w14:textId="03AD5D41" w:rsidR="00702564" w:rsidRDefault="00702564" w:rsidP="00702564">
      <w:pPr>
        <w:spacing w:before="120"/>
        <w:rPr>
          <w:sz w:val="24"/>
          <w:szCs w:val="24"/>
        </w:rPr>
      </w:pPr>
      <w:r w:rsidRPr="3A20558F">
        <w:rPr>
          <w:sz w:val="24"/>
          <w:szCs w:val="24"/>
        </w:rPr>
        <w:t>Nyinsatt behandling ska följas upp avseende biverkningar samt EKG-kontroll efter 1–2 månader.</w:t>
      </w:r>
      <w:r w:rsidR="00067550">
        <w:rPr>
          <w:sz w:val="24"/>
          <w:szCs w:val="24"/>
        </w:rPr>
        <w:t xml:space="preserve"> </w:t>
      </w:r>
      <w:r w:rsidR="00067550">
        <w:rPr>
          <w:sz w:val="24"/>
          <w:szCs w:val="24"/>
        </w:rPr>
        <w:br/>
      </w:r>
      <w:r w:rsidRPr="3A20558F">
        <w:rPr>
          <w:sz w:val="24"/>
          <w:szCs w:val="24"/>
        </w:rPr>
        <w:t xml:space="preserve">Utvärdering av effekt ska göras tidigast efter 6 månader. En förnyad bedömning kan göras 12 månader efter påbörjad behandling med hjälp av MMSE och anhörigintervju avseende funktionen i vardagen (se länk nedan – Region Blekinges regionala riktlinjer). Oförändrat resultat på MMSE 1 år efter insatt behandling bedöms vanligen som att en behandlingseffekt erhållits då MMSE i genomsnitt minskar med 2–3 poäng per år vid obehandlad sjukdom. Man ska sträva efter att ha en årlig kontroll av dessa patienter i form av läkemedelsgenomgångar. </w:t>
      </w:r>
    </w:p>
    <w:p w14:paraId="46FB779F" w14:textId="77777777" w:rsidR="00702564" w:rsidRDefault="00702564" w:rsidP="00702564">
      <w:pPr>
        <w:tabs>
          <w:tab w:val="clear" w:pos="284"/>
        </w:tabs>
        <w:spacing w:after="120" w:line="260" w:lineRule="atLeast"/>
        <w:rPr>
          <w:sz w:val="24"/>
          <w:szCs w:val="24"/>
        </w:rPr>
      </w:pPr>
      <w:r>
        <w:rPr>
          <w:sz w:val="24"/>
          <w:szCs w:val="24"/>
        </w:rPr>
        <w:br w:type="page"/>
      </w:r>
    </w:p>
    <w:p w14:paraId="3828F68A" w14:textId="77777777" w:rsidR="00702564" w:rsidRPr="0071138D" w:rsidRDefault="00702564" w:rsidP="00702564">
      <w:pPr>
        <w:pStyle w:val="Rubrik3"/>
      </w:pPr>
      <w:r>
        <w:lastRenderedPageBreak/>
        <w:t>Byte av läkemedel</w:t>
      </w:r>
    </w:p>
    <w:p w14:paraId="1686D591" w14:textId="77777777" w:rsidR="00702564" w:rsidRPr="00556E99" w:rsidRDefault="00702564" w:rsidP="00702564">
      <w:pPr>
        <w:spacing w:before="120"/>
        <w:rPr>
          <w:sz w:val="24"/>
          <w:szCs w:val="24"/>
        </w:rPr>
      </w:pPr>
      <w:r w:rsidRPr="3A20558F">
        <w:rPr>
          <w:sz w:val="24"/>
          <w:szCs w:val="24"/>
        </w:rPr>
        <w:t>Eftersom kolinesterashämmarna skiljer sig något åt i farmakologisk och farmakokinetisk profil, beredningsform, interaktioner så kan det vara av värde att byta mellan preparaten framför allt vid biverkningar. Vid byte på grund av biverkningar så är det viktigt att patienten har återhämtat sig först innan nytt behandlingsförsök görs. Vid misstanke om bristande effekt av en typ kolinesterashämmare kan byte övervägas till en annan kolinesterashämmare alternativt memantin.</w:t>
      </w:r>
    </w:p>
    <w:p w14:paraId="4DBBCF73" w14:textId="77777777" w:rsidR="00702564" w:rsidRPr="0064595B" w:rsidRDefault="00702564" w:rsidP="00702564">
      <w:pPr>
        <w:pStyle w:val="Rubrik3"/>
      </w:pPr>
      <w:r>
        <w:t>Kombinationsbehandling</w:t>
      </w:r>
    </w:p>
    <w:p w14:paraId="39125C53" w14:textId="77777777" w:rsidR="00702564" w:rsidRDefault="00702564" w:rsidP="00702564">
      <w:pPr>
        <w:spacing w:before="120"/>
        <w:rPr>
          <w:sz w:val="24"/>
          <w:szCs w:val="24"/>
        </w:rPr>
      </w:pPr>
      <w:r w:rsidRPr="3A20558F">
        <w:rPr>
          <w:sz w:val="24"/>
          <w:szCs w:val="24"/>
        </w:rPr>
        <w:t>Kombinationsbehandling med memantin är aktuell vid måttligt till svår fas av kognitiv sjukdom.</w:t>
      </w:r>
    </w:p>
    <w:p w14:paraId="106CA510" w14:textId="77777777" w:rsidR="00702564" w:rsidRPr="0071138D" w:rsidRDefault="00702564" w:rsidP="00702564">
      <w:pPr>
        <w:pStyle w:val="Rubrik3"/>
      </w:pPr>
      <w:r>
        <w:t>Utsättning av läkemedel</w:t>
      </w:r>
    </w:p>
    <w:p w14:paraId="3305002D" w14:textId="77777777" w:rsidR="00702564" w:rsidRPr="00556E99" w:rsidRDefault="00702564" w:rsidP="00702564">
      <w:pPr>
        <w:spacing w:before="120"/>
        <w:rPr>
          <w:sz w:val="24"/>
          <w:szCs w:val="24"/>
        </w:rPr>
      </w:pPr>
      <w:r w:rsidRPr="3A20558F">
        <w:rPr>
          <w:sz w:val="24"/>
          <w:szCs w:val="24"/>
        </w:rPr>
        <w:t>Vid bristande effekt eller obehagliga bieffekter ska man diskutera utsättning av behandling. Läkemedlen ska alltid trappas ner inför utsättning. Effekten ska kontinuerligt utvärderas under nedtrappningen med möjlighet till dosökning om patienten visar tecken på försämring.</w:t>
      </w:r>
      <w:r>
        <w:br/>
      </w:r>
      <w:r w:rsidRPr="3A20558F">
        <w:rPr>
          <w:sz w:val="24"/>
          <w:szCs w:val="24"/>
        </w:rPr>
        <w:t>Om patienten har kombinationsbehandling så bör kolinesterashämmaren trappas ner först.</w:t>
      </w:r>
    </w:p>
    <w:p w14:paraId="61E47C03" w14:textId="77777777" w:rsidR="00702564" w:rsidRPr="0064595B" w:rsidRDefault="00702564" w:rsidP="00702564">
      <w:pPr>
        <w:pStyle w:val="Rubrik3"/>
      </w:pPr>
      <w:r>
        <w:t>Miljö</w:t>
      </w:r>
    </w:p>
    <w:p w14:paraId="15766BBD" w14:textId="77777777" w:rsidR="00702564" w:rsidRPr="00556E99" w:rsidRDefault="00702564" w:rsidP="00702564">
      <w:pPr>
        <w:spacing w:before="120"/>
        <w:rPr>
          <w:sz w:val="24"/>
          <w:szCs w:val="24"/>
        </w:rPr>
      </w:pPr>
      <w:r w:rsidRPr="3A20558F">
        <w:rPr>
          <w:sz w:val="24"/>
          <w:szCs w:val="24"/>
        </w:rPr>
        <w:t>Tänk på att plåstret efter användning ska vikas dubbelt och lämnas till ett apotek för kassation då det fortfarande innehåller läkemedel.</w:t>
      </w:r>
    </w:p>
    <w:p w14:paraId="7B0FF3AB" w14:textId="77777777" w:rsidR="00702564" w:rsidRPr="0071138D" w:rsidRDefault="00702564" w:rsidP="00702564">
      <w:pPr>
        <w:pStyle w:val="Rubrik3"/>
      </w:pPr>
      <w:r>
        <w:t>Länkar och referenser</w:t>
      </w:r>
    </w:p>
    <w:p w14:paraId="2E03E84D" w14:textId="77777777" w:rsidR="00702564" w:rsidRDefault="00702564" w:rsidP="00702564">
      <w:pPr>
        <w:spacing w:before="120"/>
      </w:pPr>
      <w:hyperlink r:id="rId179" w:history="1">
        <w:r w:rsidRPr="006D4080">
          <w:rPr>
            <w:color w:val="0000FF"/>
            <w:u w:val="single"/>
          </w:rPr>
          <w:t>Nationella riktlinjer för vård och omsorg vid demenssjukdom - Socialstyrelsen</w:t>
        </w:r>
      </w:hyperlink>
      <w:r>
        <w:rPr>
          <w:color w:val="0000FF"/>
          <w:u w:val="single"/>
        </w:rPr>
        <w:t xml:space="preserve"> </w:t>
      </w:r>
    </w:p>
    <w:p w14:paraId="66F38B24" w14:textId="77777777" w:rsidR="00702564" w:rsidRDefault="00702564" w:rsidP="00702564">
      <w:pPr>
        <w:spacing w:before="120"/>
      </w:pPr>
      <w:hyperlink r:id="rId180" w:history="1">
        <w:r w:rsidRPr="0043503D">
          <w:rPr>
            <w:rStyle w:val="Hyperlnk"/>
          </w:rPr>
          <w:t>Regionala riktlinjer – Utredning, vård och omsorg av personer med demenssjukdom i Blekinge</w:t>
        </w:r>
      </w:hyperlink>
      <w:r>
        <w:t xml:space="preserve"> </w:t>
      </w:r>
    </w:p>
    <w:p w14:paraId="282DD49F" w14:textId="77777777" w:rsidR="00702564" w:rsidRDefault="00702564" w:rsidP="00702564">
      <w:pPr>
        <w:spacing w:before="120"/>
        <w:rPr>
          <w:rStyle w:val="Hyperlnk"/>
        </w:rPr>
      </w:pPr>
      <w:hyperlink r:id="rId181" w:history="1">
        <w:r w:rsidRPr="0043503D">
          <w:rPr>
            <w:rStyle w:val="Hyperlnk"/>
          </w:rPr>
          <w:t>Svenskt demenscentrum</w:t>
        </w:r>
      </w:hyperlink>
      <w:r>
        <w:t xml:space="preserve"> </w:t>
      </w:r>
    </w:p>
    <w:p w14:paraId="0142AADD" w14:textId="77777777" w:rsidR="00702564" w:rsidRDefault="00702564" w:rsidP="00702564">
      <w:pPr>
        <w:spacing w:before="120"/>
      </w:pPr>
      <w:r>
        <w:t>FAS UT 3, Att utvärdera, ifrågasätta och skonsamt avsluta läkemedelsbehandling, Claes Lundgren, 2010, ISBN 978-91-633-7637-5.</w:t>
      </w:r>
    </w:p>
    <w:p w14:paraId="75A17E41" w14:textId="77777777" w:rsidR="00702564" w:rsidRDefault="00702564" w:rsidP="00702564">
      <w:pPr>
        <w:spacing w:before="120"/>
      </w:pPr>
    </w:p>
    <w:p w14:paraId="4F7576A1" w14:textId="77777777" w:rsidR="00702564" w:rsidRDefault="00702564" w:rsidP="00702564">
      <w:pPr>
        <w:spacing w:before="120"/>
        <w:rPr>
          <w:rStyle w:val="Hyperlnk"/>
          <w:rFonts w:cs="Arial"/>
          <w:u w:val="none"/>
        </w:rPr>
        <w:sectPr w:rsidR="00702564" w:rsidSect="00702564">
          <w:pgSz w:w="11906" w:h="16838" w:code="9"/>
          <w:pgMar w:top="1701" w:right="709" w:bottom="1276" w:left="1276" w:header="624" w:footer="624" w:gutter="0"/>
          <w:cols w:space="284"/>
          <w:titlePg/>
          <w:docGrid w:linePitch="360"/>
        </w:sectPr>
      </w:pPr>
    </w:p>
    <w:tbl>
      <w:tblPr>
        <w:tblStyle w:val="Listtabell3"/>
        <w:tblpPr w:leftFromText="141" w:rightFromText="141" w:vertAnchor="page" w:horzAnchor="margin" w:tblpY="541"/>
        <w:tblW w:w="14824" w:type="dxa"/>
        <w:tblLook w:val="04A0" w:firstRow="1" w:lastRow="0" w:firstColumn="1" w:lastColumn="0" w:noHBand="0" w:noVBand="1"/>
      </w:tblPr>
      <w:tblGrid>
        <w:gridCol w:w="1693"/>
        <w:gridCol w:w="3041"/>
        <w:gridCol w:w="4255"/>
        <w:gridCol w:w="2532"/>
        <w:gridCol w:w="3303"/>
      </w:tblGrid>
      <w:tr w:rsidR="00702564" w:rsidRPr="00C43E37" w14:paraId="28A21EF9" w14:textId="77777777" w:rsidTr="00632FCC">
        <w:trPr>
          <w:cnfStyle w:val="100000000000" w:firstRow="1" w:lastRow="0" w:firstColumn="0" w:lastColumn="0" w:oddVBand="0" w:evenVBand="0" w:oddHBand="0" w:evenHBand="0" w:firstRowFirstColumn="0" w:firstRowLastColumn="0" w:lastRowFirstColumn="0" w:lastRowLastColumn="0"/>
          <w:trHeight w:val="232"/>
        </w:trPr>
        <w:tc>
          <w:tcPr>
            <w:cnfStyle w:val="001000000100" w:firstRow="0" w:lastRow="0" w:firstColumn="1" w:lastColumn="0" w:oddVBand="0" w:evenVBand="0" w:oddHBand="0" w:evenHBand="0" w:firstRowFirstColumn="1" w:firstRowLastColumn="0" w:lastRowFirstColumn="0" w:lastRowLastColumn="0"/>
            <w:tcW w:w="0" w:type="auto"/>
          </w:tcPr>
          <w:p w14:paraId="6854DCF9" w14:textId="77777777" w:rsidR="00702564" w:rsidRPr="00C43E37" w:rsidRDefault="00702564" w:rsidP="00632FCC">
            <w:pPr>
              <w:tabs>
                <w:tab w:val="clear" w:pos="284"/>
              </w:tabs>
              <w:autoSpaceDE w:val="0"/>
              <w:autoSpaceDN w:val="0"/>
              <w:adjustRightInd w:val="0"/>
              <w:spacing w:line="240" w:lineRule="auto"/>
              <w:rPr>
                <w:sz w:val="14"/>
                <w:szCs w:val="14"/>
              </w:rPr>
            </w:pPr>
          </w:p>
        </w:tc>
        <w:tc>
          <w:tcPr>
            <w:tcW w:w="0" w:type="auto"/>
          </w:tcPr>
          <w:p w14:paraId="1AAE182C" w14:textId="77777777" w:rsidR="00702564" w:rsidRPr="00C43E37" w:rsidRDefault="00702564" w:rsidP="00632FCC">
            <w:pPr>
              <w:tabs>
                <w:tab w:val="clear" w:pos="284"/>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b w:val="0"/>
                <w:bCs w:val="0"/>
                <w:sz w:val="14"/>
                <w:szCs w:val="14"/>
              </w:rPr>
            </w:pPr>
            <w:r w:rsidRPr="3A20558F">
              <w:rPr>
                <w:sz w:val="14"/>
                <w:szCs w:val="14"/>
              </w:rPr>
              <w:t>Donepezil</w:t>
            </w:r>
          </w:p>
        </w:tc>
        <w:tc>
          <w:tcPr>
            <w:tcW w:w="0" w:type="auto"/>
          </w:tcPr>
          <w:p w14:paraId="23E2100D" w14:textId="77777777" w:rsidR="00702564" w:rsidRPr="00C43E37" w:rsidRDefault="00702564" w:rsidP="00632FCC">
            <w:pPr>
              <w:tabs>
                <w:tab w:val="clear" w:pos="284"/>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b w:val="0"/>
                <w:bCs w:val="0"/>
                <w:sz w:val="14"/>
                <w:szCs w:val="14"/>
              </w:rPr>
            </w:pPr>
            <w:r w:rsidRPr="3A20558F">
              <w:rPr>
                <w:sz w:val="14"/>
                <w:szCs w:val="14"/>
              </w:rPr>
              <w:t>Rivastigmin</w:t>
            </w:r>
          </w:p>
        </w:tc>
        <w:tc>
          <w:tcPr>
            <w:tcW w:w="0" w:type="auto"/>
          </w:tcPr>
          <w:p w14:paraId="328E81D0" w14:textId="77777777" w:rsidR="00702564" w:rsidRPr="00C43E37" w:rsidRDefault="00702564" w:rsidP="00632FCC">
            <w:pPr>
              <w:tabs>
                <w:tab w:val="clear" w:pos="284"/>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b w:val="0"/>
                <w:bCs w:val="0"/>
                <w:sz w:val="14"/>
                <w:szCs w:val="14"/>
              </w:rPr>
            </w:pPr>
            <w:r w:rsidRPr="3A20558F">
              <w:rPr>
                <w:sz w:val="14"/>
                <w:szCs w:val="14"/>
              </w:rPr>
              <w:t>Galantamin</w:t>
            </w:r>
          </w:p>
        </w:tc>
        <w:tc>
          <w:tcPr>
            <w:tcW w:w="0" w:type="auto"/>
          </w:tcPr>
          <w:p w14:paraId="2016E028" w14:textId="77777777" w:rsidR="00702564" w:rsidRPr="00C43E37" w:rsidRDefault="00702564" w:rsidP="00632FCC">
            <w:pPr>
              <w:tabs>
                <w:tab w:val="clear" w:pos="284"/>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b w:val="0"/>
                <w:bCs w:val="0"/>
                <w:sz w:val="14"/>
                <w:szCs w:val="14"/>
              </w:rPr>
            </w:pPr>
            <w:r w:rsidRPr="3A20558F">
              <w:rPr>
                <w:sz w:val="14"/>
                <w:szCs w:val="14"/>
              </w:rPr>
              <w:t>Memantin</w:t>
            </w:r>
          </w:p>
        </w:tc>
      </w:tr>
      <w:tr w:rsidR="00702564" w:rsidRPr="00C43E37" w14:paraId="31B60269" w14:textId="77777777" w:rsidTr="00632FC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tcPr>
          <w:p w14:paraId="6E8AF206" w14:textId="77777777" w:rsidR="00702564" w:rsidRPr="00C43E37" w:rsidRDefault="00702564" w:rsidP="00632FCC">
            <w:pPr>
              <w:tabs>
                <w:tab w:val="clear" w:pos="284"/>
              </w:tabs>
              <w:autoSpaceDE w:val="0"/>
              <w:autoSpaceDN w:val="0"/>
              <w:adjustRightInd w:val="0"/>
              <w:spacing w:line="240" w:lineRule="auto"/>
              <w:rPr>
                <w:b w:val="0"/>
                <w:bCs w:val="0"/>
                <w:sz w:val="14"/>
                <w:szCs w:val="14"/>
              </w:rPr>
            </w:pPr>
            <w:r w:rsidRPr="3A20558F">
              <w:rPr>
                <w:sz w:val="14"/>
                <w:szCs w:val="14"/>
              </w:rPr>
              <w:t>Indikation</w:t>
            </w:r>
          </w:p>
        </w:tc>
        <w:tc>
          <w:tcPr>
            <w:tcW w:w="0" w:type="auto"/>
          </w:tcPr>
          <w:p w14:paraId="6373B987"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Mild till medelsvår kognitiv sjukdom av Alzheimerstyp</w:t>
            </w:r>
          </w:p>
        </w:tc>
        <w:tc>
          <w:tcPr>
            <w:tcW w:w="0" w:type="auto"/>
          </w:tcPr>
          <w:p w14:paraId="69A158DE"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 xml:space="preserve">Mild till medelsvår kognitiv sjukdom av Alzheimerstyp </w:t>
            </w:r>
          </w:p>
          <w:p w14:paraId="6DDB1AE8"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p w14:paraId="09A42375"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Mild till medelsvår kognitiv sjukdom vid idiopatisk Parkinsons sjukdom</w:t>
            </w:r>
          </w:p>
        </w:tc>
        <w:tc>
          <w:tcPr>
            <w:tcW w:w="0" w:type="auto"/>
          </w:tcPr>
          <w:p w14:paraId="78F0E5A4"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Mild till medelsvår kognitiv sjukdom av Alzheimerstyp</w:t>
            </w:r>
          </w:p>
        </w:tc>
        <w:tc>
          <w:tcPr>
            <w:tcW w:w="0" w:type="auto"/>
          </w:tcPr>
          <w:p w14:paraId="4CA6AFE0"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Måttlig till svår kognitiv sjukdom av Alzheimerstyp</w:t>
            </w:r>
          </w:p>
        </w:tc>
      </w:tr>
      <w:tr w:rsidR="00702564" w:rsidRPr="00285E63" w14:paraId="363678A3" w14:textId="77777777" w:rsidTr="00632FCC">
        <w:trPr>
          <w:trHeight w:val="279"/>
        </w:trPr>
        <w:tc>
          <w:tcPr>
            <w:cnfStyle w:val="001000000000" w:firstRow="0" w:lastRow="0" w:firstColumn="1" w:lastColumn="0" w:oddVBand="0" w:evenVBand="0" w:oddHBand="0" w:evenHBand="0" w:firstRowFirstColumn="0" w:firstRowLastColumn="0" w:lastRowFirstColumn="0" w:lastRowLastColumn="0"/>
            <w:tcW w:w="0" w:type="auto"/>
          </w:tcPr>
          <w:p w14:paraId="2E874E69" w14:textId="77777777" w:rsidR="00702564" w:rsidRPr="00C43E37" w:rsidRDefault="00702564" w:rsidP="00632FCC">
            <w:pPr>
              <w:tabs>
                <w:tab w:val="clear" w:pos="284"/>
              </w:tabs>
              <w:autoSpaceDE w:val="0"/>
              <w:autoSpaceDN w:val="0"/>
              <w:adjustRightInd w:val="0"/>
              <w:spacing w:line="240" w:lineRule="auto"/>
              <w:rPr>
                <w:b w:val="0"/>
                <w:bCs w:val="0"/>
                <w:sz w:val="14"/>
                <w:szCs w:val="14"/>
              </w:rPr>
            </w:pPr>
            <w:r w:rsidRPr="3A20558F">
              <w:rPr>
                <w:sz w:val="14"/>
                <w:szCs w:val="14"/>
              </w:rPr>
              <w:t>Farmakologisk profil</w:t>
            </w:r>
          </w:p>
        </w:tc>
        <w:tc>
          <w:tcPr>
            <w:tcW w:w="0" w:type="auto"/>
          </w:tcPr>
          <w:p w14:paraId="17D7EAF0"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AChE-H</w:t>
            </w:r>
          </w:p>
        </w:tc>
        <w:tc>
          <w:tcPr>
            <w:tcW w:w="0" w:type="auto"/>
          </w:tcPr>
          <w:p w14:paraId="515CB607"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AChE-H</w:t>
            </w:r>
          </w:p>
          <w:p w14:paraId="6CC01743"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BuChE-H</w:t>
            </w:r>
          </w:p>
        </w:tc>
        <w:tc>
          <w:tcPr>
            <w:tcW w:w="0" w:type="auto"/>
          </w:tcPr>
          <w:p w14:paraId="204954B0"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AChE-H</w:t>
            </w:r>
          </w:p>
          <w:p w14:paraId="3842946B"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Nikotinreceptor-agonist</w:t>
            </w:r>
          </w:p>
        </w:tc>
        <w:tc>
          <w:tcPr>
            <w:tcW w:w="0" w:type="auto"/>
          </w:tcPr>
          <w:p w14:paraId="6D44945A"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lang w:val="en-GB"/>
              </w:rPr>
            </w:pPr>
            <w:r w:rsidRPr="3A20558F">
              <w:rPr>
                <w:sz w:val="14"/>
                <w:szCs w:val="14"/>
                <w:lang w:val="en-GB"/>
              </w:rPr>
              <w:t>NMDA-receptor- antagonist</w:t>
            </w:r>
          </w:p>
          <w:p w14:paraId="7AFC2578"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lang w:val="en-GB"/>
              </w:rPr>
            </w:pPr>
            <w:r w:rsidRPr="3A20558F">
              <w:rPr>
                <w:sz w:val="14"/>
                <w:szCs w:val="14"/>
                <w:lang w:val="en-GB"/>
              </w:rPr>
              <w:t>5-HT</w:t>
            </w:r>
            <w:r w:rsidRPr="3A20558F">
              <w:rPr>
                <w:sz w:val="14"/>
                <w:szCs w:val="14"/>
                <w:vertAlign w:val="subscript"/>
                <w:lang w:val="en-GB"/>
              </w:rPr>
              <w:t>3</w:t>
            </w:r>
            <w:r w:rsidRPr="3A20558F">
              <w:rPr>
                <w:sz w:val="14"/>
                <w:szCs w:val="14"/>
                <w:lang w:val="en-GB"/>
              </w:rPr>
              <w:t xml:space="preserve"> receptor antagonist</w:t>
            </w:r>
          </w:p>
        </w:tc>
      </w:tr>
      <w:tr w:rsidR="00702564" w:rsidRPr="00C43E37" w14:paraId="3479EB67" w14:textId="77777777" w:rsidTr="00632FC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62BECB6C" w14:textId="77777777" w:rsidR="00702564" w:rsidRPr="00C43E37" w:rsidRDefault="00702564" w:rsidP="00632FCC">
            <w:pPr>
              <w:tabs>
                <w:tab w:val="clear" w:pos="284"/>
              </w:tabs>
              <w:autoSpaceDE w:val="0"/>
              <w:autoSpaceDN w:val="0"/>
              <w:adjustRightInd w:val="0"/>
              <w:spacing w:line="240" w:lineRule="auto"/>
              <w:rPr>
                <w:b w:val="0"/>
                <w:bCs w:val="0"/>
                <w:sz w:val="14"/>
                <w:szCs w:val="14"/>
              </w:rPr>
            </w:pPr>
            <w:r w:rsidRPr="3A20558F">
              <w:rPr>
                <w:sz w:val="14"/>
                <w:szCs w:val="14"/>
              </w:rPr>
              <w:t>Beredningsform och doseringstillfällen</w:t>
            </w:r>
          </w:p>
        </w:tc>
        <w:tc>
          <w:tcPr>
            <w:tcW w:w="0" w:type="auto"/>
          </w:tcPr>
          <w:p w14:paraId="4C8ECFA4"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Tablett – 1 gång dagligen</w:t>
            </w:r>
          </w:p>
          <w:p w14:paraId="1DC0A584"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Munsönderfallande tablett – 1 gång dagligen</w:t>
            </w:r>
          </w:p>
        </w:tc>
        <w:tc>
          <w:tcPr>
            <w:tcW w:w="0" w:type="auto"/>
          </w:tcPr>
          <w:p w14:paraId="029A71C1"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Kapsel – 2 gånger dagligen</w:t>
            </w:r>
          </w:p>
          <w:p w14:paraId="7A0AA073"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Oral lösning – 2 gånger dagligen</w:t>
            </w:r>
          </w:p>
          <w:p w14:paraId="04BA437C"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Depotplåster – 1 gång dagligen</w:t>
            </w:r>
          </w:p>
        </w:tc>
        <w:tc>
          <w:tcPr>
            <w:tcW w:w="0" w:type="auto"/>
          </w:tcPr>
          <w:p w14:paraId="78BB9F38"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Depotkapsel – 1 gång dagligen</w:t>
            </w:r>
          </w:p>
          <w:p w14:paraId="50D829DE"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Oral lösning – 2 gånger dagligen</w:t>
            </w:r>
          </w:p>
        </w:tc>
        <w:tc>
          <w:tcPr>
            <w:tcW w:w="0" w:type="auto"/>
          </w:tcPr>
          <w:p w14:paraId="0FCB13AD"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Tablett – 1 gång dagligen</w:t>
            </w:r>
          </w:p>
          <w:p w14:paraId="7CBE8825"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Oral lösning – 1 gång dagligen</w:t>
            </w:r>
          </w:p>
        </w:tc>
      </w:tr>
      <w:tr w:rsidR="00702564" w:rsidRPr="00C43E37" w14:paraId="075A28E3" w14:textId="77777777" w:rsidTr="00632FCC">
        <w:trPr>
          <w:trHeight w:val="2823"/>
        </w:trPr>
        <w:tc>
          <w:tcPr>
            <w:cnfStyle w:val="001000000000" w:firstRow="0" w:lastRow="0" w:firstColumn="1" w:lastColumn="0" w:oddVBand="0" w:evenVBand="0" w:oddHBand="0" w:evenHBand="0" w:firstRowFirstColumn="0" w:firstRowLastColumn="0" w:lastRowFirstColumn="0" w:lastRowLastColumn="0"/>
            <w:tcW w:w="0" w:type="auto"/>
          </w:tcPr>
          <w:p w14:paraId="4448A0EA" w14:textId="77777777" w:rsidR="00702564" w:rsidRPr="00C43E37" w:rsidRDefault="00702564" w:rsidP="00632FCC">
            <w:pPr>
              <w:tabs>
                <w:tab w:val="clear" w:pos="284"/>
              </w:tabs>
              <w:autoSpaceDE w:val="0"/>
              <w:autoSpaceDN w:val="0"/>
              <w:adjustRightInd w:val="0"/>
              <w:spacing w:line="240" w:lineRule="auto"/>
              <w:rPr>
                <w:b w:val="0"/>
                <w:bCs w:val="0"/>
                <w:sz w:val="14"/>
                <w:szCs w:val="14"/>
              </w:rPr>
            </w:pPr>
            <w:r w:rsidRPr="3A20558F">
              <w:rPr>
                <w:sz w:val="14"/>
                <w:szCs w:val="14"/>
              </w:rPr>
              <w:t>Dosökning</w:t>
            </w:r>
          </w:p>
        </w:tc>
        <w:tc>
          <w:tcPr>
            <w:tcW w:w="0" w:type="auto"/>
          </w:tcPr>
          <w:p w14:paraId="31520A53"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Rekommenderad startdos: 5 mg/dag</w:t>
            </w:r>
          </w:p>
          <w:p w14:paraId="3362D969"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723B6104"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Klinisk bedömning efter minst en månads behandling med 5 mg/dag. Därefter kan dosen ökas till 10 mg/dag.</w:t>
            </w:r>
          </w:p>
          <w:p w14:paraId="6B05C86B"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57E69559"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Maxdos: 10 mg/dag</w:t>
            </w:r>
          </w:p>
        </w:tc>
        <w:tc>
          <w:tcPr>
            <w:tcW w:w="0" w:type="auto"/>
          </w:tcPr>
          <w:p w14:paraId="43FC6780"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u w:val="single"/>
              </w:rPr>
            </w:pPr>
            <w:r w:rsidRPr="3A20558F">
              <w:rPr>
                <w:sz w:val="14"/>
                <w:szCs w:val="14"/>
                <w:u w:val="single"/>
              </w:rPr>
              <w:t>Kapsel och oral lösning</w:t>
            </w:r>
          </w:p>
          <w:p w14:paraId="451B701E"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Rekommenderad startdos: 1,5 mg x 2 per dag</w:t>
            </w:r>
          </w:p>
          <w:p w14:paraId="48A907D7"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179E8DE3"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 xml:space="preserve">Om startdosen tolereras väl kan dosen ökas, som tätast varannan vecka, med 1,5 mg x 2. </w:t>
            </w:r>
          </w:p>
          <w:p w14:paraId="38B5FB95"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38814CDC"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Maxdos: 6 mg x 2 per dag</w:t>
            </w:r>
          </w:p>
          <w:p w14:paraId="536E6392"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4CEEB519"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u w:val="single"/>
              </w:rPr>
            </w:pPr>
            <w:r w:rsidRPr="3A20558F">
              <w:rPr>
                <w:sz w:val="14"/>
                <w:szCs w:val="14"/>
                <w:u w:val="single"/>
              </w:rPr>
              <w:t>Depotplåster</w:t>
            </w:r>
          </w:p>
          <w:p w14:paraId="7CA670D9"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Rekommenderad startdos: 4,6 mg/24 tim</w:t>
            </w:r>
          </w:p>
          <w:p w14:paraId="18441CD6"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u w:val="single"/>
              </w:rPr>
            </w:pPr>
          </w:p>
          <w:p w14:paraId="0812F5B8"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Om startdosen tolereras väl kan, efter minst 4 veckors behandling, dosen ökas till 9,5 mg/24 tim. Efter minst 6 månaders behandling med 9,5 mg/24 tim kan dosen ökas till 13,3 mg/24 tim (se mer FASS).</w:t>
            </w:r>
          </w:p>
          <w:p w14:paraId="5A693B41"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12131B49"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Maxdos: 13,3 mg/24 tim</w:t>
            </w:r>
          </w:p>
          <w:p w14:paraId="020A7DDD"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678B3F8E"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OBS! Om behandlingsuppehåll &gt;3 dagar – börja om på startdos (se FASS).</w:t>
            </w:r>
          </w:p>
        </w:tc>
        <w:tc>
          <w:tcPr>
            <w:tcW w:w="0" w:type="auto"/>
          </w:tcPr>
          <w:p w14:paraId="6412143C"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 xml:space="preserve">Rekommenderad startdos: </w:t>
            </w:r>
          </w:p>
          <w:p w14:paraId="249F36FD"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Depotkapsel 8 mg/dag</w:t>
            </w:r>
          </w:p>
          <w:p w14:paraId="0B0D3EB0"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Oral lösning 4 mg x 2 per dag</w:t>
            </w:r>
          </w:p>
          <w:p w14:paraId="162A90F3"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7A0777CA"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Efter behandling med 8 mg/dag under minst 4 veckor kan dosen ökas till 16 mg/dag.</w:t>
            </w:r>
          </w:p>
          <w:p w14:paraId="0B8B8575"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 xml:space="preserve">Dosen kan på individuell basis, efter minst 4 veckors behandling med 16 mg/dag, ökas till 24 mg/dag. </w:t>
            </w:r>
          </w:p>
          <w:p w14:paraId="028BA3C3"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4216238A"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Maxdos:</w:t>
            </w:r>
          </w:p>
          <w:p w14:paraId="665E4BB6"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Depotkapsel 24 mg/dag</w:t>
            </w:r>
          </w:p>
          <w:p w14:paraId="4A8B6925"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Oral lösning 12 mg x 2 per dag.</w:t>
            </w:r>
          </w:p>
        </w:tc>
        <w:tc>
          <w:tcPr>
            <w:tcW w:w="0" w:type="auto"/>
          </w:tcPr>
          <w:p w14:paraId="614D9D16"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Rekommenderad startdos: 5 mg/dag</w:t>
            </w:r>
          </w:p>
          <w:p w14:paraId="79903D5D"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2D8F19F7"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 xml:space="preserve">Enligt FASS rekommenderas dosökning med 5 mg/vecka till 20 mg/dag. </w:t>
            </w:r>
          </w:p>
          <w:p w14:paraId="65E3D1E6"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6FF85518"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Enligt klinisk erfarenheten kan behandlingen startas med 10 mg/dag under minst en månad och därefter dosökning till 20 mg/dag beroende på tolerans.</w:t>
            </w:r>
          </w:p>
          <w:p w14:paraId="24E5732E"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11807020"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lang w:val="en-GB"/>
              </w:rPr>
            </w:pPr>
            <w:r w:rsidRPr="3A20558F">
              <w:rPr>
                <w:sz w:val="14"/>
                <w:szCs w:val="14"/>
              </w:rPr>
              <w:t>Maxdos: 20 mg/dag</w:t>
            </w:r>
          </w:p>
        </w:tc>
      </w:tr>
      <w:tr w:rsidR="00702564" w:rsidRPr="00C43E37" w14:paraId="4052EE09" w14:textId="77777777" w:rsidTr="00632FCC">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0" w:type="auto"/>
          </w:tcPr>
          <w:p w14:paraId="28DF34DA" w14:textId="77777777" w:rsidR="00702564" w:rsidRPr="00C43E37" w:rsidRDefault="00702564" w:rsidP="00632FCC">
            <w:pPr>
              <w:tabs>
                <w:tab w:val="clear" w:pos="284"/>
              </w:tabs>
              <w:autoSpaceDE w:val="0"/>
              <w:autoSpaceDN w:val="0"/>
              <w:adjustRightInd w:val="0"/>
              <w:spacing w:line="240" w:lineRule="auto"/>
              <w:rPr>
                <w:b w:val="0"/>
                <w:bCs w:val="0"/>
                <w:sz w:val="14"/>
                <w:szCs w:val="14"/>
              </w:rPr>
            </w:pPr>
            <w:r w:rsidRPr="3A20558F">
              <w:rPr>
                <w:sz w:val="14"/>
                <w:szCs w:val="14"/>
              </w:rPr>
              <w:t>Lever/njurar/</w:t>
            </w:r>
          </w:p>
          <w:p w14:paraId="15FB655E" w14:textId="77777777" w:rsidR="00702564" w:rsidRPr="00C43E37" w:rsidRDefault="00702564" w:rsidP="00632FCC">
            <w:pPr>
              <w:tabs>
                <w:tab w:val="clear" w:pos="284"/>
              </w:tabs>
              <w:autoSpaceDE w:val="0"/>
              <w:autoSpaceDN w:val="0"/>
              <w:adjustRightInd w:val="0"/>
              <w:spacing w:line="240" w:lineRule="auto"/>
              <w:rPr>
                <w:b w:val="0"/>
                <w:bCs w:val="0"/>
                <w:sz w:val="14"/>
                <w:szCs w:val="14"/>
              </w:rPr>
            </w:pPr>
            <w:r w:rsidRPr="3A20558F">
              <w:rPr>
                <w:sz w:val="14"/>
                <w:szCs w:val="14"/>
              </w:rPr>
              <w:t>kroppsvikt</w:t>
            </w:r>
          </w:p>
        </w:tc>
        <w:tc>
          <w:tcPr>
            <w:tcW w:w="0" w:type="auto"/>
          </w:tcPr>
          <w:p w14:paraId="686C7647"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u w:val="single"/>
              </w:rPr>
              <w:t>Lever</w:t>
            </w:r>
            <w:r w:rsidRPr="3A20558F">
              <w:rPr>
                <w:sz w:val="14"/>
                <w:szCs w:val="14"/>
              </w:rPr>
              <w:t xml:space="preserve"> </w:t>
            </w:r>
          </w:p>
          <w:p w14:paraId="2402654D"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På grund av hepatisk metabolism kan dosen behöva anpassas utifrån individuell tolerabilitet vid milt-måttligt nedsatt leverfunktion.</w:t>
            </w:r>
          </w:p>
          <w:p w14:paraId="0AF4F6D8"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 xml:space="preserve">Svårt nedsatt leverfunktion – data saknas. </w:t>
            </w:r>
          </w:p>
          <w:p w14:paraId="72AE74F6"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p w14:paraId="29C9FFEC"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u w:val="single"/>
              </w:rPr>
              <w:t>Njurar</w:t>
            </w:r>
            <w:r w:rsidRPr="3A20558F">
              <w:rPr>
                <w:sz w:val="14"/>
                <w:szCs w:val="14"/>
              </w:rPr>
              <w:t xml:space="preserve"> </w:t>
            </w:r>
          </w:p>
          <w:p w14:paraId="456BD2A2"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Ingen dosjustering krävs.</w:t>
            </w:r>
          </w:p>
          <w:p w14:paraId="547C58C8"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p w14:paraId="4166D8E2"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p w14:paraId="219B22FB"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p w14:paraId="5799B898"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p w14:paraId="3F4B8F03"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p w14:paraId="50BA403A"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tc>
        <w:tc>
          <w:tcPr>
            <w:tcW w:w="0" w:type="auto"/>
          </w:tcPr>
          <w:p w14:paraId="143EDE9E"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u w:val="single"/>
              </w:rPr>
            </w:pPr>
            <w:r w:rsidRPr="3A20558F">
              <w:rPr>
                <w:sz w:val="14"/>
                <w:szCs w:val="14"/>
                <w:u w:val="single"/>
              </w:rPr>
              <w:t>Lever</w:t>
            </w:r>
          </w:p>
          <w:p w14:paraId="4AEF1C4E"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Milt-måttligt nedsatt leverfunktion → ↑ Cmax och ↑ AUC. Dosanpassa utifrån individuell tolerabilitet.</w:t>
            </w:r>
          </w:p>
          <w:p w14:paraId="521DAC0F"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Svårt nedsatt leverfunktion – data saknas men rivastigmin kan användas under noggrann övervakning.</w:t>
            </w:r>
          </w:p>
          <w:p w14:paraId="575E9F7A"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p w14:paraId="6418F7F7"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u w:val="single"/>
              </w:rPr>
            </w:pPr>
            <w:r w:rsidRPr="3A20558F">
              <w:rPr>
                <w:sz w:val="14"/>
                <w:szCs w:val="14"/>
                <w:u w:val="single"/>
              </w:rPr>
              <w:t>Njurar</w:t>
            </w:r>
          </w:p>
          <w:p w14:paraId="2CEDA71B"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Måttligt nedsatt njurfunktion →</w:t>
            </w:r>
          </w:p>
          <w:p w14:paraId="3430919F"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 Cmax och ↑ AUC. Dosanpassa utifrån individuell tolerabilitet.</w:t>
            </w:r>
          </w:p>
          <w:p w14:paraId="464F604C"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Allvarligt nedsatt njurfunktion – inga förändringar i Cmax och AUC.</w:t>
            </w:r>
          </w:p>
          <w:p w14:paraId="6E2E0DC9"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p w14:paraId="77D3D17A"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u w:val="single"/>
              </w:rPr>
            </w:pPr>
            <w:r w:rsidRPr="3A20558F">
              <w:rPr>
                <w:sz w:val="14"/>
                <w:szCs w:val="14"/>
                <w:u w:val="single"/>
              </w:rPr>
              <w:t>Kroppsvikt - plåster</w:t>
            </w:r>
          </w:p>
          <w:p w14:paraId="14182019"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Vid vikt under 50 kg kan patienten uppleva mer biverkningar pga. ökad steady state. En försiktigare dostitrering och ev. lägre underhållsdos behövs (se FASS).</w:t>
            </w:r>
          </w:p>
        </w:tc>
        <w:tc>
          <w:tcPr>
            <w:tcW w:w="0" w:type="auto"/>
          </w:tcPr>
          <w:p w14:paraId="7C940C69"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u w:val="single"/>
              </w:rPr>
            </w:pPr>
            <w:r w:rsidRPr="3A20558F">
              <w:rPr>
                <w:sz w:val="14"/>
                <w:szCs w:val="14"/>
                <w:u w:val="single"/>
              </w:rPr>
              <w:t>Lever</w:t>
            </w:r>
          </w:p>
          <w:p w14:paraId="56AD143A"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Vid milt nedsatt leverfunktion krävs ingen dosjustering.</w:t>
            </w:r>
          </w:p>
          <w:p w14:paraId="48EDC71E"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Vid måttligt nedsatt leverfunktion rekommenderas en lägre startdos och reducerad maxdos (se FASS).</w:t>
            </w:r>
          </w:p>
          <w:p w14:paraId="64FC9FC4"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Galantamin är kontraindicerat vid svårt nedsatt leverfunktion.</w:t>
            </w:r>
          </w:p>
          <w:p w14:paraId="4A8A0230"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p w14:paraId="2B82B911"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u w:val="single"/>
              </w:rPr>
            </w:pPr>
            <w:r w:rsidRPr="3A20558F">
              <w:rPr>
                <w:sz w:val="14"/>
                <w:szCs w:val="14"/>
                <w:u w:val="single"/>
              </w:rPr>
              <w:t>Njurar</w:t>
            </w:r>
          </w:p>
          <w:p w14:paraId="51027B8B"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Elimineringen påverkas av minskat kreatininclearance men dosjustering är inte nödvändig.</w:t>
            </w:r>
          </w:p>
          <w:p w14:paraId="674A7071"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 xml:space="preserve">Galantamin är kontraindicerat vid </w:t>
            </w:r>
          </w:p>
          <w:p w14:paraId="2DC87CF0"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GFR &lt; 9 ml/min.</w:t>
            </w:r>
          </w:p>
        </w:tc>
        <w:tc>
          <w:tcPr>
            <w:tcW w:w="0" w:type="auto"/>
          </w:tcPr>
          <w:p w14:paraId="7F6DCD83"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u w:val="single"/>
              </w:rPr>
            </w:pPr>
            <w:r w:rsidRPr="3A20558F">
              <w:rPr>
                <w:sz w:val="14"/>
                <w:szCs w:val="14"/>
                <w:u w:val="single"/>
              </w:rPr>
              <w:t>Lever</w:t>
            </w:r>
          </w:p>
          <w:p w14:paraId="327221FD"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Vid milt nedsatt leverfunktion krävs ingen dosjustering.</w:t>
            </w:r>
          </w:p>
          <w:p w14:paraId="5F8EA313"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Data saknas för användning vid svårt nedsatt leverfunktion varför behandling med memantin inte rekommenderas.</w:t>
            </w:r>
          </w:p>
          <w:p w14:paraId="7E130AA2"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p w14:paraId="3B8BD6EC"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u w:val="single"/>
              </w:rPr>
            </w:pPr>
            <w:r w:rsidRPr="3A20558F">
              <w:rPr>
                <w:sz w:val="14"/>
                <w:szCs w:val="14"/>
                <w:u w:val="single"/>
              </w:rPr>
              <w:t>Njurar</w:t>
            </w:r>
          </w:p>
          <w:p w14:paraId="7EC0EF20"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Måttligt nedsatt njurfunktion eGFR (30-49 ml/min) – försiktig dostitrering utifrån tolerans.</w:t>
            </w:r>
          </w:p>
          <w:p w14:paraId="4AA2A532"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r w:rsidRPr="3A20558F">
              <w:rPr>
                <w:sz w:val="14"/>
                <w:szCs w:val="14"/>
              </w:rPr>
              <w:t>Svårt nedsatt njurfunktion (eGFR 5-29 ml/min) – daglig dos bör inte överstiga 10 mg.</w:t>
            </w:r>
          </w:p>
          <w:p w14:paraId="5CA851B1" w14:textId="77777777" w:rsidR="00702564" w:rsidRPr="00C43E37" w:rsidRDefault="00702564" w:rsidP="00632FCC">
            <w:pPr>
              <w:tabs>
                <w:tab w:val="clear" w:pos="284"/>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4"/>
                <w:szCs w:val="14"/>
              </w:rPr>
            </w:pPr>
          </w:p>
        </w:tc>
      </w:tr>
      <w:tr w:rsidR="00702564" w:rsidRPr="00C43E37" w14:paraId="4FF08528" w14:textId="77777777" w:rsidTr="00632FCC">
        <w:trPr>
          <w:trHeight w:val="847"/>
        </w:trPr>
        <w:tc>
          <w:tcPr>
            <w:cnfStyle w:val="001000000000" w:firstRow="0" w:lastRow="0" w:firstColumn="1" w:lastColumn="0" w:oddVBand="0" w:evenVBand="0" w:oddHBand="0" w:evenHBand="0" w:firstRowFirstColumn="0" w:firstRowLastColumn="0" w:lastRowFirstColumn="0" w:lastRowLastColumn="0"/>
            <w:tcW w:w="0" w:type="auto"/>
          </w:tcPr>
          <w:p w14:paraId="488296FA" w14:textId="77777777" w:rsidR="00702564" w:rsidRPr="00C43E37" w:rsidRDefault="00702564" w:rsidP="00632FCC">
            <w:pPr>
              <w:tabs>
                <w:tab w:val="clear" w:pos="284"/>
              </w:tabs>
              <w:autoSpaceDE w:val="0"/>
              <w:autoSpaceDN w:val="0"/>
              <w:adjustRightInd w:val="0"/>
              <w:spacing w:line="240" w:lineRule="auto"/>
              <w:rPr>
                <w:b w:val="0"/>
                <w:bCs w:val="0"/>
                <w:sz w:val="14"/>
                <w:szCs w:val="14"/>
              </w:rPr>
            </w:pPr>
            <w:r w:rsidRPr="3A20558F">
              <w:rPr>
                <w:sz w:val="14"/>
                <w:szCs w:val="14"/>
              </w:rPr>
              <w:t>Administrerings-rekommendationer</w:t>
            </w:r>
          </w:p>
        </w:tc>
        <w:tc>
          <w:tcPr>
            <w:tcW w:w="0" w:type="auto"/>
          </w:tcPr>
          <w:p w14:paraId="54E6C824"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Tas till kvällen innan sänggående pga. risk för dagtrötthet.</w:t>
            </w:r>
          </w:p>
        </w:tc>
        <w:tc>
          <w:tcPr>
            <w:tcW w:w="0" w:type="auto"/>
          </w:tcPr>
          <w:p w14:paraId="3498E652"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u w:val="single"/>
              </w:rPr>
            </w:pPr>
            <w:r w:rsidRPr="3A20558F">
              <w:rPr>
                <w:sz w:val="14"/>
                <w:szCs w:val="14"/>
                <w:u w:val="single"/>
              </w:rPr>
              <w:t>Kapsel och oral lösning</w:t>
            </w:r>
          </w:p>
          <w:p w14:paraId="68C89813"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I samband med morgonmål och kvällsmål.</w:t>
            </w:r>
          </w:p>
          <w:p w14:paraId="727F0B42"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0EDFD492"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u w:val="single"/>
              </w:rPr>
            </w:pPr>
            <w:r w:rsidRPr="3A20558F">
              <w:rPr>
                <w:sz w:val="14"/>
                <w:szCs w:val="14"/>
                <w:u w:val="single"/>
              </w:rPr>
              <w:t>Plåster</w:t>
            </w:r>
          </w:p>
          <w:p w14:paraId="3BEAA69A"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Se instruktioner på bipacksedeln.</w:t>
            </w:r>
          </w:p>
        </w:tc>
        <w:tc>
          <w:tcPr>
            <w:tcW w:w="0" w:type="auto"/>
          </w:tcPr>
          <w:p w14:paraId="34063950"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u w:val="single"/>
              </w:rPr>
            </w:pPr>
            <w:r w:rsidRPr="3A20558F">
              <w:rPr>
                <w:sz w:val="14"/>
                <w:szCs w:val="14"/>
                <w:u w:val="single"/>
              </w:rPr>
              <w:t>Kapsel</w:t>
            </w:r>
          </w:p>
          <w:p w14:paraId="6DD183F5"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Tas på morgonen, helst i samband med måltid.</w:t>
            </w:r>
          </w:p>
          <w:p w14:paraId="19C03C4D"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p w14:paraId="7ED617D5"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u w:val="single"/>
              </w:rPr>
            </w:pPr>
            <w:r w:rsidRPr="3A20558F">
              <w:rPr>
                <w:sz w:val="14"/>
                <w:szCs w:val="14"/>
                <w:u w:val="single"/>
              </w:rPr>
              <w:t>Oral lösning</w:t>
            </w:r>
          </w:p>
          <w:p w14:paraId="765D399E"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Tas morgon och kväll, helst tillsammans med morgon- och kvällsmål.</w:t>
            </w:r>
          </w:p>
        </w:tc>
        <w:tc>
          <w:tcPr>
            <w:tcW w:w="0" w:type="auto"/>
          </w:tcPr>
          <w:p w14:paraId="71784A52"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r w:rsidRPr="3A20558F">
              <w:rPr>
                <w:sz w:val="14"/>
                <w:szCs w:val="14"/>
              </w:rPr>
              <w:t>Bör tas vid samma tidpunkt varje dag med eller utan mat.</w:t>
            </w:r>
          </w:p>
          <w:p w14:paraId="2EC82998" w14:textId="77777777" w:rsidR="00702564" w:rsidRPr="00C43E37" w:rsidRDefault="00702564" w:rsidP="00632FCC">
            <w:pPr>
              <w:tabs>
                <w:tab w:val="clear" w:pos="284"/>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14"/>
                <w:szCs w:val="14"/>
              </w:rPr>
            </w:pPr>
          </w:p>
        </w:tc>
      </w:tr>
    </w:tbl>
    <w:p w14:paraId="593140AC" w14:textId="77777777" w:rsidR="00702564" w:rsidRDefault="00702564" w:rsidP="00702564">
      <w:pPr>
        <w:spacing w:before="120" w:line="260" w:lineRule="exact"/>
        <w:rPr>
          <w:rStyle w:val="Hyperlnk"/>
          <w:rFonts w:cs="Arial"/>
          <w:u w:val="none"/>
        </w:rPr>
      </w:pPr>
    </w:p>
    <w:p w14:paraId="518AEAF6" w14:textId="77777777" w:rsidR="00702564" w:rsidRDefault="00702564" w:rsidP="00702564">
      <w:pPr>
        <w:spacing w:before="120" w:line="260" w:lineRule="exact"/>
        <w:rPr>
          <w:rStyle w:val="Hyperlnk"/>
          <w:rFonts w:cs="Arial"/>
          <w:u w:val="none"/>
        </w:rPr>
      </w:pPr>
    </w:p>
    <w:p w14:paraId="5964CF75" w14:textId="77777777" w:rsidR="00702564" w:rsidRDefault="00702564" w:rsidP="00702564">
      <w:pPr>
        <w:rPr>
          <w:rStyle w:val="Hyperlnk"/>
          <w:rFonts w:cs="Arial"/>
          <w:u w:val="none"/>
        </w:rPr>
      </w:pPr>
      <w:r w:rsidRPr="3A20558F">
        <w:rPr>
          <w:rFonts w:asciiTheme="minorHAnsi" w:hAnsiTheme="minorHAnsi"/>
          <w:sz w:val="18"/>
          <w:szCs w:val="18"/>
        </w:rPr>
        <w:t>Figur ovan:</w:t>
      </w:r>
      <w:r w:rsidRPr="3A20558F">
        <w:rPr>
          <w:rFonts w:asciiTheme="minorHAnsi" w:hAnsiTheme="minorHAnsi"/>
          <w:b/>
          <w:bCs/>
          <w:sz w:val="18"/>
          <w:szCs w:val="18"/>
        </w:rPr>
        <w:t xml:space="preserve"> AChE-H</w:t>
      </w:r>
      <w:r w:rsidRPr="3A20558F">
        <w:rPr>
          <w:rFonts w:asciiTheme="minorHAnsi" w:hAnsiTheme="minorHAnsi"/>
          <w:sz w:val="18"/>
          <w:szCs w:val="18"/>
        </w:rPr>
        <w:t xml:space="preserve">: acetylkolinesterashämmare </w:t>
      </w:r>
      <w:r w:rsidRPr="3A20558F">
        <w:rPr>
          <w:rFonts w:asciiTheme="minorHAnsi" w:hAnsiTheme="minorHAnsi"/>
          <w:b/>
          <w:bCs/>
          <w:sz w:val="18"/>
          <w:szCs w:val="18"/>
        </w:rPr>
        <w:t>BuChE-H</w:t>
      </w:r>
      <w:r w:rsidRPr="3A20558F">
        <w:rPr>
          <w:rFonts w:asciiTheme="minorHAnsi" w:hAnsiTheme="minorHAnsi"/>
          <w:sz w:val="18"/>
          <w:szCs w:val="18"/>
        </w:rPr>
        <w:t xml:space="preserve">: butyrylkolinesterashämmare </w:t>
      </w:r>
      <w:r w:rsidRPr="3A20558F">
        <w:rPr>
          <w:rFonts w:asciiTheme="minorHAnsi" w:hAnsiTheme="minorHAnsi"/>
          <w:b/>
          <w:bCs/>
          <w:sz w:val="18"/>
          <w:szCs w:val="18"/>
        </w:rPr>
        <w:t>NMDA:</w:t>
      </w:r>
      <w:r w:rsidRPr="3A20558F">
        <w:rPr>
          <w:rFonts w:asciiTheme="minorHAnsi" w:hAnsiTheme="minorHAnsi"/>
          <w:sz w:val="18"/>
          <w:szCs w:val="18"/>
        </w:rPr>
        <w:t xml:space="preserve"> N-metyl-D-aspartat </w:t>
      </w:r>
      <w:r w:rsidRPr="3A20558F">
        <w:rPr>
          <w:rFonts w:asciiTheme="minorHAnsi" w:hAnsiTheme="minorHAnsi"/>
          <w:b/>
          <w:bCs/>
          <w:sz w:val="18"/>
          <w:szCs w:val="18"/>
        </w:rPr>
        <w:t>5-HT</w:t>
      </w:r>
      <w:r w:rsidRPr="3A20558F">
        <w:rPr>
          <w:rFonts w:asciiTheme="minorHAnsi" w:hAnsiTheme="minorHAnsi"/>
          <w:sz w:val="18"/>
          <w:szCs w:val="18"/>
        </w:rPr>
        <w:t xml:space="preserve">: 5-hydroxytryptamine </w:t>
      </w:r>
      <w:r w:rsidRPr="3A20558F">
        <w:rPr>
          <w:rFonts w:asciiTheme="minorHAnsi" w:hAnsiTheme="minorHAnsi"/>
          <w:b/>
          <w:bCs/>
          <w:sz w:val="18"/>
          <w:szCs w:val="18"/>
        </w:rPr>
        <w:t xml:space="preserve">Cmax: </w:t>
      </w:r>
      <w:r w:rsidRPr="3A20558F">
        <w:rPr>
          <w:rFonts w:asciiTheme="minorHAnsi" w:hAnsiTheme="minorHAnsi"/>
          <w:sz w:val="18"/>
          <w:szCs w:val="18"/>
        </w:rPr>
        <w:t xml:space="preserve">maximal koncentration </w:t>
      </w:r>
      <w:r w:rsidRPr="3A20558F">
        <w:rPr>
          <w:rFonts w:asciiTheme="minorHAnsi" w:hAnsiTheme="minorHAnsi"/>
          <w:b/>
          <w:bCs/>
          <w:sz w:val="18"/>
          <w:szCs w:val="18"/>
        </w:rPr>
        <w:t xml:space="preserve">AUC: </w:t>
      </w:r>
      <w:r w:rsidRPr="3A20558F">
        <w:rPr>
          <w:rFonts w:asciiTheme="minorHAnsi" w:hAnsiTheme="minorHAnsi"/>
          <w:sz w:val="18"/>
          <w:szCs w:val="18"/>
        </w:rPr>
        <w:t>arean under kurvan.</w:t>
      </w:r>
      <w:r>
        <w:br/>
      </w:r>
      <w:r>
        <w:rPr>
          <w:rStyle w:val="Hyperlnk"/>
          <w:rFonts w:cs="Arial"/>
          <w:u w:val="none"/>
        </w:rPr>
        <w:br/>
      </w:r>
    </w:p>
    <w:p w14:paraId="0B77B185" w14:textId="77777777" w:rsidR="00702564" w:rsidRDefault="00702564" w:rsidP="00702564">
      <w:pPr>
        <w:pStyle w:val="Rubrik2"/>
        <w:tabs>
          <w:tab w:val="left" w:pos="5103"/>
        </w:tabs>
        <w:sectPr w:rsidR="00702564" w:rsidSect="00702564">
          <w:pgSz w:w="16838" w:h="11906" w:orient="landscape" w:code="9"/>
          <w:pgMar w:top="1276" w:right="1701" w:bottom="567" w:left="1276" w:header="624" w:footer="624" w:gutter="0"/>
          <w:cols w:space="284"/>
          <w:titlePg/>
          <w:docGrid w:linePitch="360"/>
        </w:sectPr>
      </w:pPr>
    </w:p>
    <w:p w14:paraId="09E1F205" w14:textId="77777777" w:rsidR="00702564" w:rsidRPr="0043503D" w:rsidRDefault="00702564" w:rsidP="00702564">
      <w:pPr>
        <w:pStyle w:val="Rubrik2"/>
      </w:pPr>
      <w:r>
        <w:lastRenderedPageBreak/>
        <w:t>Beteendemässiga och psykiska symtom vid demenssjukdom (BPSD)</w:t>
      </w:r>
    </w:p>
    <w:p w14:paraId="3C0E4DDC" w14:textId="77777777" w:rsidR="00702564" w:rsidRPr="00ED12B6" w:rsidRDefault="00702564" w:rsidP="00702564">
      <w:pPr>
        <w:rPr>
          <w:rFonts w:ascii="Corbel" w:hAnsi="Corbel"/>
          <w:b/>
          <w:bCs/>
        </w:rPr>
      </w:pPr>
      <w:r w:rsidRPr="3A20558F">
        <w:rPr>
          <w:rFonts w:ascii="Corbel" w:hAnsi="Corbel"/>
          <w:b/>
          <w:bCs/>
        </w:rPr>
        <w:t>Senast uppdaterad 2020-12-10</w:t>
      </w:r>
    </w:p>
    <w:p w14:paraId="0BCDB290" w14:textId="77777777" w:rsidR="00702564" w:rsidRPr="00E07FA4" w:rsidRDefault="00702564" w:rsidP="00702564">
      <w:pPr>
        <w:rPr>
          <w:sz w:val="24"/>
          <w:szCs w:val="24"/>
        </w:rPr>
      </w:pPr>
    </w:p>
    <w:p w14:paraId="710A5810" w14:textId="1273A33D" w:rsidR="00702564" w:rsidRPr="00067550" w:rsidRDefault="00702564" w:rsidP="00702564">
      <w:pPr>
        <w:spacing w:before="120"/>
        <w:rPr>
          <w:sz w:val="24"/>
          <w:szCs w:val="24"/>
        </w:rPr>
      </w:pPr>
      <w:r w:rsidRPr="3A20558F">
        <w:rPr>
          <w:sz w:val="24"/>
          <w:szCs w:val="24"/>
        </w:rPr>
        <w:t>Symtom som tillhör BPSD är depression, ångest, insomni, aggressivitet, agitation, konfusion/förvirring och psykos. Innan man diagnostiserar BPSD så ska andra orsaker uteslutas eller behandlas t.ex. urinvägsinfektion, smärta, uttorkning, anemi och det är viktigt att man behandla den kognitiva sjukdomen optimalt.</w:t>
      </w:r>
      <w:r w:rsidR="00067550">
        <w:rPr>
          <w:sz w:val="24"/>
          <w:szCs w:val="24"/>
        </w:rPr>
        <w:t xml:space="preserve"> </w:t>
      </w:r>
      <w:r w:rsidR="00067550">
        <w:rPr>
          <w:sz w:val="24"/>
          <w:szCs w:val="24"/>
        </w:rPr>
        <w:br/>
      </w:r>
      <w:r w:rsidRPr="3A20558F">
        <w:rPr>
          <w:sz w:val="24"/>
          <w:szCs w:val="24"/>
        </w:rPr>
        <w:t xml:space="preserve">BPSD ska i första hand behandlas icke-farmakologiskt, se mer i den regionala riktlinjen </w:t>
      </w:r>
      <w:hyperlink r:id="rId182">
        <w:r w:rsidRPr="3A20558F">
          <w:rPr>
            <w:rStyle w:val="Hyperlnk"/>
            <w:sz w:val="24"/>
            <w:szCs w:val="24"/>
          </w:rPr>
          <w:t>Regionala riktlinjer – Utredning, vård och omsorg av personer med demenssjukdom i Blekinge</w:t>
        </w:r>
      </w:hyperlink>
      <w:r w:rsidRPr="3A20558F">
        <w:rPr>
          <w:sz w:val="24"/>
          <w:szCs w:val="24"/>
        </w:rPr>
        <w:t xml:space="preserve">. Därefter, om inte icke-farmakologisk behandling fungerar, bör man prova farmakologisk behandling. </w:t>
      </w:r>
      <w:r w:rsidR="00067550">
        <w:rPr>
          <w:sz w:val="24"/>
          <w:szCs w:val="24"/>
        </w:rPr>
        <w:br/>
      </w:r>
      <w:r w:rsidRPr="3A20558F">
        <w:rPr>
          <w:rFonts w:cs="Garamond"/>
          <w:sz w:val="24"/>
          <w:szCs w:val="24"/>
        </w:rPr>
        <w:t xml:space="preserve">Vid BPSD, beteendemässiga och psykiska symtom vid demenssjukdom, kan </w:t>
      </w:r>
      <w:r w:rsidRPr="3A20558F">
        <w:rPr>
          <w:rFonts w:cs="Garamond"/>
          <w:b/>
          <w:bCs/>
          <w:sz w:val="24"/>
          <w:szCs w:val="24"/>
        </w:rPr>
        <w:t>risperidon</w:t>
      </w:r>
      <w:r w:rsidRPr="3A20558F">
        <w:rPr>
          <w:rFonts w:cs="Garamond"/>
          <w:sz w:val="24"/>
          <w:szCs w:val="24"/>
        </w:rPr>
        <w:t xml:space="preserve"> (Risperidon) användas om otillräcklig effekt uppnåtts av insatt icke-farmakologisk behandling/åtgärd samt behandling med ett SSRI-läkemedel och/eller memantin. Dosen bör sällan överskrida 1,5 mg. Viktigt är att börja med låg dos och noga utvärdera effekt och biverkningar. Behandlingen bör inte pågå mer än sex veckor (se indikation risperidon i FASS). Vid behandling av äldre personer med samtidig demenssjukdom har i studier setts en ökad risk för kardiovaskulära och cerebrovaskulära händelser (t.ex. stroke och TIA), konfusion, postural hypotension med fallrisk samt förtida död. </w:t>
      </w:r>
    </w:p>
    <w:p w14:paraId="34E15087" w14:textId="77777777" w:rsidR="00702564" w:rsidRPr="008B09D7" w:rsidRDefault="00702564" w:rsidP="00702564">
      <w:pPr>
        <w:pStyle w:val="Rubrik3"/>
      </w:pPr>
      <w:r>
        <w:t>Länkar och referenser</w:t>
      </w:r>
    </w:p>
    <w:p w14:paraId="42DB287B" w14:textId="77777777" w:rsidR="00702564" w:rsidRDefault="00702564" w:rsidP="00702564">
      <w:pPr>
        <w:spacing w:before="120"/>
      </w:pPr>
      <w:hyperlink r:id="rId183" w:history="1">
        <w:r w:rsidRPr="003052FC">
          <w:rPr>
            <w:color w:val="0000FF"/>
            <w:u w:val="single"/>
          </w:rPr>
          <w:t>Nationella riktlinjer för vård och omsorg vid demenssjukdom - Socialstyrelsen</w:t>
        </w:r>
      </w:hyperlink>
      <w:r>
        <w:rPr>
          <w:color w:val="0000FF"/>
          <w:u w:val="single"/>
        </w:rPr>
        <w:t xml:space="preserve"> </w:t>
      </w:r>
    </w:p>
    <w:p w14:paraId="6CACBD90" w14:textId="77777777" w:rsidR="00702564" w:rsidRDefault="00702564" w:rsidP="00702564">
      <w:pPr>
        <w:spacing w:before="120"/>
      </w:pPr>
      <w:hyperlink r:id="rId184" w:history="1">
        <w:r w:rsidRPr="0043503D">
          <w:rPr>
            <w:rStyle w:val="Hyperlnk"/>
          </w:rPr>
          <w:t>Regionala riktlinjer – Utredning, vård och omsorg av personer med demenssjukdom i Blekinge</w:t>
        </w:r>
      </w:hyperlink>
      <w:r>
        <w:t xml:space="preserve"> </w:t>
      </w:r>
    </w:p>
    <w:p w14:paraId="39F13712" w14:textId="77777777" w:rsidR="00702564" w:rsidRDefault="00702564" w:rsidP="00702564">
      <w:pPr>
        <w:spacing w:before="120"/>
        <w:rPr>
          <w:rFonts w:cs="Garamond"/>
        </w:rPr>
      </w:pPr>
      <w:hyperlink r:id="rId185" w:history="1">
        <w:r w:rsidRPr="0043503D">
          <w:rPr>
            <w:rStyle w:val="Hyperlnk"/>
          </w:rPr>
          <w:t>Svenskt demenscentrum</w:t>
        </w:r>
      </w:hyperlink>
      <w:r>
        <w:t xml:space="preserve"> </w:t>
      </w:r>
    </w:p>
    <w:p w14:paraId="75DA8DD2" w14:textId="77777777" w:rsidR="00702564" w:rsidRPr="0071138D" w:rsidRDefault="00702564" w:rsidP="00702564">
      <w:pPr>
        <w:pStyle w:val="Rubrik2"/>
      </w:pPr>
      <w:r>
        <w:t xml:space="preserve">Behandling av äldre </w:t>
      </w:r>
    </w:p>
    <w:p w14:paraId="5C7F9AC9" w14:textId="77777777" w:rsidR="00702564" w:rsidRDefault="00702564" w:rsidP="00702564">
      <w:pPr>
        <w:rPr>
          <w:rFonts w:asciiTheme="majorHAnsi" w:eastAsiaTheme="majorEastAsia" w:hAnsiTheme="majorHAnsi" w:cstheme="majorBidi"/>
          <w:b/>
          <w:bCs/>
        </w:rPr>
      </w:pPr>
      <w:r w:rsidRPr="3A20558F">
        <w:rPr>
          <w:rFonts w:asciiTheme="majorHAnsi" w:eastAsiaTheme="majorEastAsia" w:hAnsiTheme="majorHAnsi" w:cstheme="majorBidi"/>
          <w:b/>
          <w:bCs/>
        </w:rPr>
        <w:t>Senast uppdaterad 2020-12-10</w:t>
      </w:r>
    </w:p>
    <w:p w14:paraId="266207A2" w14:textId="77777777" w:rsidR="00702564" w:rsidRPr="00556E99" w:rsidRDefault="00702564" w:rsidP="00702564">
      <w:pPr>
        <w:pStyle w:val="Rubrik3"/>
      </w:pPr>
      <w:r>
        <w:t>Inledning</w:t>
      </w:r>
    </w:p>
    <w:p w14:paraId="19CB99EF" w14:textId="77777777" w:rsidR="00702564" w:rsidRDefault="00702564" w:rsidP="00702564">
      <w:pPr>
        <w:spacing w:before="120"/>
      </w:pPr>
      <w:r w:rsidRPr="3A20558F">
        <w:rPr>
          <w:sz w:val="24"/>
          <w:szCs w:val="24"/>
        </w:rPr>
        <w:t>Under denna rubrik belyses skillnader i behandling av olika psykiska tillstånd mellan äldre och vuxna. För mer information se under respektive avsnitt vid behandling av vuxna.</w:t>
      </w:r>
    </w:p>
    <w:p w14:paraId="32DD35A0" w14:textId="77777777" w:rsidR="00702564" w:rsidRPr="00E07FA4" w:rsidRDefault="00702564" w:rsidP="00702564">
      <w:pPr>
        <w:pStyle w:val="Rubrik2"/>
        <w:rPr>
          <w:szCs w:val="24"/>
        </w:rPr>
      </w:pPr>
      <w:r>
        <w:t xml:space="preserve">Sömnstörning </w:t>
      </w:r>
    </w:p>
    <w:p w14:paraId="6B5EFFC2" w14:textId="77777777" w:rsidR="00702564" w:rsidRPr="00556E99" w:rsidRDefault="00702564" w:rsidP="00702564">
      <w:pPr>
        <w:spacing w:before="120"/>
        <w:rPr>
          <w:rFonts w:cs="Arial"/>
          <w:sz w:val="24"/>
          <w:szCs w:val="24"/>
        </w:rPr>
      </w:pPr>
      <w:r w:rsidRPr="3A20558F">
        <w:rPr>
          <w:rFonts w:cs="Arial"/>
          <w:b/>
          <w:bCs/>
          <w:sz w:val="24"/>
          <w:szCs w:val="24"/>
        </w:rPr>
        <w:t>OBS!</w:t>
      </w:r>
      <w:r w:rsidRPr="3A20558F">
        <w:rPr>
          <w:rFonts w:cs="Arial"/>
          <w:sz w:val="24"/>
          <w:szCs w:val="24"/>
        </w:rPr>
        <w:t xml:space="preserve"> Använd icke-farmakologiska metoder i första hand. För alternativ se ”Sov bra – utan sömnmedicin” på 1177.se.</w:t>
      </w:r>
    </w:p>
    <w:tbl>
      <w:tblPr>
        <w:tblStyle w:val="RegionBlekinge-medlinjer"/>
        <w:tblW w:w="0" w:type="auto"/>
        <w:tblLook w:val="04A0" w:firstRow="1" w:lastRow="0" w:firstColumn="1" w:lastColumn="0" w:noHBand="0" w:noVBand="1"/>
      </w:tblPr>
      <w:tblGrid>
        <w:gridCol w:w="3963"/>
        <w:gridCol w:w="4821"/>
      </w:tblGrid>
      <w:tr w:rsidR="00702564" w14:paraId="6DA4D2E9" w14:textId="77777777" w:rsidTr="0063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14:paraId="36869E01" w14:textId="77777777" w:rsidR="00702564" w:rsidRPr="00116CD1" w:rsidRDefault="00702564" w:rsidP="00632FCC">
            <w:r w:rsidRPr="00116CD1">
              <w:rPr>
                <w:rFonts w:cs="Garamond"/>
              </w:rPr>
              <w:t>Zopiklon</w:t>
            </w:r>
            <w:r w:rsidRPr="00116CD1">
              <w:rPr>
                <w:rFonts w:cs="Garamond"/>
              </w:rPr>
              <w:tab/>
            </w:r>
          </w:p>
        </w:tc>
        <w:tc>
          <w:tcPr>
            <w:tcW w:w="4821" w:type="dxa"/>
          </w:tcPr>
          <w:p w14:paraId="65684ED3" w14:textId="77777777" w:rsidR="00702564" w:rsidRPr="00116CD1" w:rsidRDefault="00702564" w:rsidP="00632FCC">
            <w:pPr>
              <w:cnfStyle w:val="100000000000" w:firstRow="1" w:lastRow="0" w:firstColumn="0" w:lastColumn="0" w:oddVBand="0" w:evenVBand="0" w:oddHBand="0" w:evenHBand="0" w:firstRowFirstColumn="0" w:firstRowLastColumn="0" w:lastRowFirstColumn="0" w:lastRowLastColumn="0"/>
              <w:rPr>
                <w:b w:val="0"/>
              </w:rPr>
            </w:pPr>
            <w:r w:rsidRPr="3A20558F">
              <w:rPr>
                <w:rFonts w:cs="Garamond"/>
                <w:b w:val="0"/>
              </w:rPr>
              <w:t>zopiklon</w:t>
            </w:r>
          </w:p>
        </w:tc>
      </w:tr>
    </w:tbl>
    <w:p w14:paraId="673C21D0" w14:textId="77777777" w:rsidR="00702564" w:rsidRPr="00E07FA4" w:rsidRDefault="00702564" w:rsidP="00702564">
      <w:pPr>
        <w:rPr>
          <w:rFonts w:cs="Garamond"/>
          <w:i/>
          <w:iCs/>
          <w:sz w:val="24"/>
          <w:szCs w:val="24"/>
        </w:rPr>
      </w:pPr>
      <w:r>
        <w:rPr>
          <w:rFonts w:cs="Garamond"/>
        </w:rPr>
        <w:tab/>
      </w:r>
      <w:r w:rsidRPr="00E07FA4">
        <w:rPr>
          <w:rFonts w:cs="Garamond"/>
          <w:sz w:val="24"/>
          <w:szCs w:val="24"/>
        </w:rPr>
        <w:t xml:space="preserve"> </w:t>
      </w:r>
    </w:p>
    <w:p w14:paraId="08EA1B6E" w14:textId="77777777" w:rsidR="00702564" w:rsidRDefault="00702564" w:rsidP="00702564">
      <w:pPr>
        <w:tabs>
          <w:tab w:val="clear" w:pos="284"/>
        </w:tabs>
        <w:spacing w:after="120" w:line="260" w:lineRule="atLeast"/>
        <w:rPr>
          <w:rFonts w:cs="Garamond"/>
          <w:sz w:val="24"/>
          <w:szCs w:val="24"/>
        </w:rPr>
      </w:pPr>
      <w:r>
        <w:rPr>
          <w:rFonts w:cs="Garamond"/>
          <w:sz w:val="24"/>
          <w:szCs w:val="24"/>
        </w:rPr>
        <w:br w:type="page"/>
      </w:r>
    </w:p>
    <w:p w14:paraId="5C90B308" w14:textId="30AA09BC" w:rsidR="00702564" w:rsidRDefault="00702564" w:rsidP="00702564">
      <w:pPr>
        <w:spacing w:before="120"/>
        <w:rPr>
          <w:rFonts w:cs="Garamond"/>
          <w:sz w:val="24"/>
          <w:szCs w:val="24"/>
        </w:rPr>
      </w:pPr>
      <w:r w:rsidRPr="3A20558F">
        <w:rPr>
          <w:rFonts w:cs="Garamond"/>
          <w:sz w:val="24"/>
          <w:szCs w:val="24"/>
        </w:rPr>
        <w:lastRenderedPageBreak/>
        <w:t xml:space="preserve">I första hand ska icke-farmakologiska åtgärder (se mer under kapitlet sömn) vidtas innan farmakologisk behandling ordineras och eventuell bakomliggande orsak ska behandlas optimalt. Farmakologisk behandling ska ordineras under kortast möjliga period och intermittent dosering är önskvärd. </w:t>
      </w:r>
      <w:r w:rsidR="00067550">
        <w:rPr>
          <w:rFonts w:cs="Garamond"/>
          <w:sz w:val="24"/>
          <w:szCs w:val="24"/>
        </w:rPr>
        <w:br/>
      </w:r>
      <w:r w:rsidRPr="3A20558F">
        <w:rPr>
          <w:rFonts w:cs="Garamond"/>
          <w:sz w:val="24"/>
          <w:szCs w:val="24"/>
        </w:rPr>
        <w:t xml:space="preserve">Preparat med lång (ex nitrazepam) eller kort halveringstid (zolpidem) bör undvikas till äldre varför </w:t>
      </w:r>
      <w:r w:rsidRPr="3A20558F">
        <w:rPr>
          <w:rFonts w:cs="Garamond"/>
          <w:b/>
          <w:bCs/>
          <w:sz w:val="24"/>
          <w:szCs w:val="24"/>
        </w:rPr>
        <w:t xml:space="preserve">zopiklon </w:t>
      </w:r>
      <w:r w:rsidRPr="3A20558F">
        <w:rPr>
          <w:rFonts w:cs="Garamond"/>
          <w:sz w:val="24"/>
          <w:szCs w:val="24"/>
        </w:rPr>
        <w:t xml:space="preserve">(Imovane) kan vara ett lämpligt alternativ. Även oxazepam (Oxascand) kan vara ett alternativ till äldre och bör ges 1 timme innan sänggående då det absorberas långsamt. </w:t>
      </w:r>
      <w:r w:rsidR="00067550">
        <w:rPr>
          <w:rFonts w:cs="Garamond"/>
          <w:sz w:val="24"/>
          <w:szCs w:val="24"/>
        </w:rPr>
        <w:br/>
      </w:r>
      <w:r w:rsidRPr="3A20558F">
        <w:rPr>
          <w:rFonts w:cs="Garamond"/>
          <w:sz w:val="24"/>
          <w:szCs w:val="24"/>
        </w:rPr>
        <w:t>Vid extrem agitation och aggressivitet kan klometiazol (Heminevrin) vara ett alternativ under en kortare behandlingsperiod. Observera risken för tolerans och beroende. Hos patienter med KOL och astma finns en risk för ökad slembildning i luftrören.</w:t>
      </w:r>
      <w:r w:rsidR="00067550">
        <w:rPr>
          <w:rFonts w:cs="Garamond"/>
          <w:sz w:val="24"/>
          <w:szCs w:val="24"/>
        </w:rPr>
        <w:t xml:space="preserve"> </w:t>
      </w:r>
      <w:r w:rsidR="00067550">
        <w:rPr>
          <w:rFonts w:cs="Garamond"/>
          <w:sz w:val="24"/>
          <w:szCs w:val="24"/>
        </w:rPr>
        <w:br/>
      </w:r>
      <w:r w:rsidRPr="3A20558F">
        <w:rPr>
          <w:rFonts w:cs="Garamond"/>
          <w:sz w:val="24"/>
          <w:szCs w:val="24"/>
        </w:rPr>
        <w:t>Propiomazin (Propavan) är inte ett alternativ till äldre pga. risken för antikolinerga biverkningar.</w:t>
      </w:r>
    </w:p>
    <w:p w14:paraId="36311D30" w14:textId="77777777" w:rsidR="00702564" w:rsidRDefault="00702564" w:rsidP="00702564">
      <w:pPr>
        <w:tabs>
          <w:tab w:val="clear" w:pos="284"/>
        </w:tabs>
        <w:spacing w:after="120" w:line="260" w:lineRule="atLeast"/>
        <w:rPr>
          <w:rFonts w:cs="Garamond"/>
          <w:sz w:val="24"/>
          <w:szCs w:val="24"/>
        </w:rPr>
      </w:pPr>
    </w:p>
    <w:p w14:paraId="153987C4" w14:textId="77777777" w:rsidR="00702564" w:rsidRPr="0071138D" w:rsidRDefault="00702564" w:rsidP="00702564">
      <w:pPr>
        <w:pStyle w:val="Rubrik2"/>
      </w:pPr>
      <w:r>
        <w:t xml:space="preserve">Depression </w:t>
      </w:r>
    </w:p>
    <w:p w14:paraId="5B1A2F10" w14:textId="77777777" w:rsidR="00702564" w:rsidRPr="00556E99" w:rsidRDefault="00702564" w:rsidP="00702564">
      <w:pPr>
        <w:rPr>
          <w:i/>
          <w:iCs/>
          <w:sz w:val="24"/>
          <w:szCs w:val="24"/>
        </w:rPr>
      </w:pPr>
      <w:r w:rsidRPr="00E07FA4">
        <w:rPr>
          <w:b/>
          <w:bCs/>
          <w:sz w:val="24"/>
          <w:szCs w:val="24"/>
        </w:rPr>
        <w:tab/>
      </w:r>
      <w:r w:rsidRPr="00E07FA4">
        <w:rPr>
          <w:b/>
          <w:bCs/>
          <w:sz w:val="24"/>
          <w:szCs w:val="24"/>
        </w:rPr>
        <w:tab/>
      </w:r>
      <w:r w:rsidRPr="00E07FA4">
        <w:rPr>
          <w:sz w:val="24"/>
          <w:szCs w:val="24"/>
        </w:rPr>
        <w:t xml:space="preserve"> </w:t>
      </w:r>
    </w:p>
    <w:tbl>
      <w:tblPr>
        <w:tblStyle w:val="RegionBlekinge-medlinjer"/>
        <w:tblW w:w="0" w:type="auto"/>
        <w:tblLook w:val="04A0" w:firstRow="1" w:lastRow="0" w:firstColumn="1" w:lastColumn="0" w:noHBand="0" w:noVBand="1"/>
      </w:tblPr>
      <w:tblGrid>
        <w:gridCol w:w="3963"/>
        <w:gridCol w:w="4679"/>
      </w:tblGrid>
      <w:tr w:rsidR="00702564" w:rsidRPr="008453A0" w14:paraId="20726F0B" w14:textId="77777777" w:rsidTr="0063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14:paraId="168C4FE2" w14:textId="77777777" w:rsidR="00702564" w:rsidRPr="008453A0" w:rsidRDefault="00702564" w:rsidP="00632FCC">
            <w:pPr>
              <w:rPr>
                <w:sz w:val="24"/>
                <w:szCs w:val="24"/>
              </w:rPr>
            </w:pPr>
            <w:r w:rsidRPr="008453A0">
              <w:rPr>
                <w:sz w:val="24"/>
                <w:szCs w:val="24"/>
              </w:rPr>
              <w:t>Sertralin</w:t>
            </w:r>
            <w:r w:rsidRPr="008453A0">
              <w:rPr>
                <w:sz w:val="24"/>
                <w:szCs w:val="24"/>
              </w:rPr>
              <w:tab/>
            </w:r>
          </w:p>
        </w:tc>
        <w:tc>
          <w:tcPr>
            <w:tcW w:w="4679" w:type="dxa"/>
          </w:tcPr>
          <w:p w14:paraId="1FE14721" w14:textId="77777777" w:rsidR="00702564" w:rsidRPr="008453A0" w:rsidRDefault="00702564" w:rsidP="00632FCC">
            <w:pPr>
              <w:cnfStyle w:val="100000000000" w:firstRow="1" w:lastRow="0" w:firstColumn="0" w:lastColumn="0" w:oddVBand="0" w:evenVBand="0" w:oddHBand="0" w:evenHBand="0" w:firstRowFirstColumn="0" w:firstRowLastColumn="0" w:lastRowFirstColumn="0" w:lastRowLastColumn="0"/>
              <w:rPr>
                <w:b w:val="0"/>
                <w:sz w:val="24"/>
                <w:szCs w:val="24"/>
              </w:rPr>
            </w:pPr>
            <w:r w:rsidRPr="3A20558F">
              <w:rPr>
                <w:b w:val="0"/>
                <w:sz w:val="24"/>
                <w:szCs w:val="24"/>
              </w:rPr>
              <w:t>sertralin</w:t>
            </w:r>
          </w:p>
        </w:tc>
      </w:tr>
    </w:tbl>
    <w:p w14:paraId="611AB95C" w14:textId="77777777" w:rsidR="00702564" w:rsidRPr="00E07FA4" w:rsidRDefault="00702564" w:rsidP="00702564">
      <w:pPr>
        <w:rPr>
          <w:sz w:val="24"/>
          <w:szCs w:val="24"/>
        </w:rPr>
      </w:pPr>
    </w:p>
    <w:p w14:paraId="5945D962" w14:textId="77777777" w:rsidR="00702564" w:rsidRPr="0071138D" w:rsidRDefault="00702564" w:rsidP="00702564">
      <w:pPr>
        <w:spacing w:before="120"/>
      </w:pPr>
      <w:r w:rsidRPr="3A20558F">
        <w:rPr>
          <w:rFonts w:cs="Garamond"/>
          <w:sz w:val="24"/>
          <w:szCs w:val="24"/>
        </w:rPr>
        <w:t xml:space="preserve">Vid behandling av äldre med depression bör en noggrann somatisk utredning genomföras och övrig läkemedelsbehandling bör beaktas då flera läkemedel kan bidra till att utlösa depression (t.ex. β- blockerare, kortikosteroider, L-dopa). Observera att depression hos äldre ofta har en annorlunda symtombild där ångest och somatiska symtom överväger snarare än symtom på nedstämdhet. Vid behandling av äldre bör en lägre startdos av selektiva serotoninåterupptagshämmare (SSRI) övervägas. Vid nedsatt njur- och leverfunktion kan dosen behöva anpassas. Det kan ta längre tid innan effekt av behandlingen ses (8–12 veckor). I ca 25 % av fallen utvecklas en kronisk depression, framför allt då vaskulära faktorer bidrar. Då återfall av depression inte är ovanligt hos äldre kan det vara aktuellt med livslång behandling och lägsta profylaktiska dos ska då eftersträvas. Vid behandling observera den ökade risken för blödning, gastrointestinala besvär samt risken för hyponatremi. </w:t>
      </w:r>
    </w:p>
    <w:p w14:paraId="3A307FF3" w14:textId="50EC7E73" w:rsidR="00702564" w:rsidRPr="00067550" w:rsidRDefault="00702564" w:rsidP="00702564">
      <w:pPr>
        <w:spacing w:before="120"/>
      </w:pPr>
      <w:r w:rsidRPr="3A20558F">
        <w:rPr>
          <w:b/>
          <w:bCs/>
          <w:sz w:val="24"/>
          <w:szCs w:val="24"/>
        </w:rPr>
        <w:t>Sertralin</w:t>
      </w:r>
      <w:r w:rsidRPr="3A20558F">
        <w:rPr>
          <w:sz w:val="24"/>
          <w:szCs w:val="24"/>
        </w:rPr>
        <w:t xml:space="preserve"> rekommenderas i första hand till äldre pga. en annorlunda interaktionsprofil och att dosberoende QT-påverkan inte visats. Om patienten tidigare har behandlats med bra resultat med annat antidepressivt läkemedel än sertralin bör detta övervägas i första hand.</w:t>
      </w:r>
      <w:r w:rsidR="00067550">
        <w:t xml:space="preserve"> </w:t>
      </w:r>
      <w:r w:rsidR="00067550">
        <w:br/>
      </w:r>
      <w:r w:rsidRPr="3A20558F">
        <w:rPr>
          <w:sz w:val="24"/>
          <w:szCs w:val="24"/>
        </w:rPr>
        <w:t xml:space="preserve">Mirtazapin kan användas vid depressioner med högt ångestinslag/agitation och sömnstörning då man erhåller en snabbare ångestdämpande effekt och sömnen blir bättre jämfört med selektiva serotoninåterupptagshämmare då den även har antihistaminerg effekt. </w:t>
      </w:r>
      <w:r w:rsidR="00067550">
        <w:br/>
      </w:r>
      <w:r w:rsidRPr="3A20558F">
        <w:rPr>
          <w:sz w:val="24"/>
          <w:szCs w:val="24"/>
        </w:rPr>
        <w:t>Då rekommenderad behandling inte fungerar bör annan antidepressiv behandling provas.</w:t>
      </w:r>
    </w:p>
    <w:p w14:paraId="71A970EE" w14:textId="77777777" w:rsidR="00702564" w:rsidRDefault="00702564" w:rsidP="00702564">
      <w:pPr>
        <w:tabs>
          <w:tab w:val="clear" w:pos="284"/>
        </w:tabs>
        <w:spacing w:after="120" w:line="260" w:lineRule="atLeast"/>
        <w:rPr>
          <w:sz w:val="24"/>
          <w:szCs w:val="24"/>
        </w:rPr>
      </w:pPr>
      <w:r>
        <w:rPr>
          <w:sz w:val="24"/>
          <w:szCs w:val="24"/>
        </w:rPr>
        <w:br w:type="page"/>
      </w:r>
    </w:p>
    <w:p w14:paraId="0C5E4AA2" w14:textId="77777777" w:rsidR="00702564" w:rsidRPr="0071138D" w:rsidRDefault="00702564" w:rsidP="00702564">
      <w:pPr>
        <w:pStyle w:val="Rubrik2"/>
      </w:pPr>
      <w:r>
        <w:lastRenderedPageBreak/>
        <w:t xml:space="preserve">Tillfällig oro/ångest </w:t>
      </w:r>
    </w:p>
    <w:p w14:paraId="1861D92F" w14:textId="77777777" w:rsidR="00702564" w:rsidRPr="00E07FA4" w:rsidRDefault="00702564" w:rsidP="00702564">
      <w:pPr>
        <w:rPr>
          <w:rFonts w:cs="Garamond"/>
          <w:b/>
          <w:bCs/>
          <w:sz w:val="24"/>
          <w:szCs w:val="24"/>
        </w:rPr>
      </w:pPr>
    </w:p>
    <w:tbl>
      <w:tblPr>
        <w:tblStyle w:val="RegionBlekinge-medlinjer"/>
        <w:tblW w:w="0" w:type="auto"/>
        <w:tblLook w:val="04A0" w:firstRow="1" w:lastRow="0" w:firstColumn="1" w:lastColumn="0" w:noHBand="0" w:noVBand="1"/>
      </w:tblPr>
      <w:tblGrid>
        <w:gridCol w:w="3963"/>
        <w:gridCol w:w="3963"/>
      </w:tblGrid>
      <w:tr w:rsidR="00702564" w14:paraId="42EF00CD" w14:textId="77777777" w:rsidTr="0063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14:paraId="7CD5999E" w14:textId="77777777" w:rsidR="00702564" w:rsidRPr="00116CD1" w:rsidRDefault="00702564" w:rsidP="00632FCC">
            <w:pPr>
              <w:rPr>
                <w:rFonts w:cs="Garamond"/>
              </w:rPr>
            </w:pPr>
            <w:r w:rsidRPr="00116CD1">
              <w:rPr>
                <w:rFonts w:cs="Garamond"/>
              </w:rPr>
              <w:t>Oxazepam</w:t>
            </w:r>
            <w:r w:rsidRPr="00116CD1">
              <w:rPr>
                <w:rFonts w:cs="Garamond"/>
              </w:rPr>
              <w:tab/>
            </w:r>
          </w:p>
        </w:tc>
        <w:tc>
          <w:tcPr>
            <w:tcW w:w="3963" w:type="dxa"/>
          </w:tcPr>
          <w:p w14:paraId="29732F6C" w14:textId="77777777" w:rsidR="00702564" w:rsidRPr="00116CD1" w:rsidRDefault="00702564" w:rsidP="00632FCC">
            <w:pPr>
              <w:cnfStyle w:val="100000000000" w:firstRow="1" w:lastRow="0" w:firstColumn="0" w:lastColumn="0" w:oddVBand="0" w:evenVBand="0" w:oddHBand="0" w:evenHBand="0" w:firstRowFirstColumn="0" w:firstRowLastColumn="0" w:lastRowFirstColumn="0" w:lastRowLastColumn="0"/>
              <w:rPr>
                <w:rFonts w:cs="Garamond"/>
                <w:b w:val="0"/>
              </w:rPr>
            </w:pPr>
            <w:r w:rsidRPr="3A20558F">
              <w:rPr>
                <w:rFonts w:cs="Garamond"/>
                <w:b w:val="0"/>
              </w:rPr>
              <w:t>Oxascand</w:t>
            </w:r>
          </w:p>
        </w:tc>
      </w:tr>
      <w:tr w:rsidR="00702564" w:rsidRPr="008453A0" w14:paraId="705A0E96" w14:textId="77777777" w:rsidTr="00632FCC">
        <w:tc>
          <w:tcPr>
            <w:cnfStyle w:val="001000000000" w:firstRow="0" w:lastRow="0" w:firstColumn="1" w:lastColumn="0" w:oddVBand="0" w:evenVBand="0" w:oddHBand="0" w:evenHBand="0" w:firstRowFirstColumn="0" w:firstRowLastColumn="0" w:lastRowFirstColumn="0" w:lastRowLastColumn="0"/>
            <w:tcW w:w="7926" w:type="dxa"/>
            <w:gridSpan w:val="2"/>
          </w:tcPr>
          <w:p w14:paraId="65FE85A6" w14:textId="77777777" w:rsidR="00702564" w:rsidRPr="008453A0" w:rsidRDefault="00702564" w:rsidP="00632FCC">
            <w:pPr>
              <w:rPr>
                <w:rFonts w:cs="Garamond"/>
                <w:b w:val="0"/>
                <w:sz w:val="24"/>
                <w:szCs w:val="24"/>
              </w:rPr>
            </w:pPr>
            <w:r w:rsidRPr="3A20558F">
              <w:rPr>
                <w:rFonts w:cs="Garamond"/>
                <w:b w:val="0"/>
                <w:sz w:val="24"/>
                <w:szCs w:val="24"/>
              </w:rPr>
              <w:t xml:space="preserve">Ej stående behandling </w:t>
            </w:r>
          </w:p>
        </w:tc>
      </w:tr>
    </w:tbl>
    <w:p w14:paraId="49EE962A" w14:textId="77777777" w:rsidR="00702564" w:rsidRPr="00E07FA4" w:rsidRDefault="00702564" w:rsidP="00702564">
      <w:pPr>
        <w:rPr>
          <w:rFonts w:cs="Garamond"/>
          <w:i/>
          <w:iCs/>
          <w:sz w:val="24"/>
          <w:szCs w:val="24"/>
        </w:rPr>
      </w:pPr>
      <w:r>
        <w:rPr>
          <w:rFonts w:cs="Garamond"/>
          <w:b/>
          <w:bCs/>
        </w:rPr>
        <w:tab/>
      </w:r>
      <w:r w:rsidRPr="00E07FA4">
        <w:rPr>
          <w:rFonts w:cs="Garamond"/>
          <w:b/>
          <w:bCs/>
          <w:sz w:val="24"/>
          <w:szCs w:val="24"/>
        </w:rPr>
        <w:tab/>
      </w:r>
    </w:p>
    <w:p w14:paraId="6103A4E5" w14:textId="77777777" w:rsidR="00702564" w:rsidRDefault="00702564" w:rsidP="00702564">
      <w:pPr>
        <w:spacing w:before="120"/>
      </w:pPr>
      <w:r w:rsidRPr="3A20558F">
        <w:rPr>
          <w:sz w:val="24"/>
          <w:szCs w:val="24"/>
        </w:rPr>
        <w:t xml:space="preserve">Vid tillfällig oro hos äldre rekommenderas </w:t>
      </w:r>
      <w:r w:rsidRPr="3A20558F">
        <w:rPr>
          <w:b/>
          <w:bCs/>
          <w:sz w:val="24"/>
          <w:szCs w:val="24"/>
        </w:rPr>
        <w:t xml:space="preserve">oxazepam </w:t>
      </w:r>
      <w:r w:rsidRPr="3A20558F">
        <w:rPr>
          <w:sz w:val="24"/>
          <w:szCs w:val="24"/>
        </w:rPr>
        <w:t xml:space="preserve">(Oxascand) då varken hydroxizin (Atarax) eller prometazin (Lergigan) är lämpliga på grund av sina biverkningsprofiler. </w:t>
      </w:r>
      <w:r>
        <w:rPr>
          <w:sz w:val="24"/>
          <w:szCs w:val="24"/>
        </w:rPr>
        <w:br/>
      </w:r>
      <w:r w:rsidRPr="3A20558F">
        <w:rPr>
          <w:sz w:val="24"/>
          <w:szCs w:val="24"/>
        </w:rPr>
        <w:t xml:space="preserve">Oxazepam har kort halveringstid, renal utsöndring och inga aktiva metaboliter. Observera den ökade risken för fall. Kort behandlingstid, lägsta möjliga dos och intermittent dosering är att eftersträva. Oro hos äldre är ofta relaterat till en depression. </w:t>
      </w:r>
    </w:p>
    <w:p w14:paraId="63D9C4A6" w14:textId="77777777" w:rsidR="00702564" w:rsidRPr="0071138D" w:rsidRDefault="00702564" w:rsidP="00702564">
      <w:pPr>
        <w:pStyle w:val="Rubrik2"/>
      </w:pPr>
      <w:r>
        <w:t xml:space="preserve">Oro/ångest med depressiva inslag </w:t>
      </w:r>
    </w:p>
    <w:p w14:paraId="3459FDE1" w14:textId="77777777" w:rsidR="00702564" w:rsidRPr="00E07FA4" w:rsidRDefault="00702564" w:rsidP="00702564">
      <w:pPr>
        <w:rPr>
          <w:b/>
          <w:bCs/>
          <w:sz w:val="24"/>
          <w:szCs w:val="24"/>
        </w:rPr>
      </w:pPr>
    </w:p>
    <w:tbl>
      <w:tblPr>
        <w:tblStyle w:val="RegionBlekinge-medlinjer"/>
        <w:tblW w:w="0" w:type="auto"/>
        <w:tblLook w:val="04A0" w:firstRow="1" w:lastRow="0" w:firstColumn="1" w:lastColumn="0" w:noHBand="0" w:noVBand="1"/>
      </w:tblPr>
      <w:tblGrid>
        <w:gridCol w:w="3963"/>
        <w:gridCol w:w="3963"/>
      </w:tblGrid>
      <w:tr w:rsidR="00702564" w:rsidRPr="008453A0" w14:paraId="571494FA" w14:textId="77777777" w:rsidTr="0063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14:paraId="7B6D77F4" w14:textId="77777777" w:rsidR="00702564" w:rsidRPr="008453A0" w:rsidRDefault="00702564" w:rsidP="00632FCC">
            <w:pPr>
              <w:rPr>
                <w:sz w:val="24"/>
                <w:szCs w:val="24"/>
              </w:rPr>
            </w:pPr>
            <w:r w:rsidRPr="008453A0">
              <w:rPr>
                <w:sz w:val="24"/>
                <w:szCs w:val="24"/>
              </w:rPr>
              <w:t>Sertralin</w:t>
            </w:r>
            <w:r w:rsidRPr="008453A0">
              <w:rPr>
                <w:sz w:val="24"/>
                <w:szCs w:val="24"/>
              </w:rPr>
              <w:tab/>
            </w:r>
          </w:p>
        </w:tc>
        <w:tc>
          <w:tcPr>
            <w:tcW w:w="3963" w:type="dxa"/>
          </w:tcPr>
          <w:p w14:paraId="319FB5F7" w14:textId="77777777" w:rsidR="00702564" w:rsidRPr="008453A0" w:rsidRDefault="00702564" w:rsidP="00632FCC">
            <w:pPr>
              <w:cnfStyle w:val="100000000000" w:firstRow="1" w:lastRow="0" w:firstColumn="0" w:lastColumn="0" w:oddVBand="0" w:evenVBand="0" w:oddHBand="0" w:evenHBand="0" w:firstRowFirstColumn="0" w:firstRowLastColumn="0" w:lastRowFirstColumn="0" w:lastRowLastColumn="0"/>
              <w:rPr>
                <w:b w:val="0"/>
                <w:sz w:val="24"/>
                <w:szCs w:val="24"/>
              </w:rPr>
            </w:pPr>
            <w:r w:rsidRPr="3A20558F">
              <w:rPr>
                <w:b w:val="0"/>
                <w:sz w:val="24"/>
                <w:szCs w:val="24"/>
              </w:rPr>
              <w:t>sertralin</w:t>
            </w:r>
          </w:p>
        </w:tc>
      </w:tr>
    </w:tbl>
    <w:p w14:paraId="4BA42944" w14:textId="77777777" w:rsidR="00702564" w:rsidRPr="00E07FA4" w:rsidRDefault="00702564" w:rsidP="00702564">
      <w:pPr>
        <w:rPr>
          <w:b/>
          <w:bCs/>
          <w:sz w:val="24"/>
          <w:szCs w:val="24"/>
        </w:rPr>
      </w:pPr>
    </w:p>
    <w:p w14:paraId="73CFE580" w14:textId="77777777" w:rsidR="00702564" w:rsidRDefault="00702564" w:rsidP="00702564">
      <w:pPr>
        <w:spacing w:before="120"/>
      </w:pPr>
      <w:r w:rsidRPr="3A20558F">
        <w:rPr>
          <w:sz w:val="24"/>
          <w:szCs w:val="24"/>
        </w:rPr>
        <w:t xml:space="preserve">Hos äldre är det vanligt med en kombination av ångest och depression och behandlingen bör fokusera på båda tillstånden. Lägre startdos av den antidepressiva behandlingen bör övervägas. (Se mer information ovan under rubriken ”Depression”). </w:t>
      </w:r>
    </w:p>
    <w:p w14:paraId="09A44A80" w14:textId="77777777" w:rsidR="00702564" w:rsidRPr="00BE1EC2" w:rsidRDefault="00702564" w:rsidP="00702564">
      <w:pPr>
        <w:pStyle w:val="Rubrik2"/>
      </w:pPr>
      <w:r w:rsidRPr="00BE1EC2">
        <w:rPr>
          <w:rStyle w:val="Rubrik3Char"/>
          <w:b/>
          <w:bCs/>
          <w:sz w:val="28"/>
        </w:rPr>
        <w:t>Oro/ångest med psykotiska inslag</w:t>
      </w:r>
      <w:r w:rsidRPr="00BE1EC2">
        <w:t xml:space="preserve"> (och otillräcklig effekt av antidepressiv behandling) </w:t>
      </w:r>
    </w:p>
    <w:p w14:paraId="7ECAD2A8" w14:textId="77777777" w:rsidR="00702564" w:rsidRPr="00E07FA4" w:rsidRDefault="00702564" w:rsidP="00702564">
      <w:pPr>
        <w:rPr>
          <w:sz w:val="24"/>
          <w:szCs w:val="24"/>
        </w:rPr>
      </w:pPr>
    </w:p>
    <w:tbl>
      <w:tblPr>
        <w:tblStyle w:val="RegionBlekinge-medlinjer"/>
        <w:tblW w:w="0" w:type="auto"/>
        <w:tblLook w:val="04A0" w:firstRow="1" w:lastRow="0" w:firstColumn="1" w:lastColumn="0" w:noHBand="0" w:noVBand="1"/>
      </w:tblPr>
      <w:tblGrid>
        <w:gridCol w:w="3963"/>
        <w:gridCol w:w="3963"/>
      </w:tblGrid>
      <w:tr w:rsidR="00702564" w:rsidRPr="008453A0" w14:paraId="7EBF86F7" w14:textId="77777777" w:rsidTr="0063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14:paraId="46008625" w14:textId="77777777" w:rsidR="00702564" w:rsidRPr="008453A0" w:rsidRDefault="00702564" w:rsidP="00632FCC">
            <w:pPr>
              <w:rPr>
                <w:sz w:val="24"/>
                <w:szCs w:val="24"/>
              </w:rPr>
            </w:pPr>
            <w:r w:rsidRPr="3A20558F">
              <w:rPr>
                <w:rFonts w:cs="Garamond"/>
                <w:sz w:val="24"/>
                <w:szCs w:val="24"/>
              </w:rPr>
              <w:t>Risperidon</w:t>
            </w:r>
          </w:p>
        </w:tc>
        <w:tc>
          <w:tcPr>
            <w:tcW w:w="3963" w:type="dxa"/>
          </w:tcPr>
          <w:p w14:paraId="1D2710E3" w14:textId="77777777" w:rsidR="00702564" w:rsidRPr="008453A0" w:rsidRDefault="00702564" w:rsidP="00632FCC">
            <w:pPr>
              <w:cnfStyle w:val="100000000000" w:firstRow="1" w:lastRow="0" w:firstColumn="0" w:lastColumn="0" w:oddVBand="0" w:evenVBand="0" w:oddHBand="0" w:evenHBand="0" w:firstRowFirstColumn="0" w:firstRowLastColumn="0" w:lastRowFirstColumn="0" w:lastRowLastColumn="0"/>
              <w:rPr>
                <w:b w:val="0"/>
                <w:sz w:val="24"/>
                <w:szCs w:val="24"/>
              </w:rPr>
            </w:pPr>
            <w:r w:rsidRPr="3A20558F">
              <w:rPr>
                <w:rFonts w:cs="Garamond"/>
                <w:b w:val="0"/>
                <w:sz w:val="24"/>
                <w:szCs w:val="24"/>
              </w:rPr>
              <w:t>risperidon</w:t>
            </w:r>
          </w:p>
        </w:tc>
      </w:tr>
    </w:tbl>
    <w:p w14:paraId="14A99BE8" w14:textId="77777777" w:rsidR="00702564" w:rsidRPr="00E07FA4" w:rsidRDefault="00702564" w:rsidP="00702564">
      <w:pPr>
        <w:rPr>
          <w:sz w:val="24"/>
          <w:szCs w:val="24"/>
        </w:rPr>
      </w:pPr>
    </w:p>
    <w:p w14:paraId="49CED598" w14:textId="77777777" w:rsidR="00702564" w:rsidRPr="00556E99" w:rsidRDefault="00702564" w:rsidP="00702564">
      <w:pPr>
        <w:spacing w:before="120"/>
        <w:rPr>
          <w:sz w:val="24"/>
          <w:szCs w:val="24"/>
        </w:rPr>
      </w:pPr>
      <w:r w:rsidRPr="3A20558F">
        <w:rPr>
          <w:sz w:val="24"/>
          <w:szCs w:val="24"/>
        </w:rPr>
        <w:t xml:space="preserve">Behandling av äldre med neuroleptika bör ske försiktigt och användningen bör begränsas till allvarliga tillstånd där behandling med SSRI-läkemedel och icke-farmakologisk behandling inte har varit tillräcklig. Viktigt är att försöka identifiera den troliga orsaken till eventuella beteendeproblem. Om patienten drabbats av konfusion bör den inte behandlas med antipsykotiska läkemedel initialt. </w:t>
      </w:r>
    </w:p>
    <w:p w14:paraId="1EE4F88B" w14:textId="77777777" w:rsidR="00702564" w:rsidRDefault="00702564" w:rsidP="00702564">
      <w:pPr>
        <w:spacing w:before="120"/>
        <w:rPr>
          <w:rFonts w:cs="Garamond"/>
          <w:sz w:val="24"/>
          <w:szCs w:val="24"/>
        </w:rPr>
      </w:pPr>
      <w:r w:rsidRPr="3A20558F">
        <w:rPr>
          <w:rFonts w:cs="Garamond"/>
          <w:b/>
          <w:bCs/>
          <w:sz w:val="24"/>
          <w:szCs w:val="24"/>
        </w:rPr>
        <w:t>Risperidon</w:t>
      </w:r>
      <w:r w:rsidRPr="3A20558F">
        <w:rPr>
          <w:rFonts w:cs="Garamond"/>
          <w:sz w:val="24"/>
          <w:szCs w:val="24"/>
        </w:rPr>
        <w:t xml:space="preserve"> (Risperidon) kan användas om otillräcklig effekt uppnåtts av insatt icke-farmakologisk behandling/åtgärd samt behandling med ett SSRI-läkemedel. Dosen bör sällan överskrida 1,5 mg och doseras två gånger per dag. Viktigt är att börja med låg dos och noga utvärdera effekt och biverkningar. Behandlingen bör inte pågå mer än sex veckor (se indikation risperidon i FASS). </w:t>
      </w:r>
    </w:p>
    <w:p w14:paraId="511FBB8B" w14:textId="77777777" w:rsidR="00702564" w:rsidRDefault="00702564" w:rsidP="00702564">
      <w:pPr>
        <w:tabs>
          <w:tab w:val="clear" w:pos="284"/>
        </w:tabs>
        <w:spacing w:after="120" w:line="260" w:lineRule="atLeast"/>
        <w:rPr>
          <w:rFonts w:cs="Garamond"/>
          <w:sz w:val="24"/>
          <w:szCs w:val="24"/>
        </w:rPr>
      </w:pPr>
      <w:r>
        <w:rPr>
          <w:rFonts w:cs="Garamond"/>
          <w:sz w:val="24"/>
          <w:szCs w:val="24"/>
        </w:rPr>
        <w:br w:type="page"/>
      </w:r>
    </w:p>
    <w:p w14:paraId="496AB589" w14:textId="77777777" w:rsidR="00702564" w:rsidRPr="0055514A" w:rsidRDefault="00702564" w:rsidP="00702564">
      <w:pPr>
        <w:pStyle w:val="Rubrik2"/>
      </w:pPr>
      <w:r w:rsidRPr="0055514A">
        <w:lastRenderedPageBreak/>
        <w:t xml:space="preserve">Behandling av barn och ungdomar </w:t>
      </w:r>
    </w:p>
    <w:p w14:paraId="1DC33425" w14:textId="77777777" w:rsidR="00702564" w:rsidRPr="00B34774" w:rsidRDefault="00702564" w:rsidP="00702564">
      <w:pPr>
        <w:rPr>
          <w:rFonts w:asciiTheme="majorHAnsi" w:eastAsiaTheme="majorEastAsia" w:hAnsiTheme="majorHAnsi" w:cstheme="majorBidi"/>
          <w:b/>
          <w:bCs/>
        </w:rPr>
      </w:pPr>
      <w:r w:rsidRPr="1C8584D4">
        <w:rPr>
          <w:rFonts w:asciiTheme="majorHAnsi" w:eastAsiaTheme="majorEastAsia" w:hAnsiTheme="majorHAnsi" w:cstheme="majorBidi"/>
          <w:b/>
          <w:bCs/>
        </w:rPr>
        <w:t>Senast uppdaterad 20</w:t>
      </w:r>
      <w:r>
        <w:rPr>
          <w:rFonts w:asciiTheme="majorHAnsi" w:eastAsiaTheme="majorEastAsia" w:hAnsiTheme="majorHAnsi" w:cstheme="majorBidi"/>
          <w:b/>
          <w:bCs/>
        </w:rPr>
        <w:t>23-01-19</w:t>
      </w:r>
    </w:p>
    <w:p w14:paraId="64B42E14" w14:textId="77777777" w:rsidR="00702564" w:rsidRPr="00A33A11" w:rsidRDefault="00702564" w:rsidP="00702564">
      <w:pPr>
        <w:pStyle w:val="Rubrik2"/>
        <w:rPr>
          <w:sz w:val="32"/>
          <w:szCs w:val="22"/>
        </w:rPr>
      </w:pPr>
      <w:r w:rsidRPr="0071138D">
        <w:t xml:space="preserve">Sömnstörning </w:t>
      </w:r>
    </w:p>
    <w:p w14:paraId="6F58AFC5" w14:textId="77777777" w:rsidR="00702564" w:rsidRPr="00A33A11" w:rsidRDefault="00702564" w:rsidP="00702564">
      <w:p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 xml:space="preserve">Det huvudsakliga ansvaret för psykofarmakologisk behandling av barn och ungdomar ligger på BUP. Undantag är tillfällig behandling av sömnproblem och ångest/oro. I Region Blekinge bedöms (triageras) all psykisk ohälsa hos barn och ungdomar primärt vid ett kontaktcenter dit föräldrar kan vända sig direkt. Vid lätta till måttliga psykiska problem sker fortsatt bedömning och psykosocialt inriktat </w:t>
      </w:r>
      <w:r w:rsidRPr="00A33A11">
        <w:rPr>
          <w:rFonts w:asciiTheme="minorHAnsi" w:hAnsiTheme="minorHAnsi" w:cs="Times New Roman"/>
          <w:sz w:val="24"/>
          <w:szCs w:val="24"/>
        </w:rPr>
        <w:t>behandling</w:t>
      </w:r>
      <w:r w:rsidRPr="00A33A11">
        <w:rPr>
          <w:rFonts w:asciiTheme="minorHAnsi" w:hAnsiTheme="minorHAnsi" w:cs="Times New Roman" w:hint="cs"/>
          <w:sz w:val="24"/>
          <w:szCs w:val="24"/>
        </w:rPr>
        <w:t xml:space="preserve"> via första linjen på vårdcentral. Sv</w:t>
      </w:r>
      <w:r w:rsidRPr="00A33A11">
        <w:rPr>
          <w:rFonts w:asciiTheme="minorHAnsi" w:hAnsiTheme="minorHAnsi" w:cs="Times New Roman"/>
          <w:sz w:val="24"/>
          <w:szCs w:val="24"/>
        </w:rPr>
        <w:t xml:space="preserve">åra </w:t>
      </w:r>
      <w:r w:rsidRPr="00A33A11">
        <w:rPr>
          <w:rFonts w:asciiTheme="minorHAnsi" w:hAnsiTheme="minorHAnsi" w:cs="Times New Roman" w:hint="cs"/>
          <w:sz w:val="24"/>
          <w:szCs w:val="24"/>
        </w:rPr>
        <w:t>psykisk</w:t>
      </w:r>
      <w:r w:rsidRPr="00A33A11">
        <w:rPr>
          <w:rFonts w:asciiTheme="minorHAnsi" w:hAnsiTheme="minorHAnsi" w:cs="Times New Roman"/>
          <w:sz w:val="24"/>
          <w:szCs w:val="24"/>
        </w:rPr>
        <w:t>a</w:t>
      </w:r>
      <w:r w:rsidRPr="00A33A11">
        <w:rPr>
          <w:rFonts w:asciiTheme="minorHAnsi" w:hAnsiTheme="minorHAnsi" w:cs="Times New Roman" w:hint="cs"/>
          <w:sz w:val="24"/>
          <w:szCs w:val="24"/>
        </w:rPr>
        <w:t xml:space="preserve"> </w:t>
      </w:r>
      <w:r w:rsidRPr="00A33A11">
        <w:rPr>
          <w:rFonts w:asciiTheme="minorHAnsi" w:hAnsiTheme="minorHAnsi" w:cs="Times New Roman"/>
          <w:sz w:val="24"/>
          <w:szCs w:val="24"/>
        </w:rPr>
        <w:t>tillstånd</w:t>
      </w:r>
      <w:r w:rsidRPr="00A33A11">
        <w:rPr>
          <w:rFonts w:asciiTheme="minorHAnsi" w:hAnsiTheme="minorHAnsi" w:cs="Times New Roman" w:hint="cs"/>
          <w:sz w:val="24"/>
          <w:szCs w:val="24"/>
        </w:rPr>
        <w:t xml:space="preserve"> handläggs av BUP. Kontaktcentret bokar in barnen/ungdomarna till besök på rätt vårdnivå.</w:t>
      </w:r>
    </w:p>
    <w:p w14:paraId="385C1818" w14:textId="77777777" w:rsidR="00702564" w:rsidRPr="00A33A11" w:rsidRDefault="00702564" w:rsidP="00702564">
      <w:pPr>
        <w:pStyle w:val="Rubrik3"/>
      </w:pPr>
      <w:r w:rsidRPr="00A33A11">
        <w:rPr>
          <w:rFonts w:hint="cs"/>
        </w:rPr>
        <w:t>Psykosocialt inriktad behandling</w:t>
      </w:r>
    </w:p>
    <w:p w14:paraId="4890A167" w14:textId="715ECE78" w:rsidR="00702564" w:rsidRPr="00A33A11" w:rsidRDefault="00702564" w:rsidP="00702564">
      <w:p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Primär</w:t>
      </w:r>
      <w:r w:rsidRPr="00A33A11">
        <w:rPr>
          <w:rFonts w:asciiTheme="minorHAnsi" w:hAnsiTheme="minorHAnsi" w:cs="Times New Roman"/>
          <w:sz w:val="24"/>
          <w:szCs w:val="24"/>
        </w:rPr>
        <w:t xml:space="preserve"> </w:t>
      </w:r>
      <w:r w:rsidRPr="00A33A11">
        <w:rPr>
          <w:rFonts w:asciiTheme="minorHAnsi" w:hAnsiTheme="minorHAnsi" w:cs="Times New Roman" w:hint="cs"/>
          <w:sz w:val="24"/>
          <w:szCs w:val="24"/>
        </w:rPr>
        <w:t>behandling vid lätta till måttliga psyki</w:t>
      </w:r>
      <w:r w:rsidRPr="00A33A11">
        <w:rPr>
          <w:rFonts w:asciiTheme="minorHAnsi" w:hAnsiTheme="minorHAnsi" w:cs="Times New Roman"/>
          <w:sz w:val="24"/>
          <w:szCs w:val="24"/>
        </w:rPr>
        <w:t>atriska tillstånd</w:t>
      </w:r>
      <w:r w:rsidRPr="00A33A11">
        <w:rPr>
          <w:rFonts w:asciiTheme="minorHAnsi" w:hAnsiTheme="minorHAnsi" w:cs="Times New Roman" w:hint="cs"/>
          <w:sz w:val="24"/>
          <w:szCs w:val="24"/>
        </w:rPr>
        <w:t xml:space="preserve"> hos barn och ungdomar är strukturerade metoder för information, råd</w:t>
      </w:r>
      <w:r w:rsidRPr="00A33A11">
        <w:rPr>
          <w:rFonts w:asciiTheme="minorHAnsi" w:hAnsiTheme="minorHAnsi" w:cs="Times New Roman"/>
          <w:sz w:val="24"/>
          <w:szCs w:val="24"/>
        </w:rPr>
        <w:t>,</w:t>
      </w:r>
      <w:r w:rsidRPr="00A33A11">
        <w:rPr>
          <w:rFonts w:asciiTheme="minorHAnsi" w:hAnsiTheme="minorHAnsi" w:cs="Times New Roman" w:hint="cs"/>
          <w:sz w:val="24"/>
          <w:szCs w:val="24"/>
        </w:rPr>
        <w:t xml:space="preserve"> stöd</w:t>
      </w:r>
      <w:r w:rsidRPr="00A33A11">
        <w:rPr>
          <w:rFonts w:asciiTheme="minorHAnsi" w:hAnsiTheme="minorHAnsi" w:cs="Times New Roman"/>
          <w:sz w:val="24"/>
          <w:szCs w:val="24"/>
        </w:rPr>
        <w:t xml:space="preserve"> och behandling</w:t>
      </w:r>
      <w:r w:rsidRPr="00A33A11">
        <w:rPr>
          <w:rFonts w:asciiTheme="minorHAnsi" w:hAnsiTheme="minorHAnsi" w:cs="Times New Roman" w:hint="cs"/>
          <w:sz w:val="24"/>
          <w:szCs w:val="24"/>
        </w:rPr>
        <w:t xml:space="preserve"> enligt de riktlinjer som finns utarbetade för första linjen.</w:t>
      </w:r>
      <w:r w:rsidR="00067550">
        <w:rPr>
          <w:rFonts w:asciiTheme="minorHAnsi" w:hAnsiTheme="minorHAnsi" w:cs="Times New Roman"/>
          <w:sz w:val="24"/>
          <w:szCs w:val="24"/>
        </w:rPr>
        <w:t xml:space="preserve"> </w:t>
      </w:r>
      <w:r w:rsidR="00067550">
        <w:rPr>
          <w:rFonts w:asciiTheme="minorHAnsi" w:hAnsiTheme="minorHAnsi" w:cs="Times New Roman"/>
          <w:sz w:val="24"/>
          <w:szCs w:val="24"/>
        </w:rPr>
        <w:br/>
      </w:r>
      <w:r w:rsidRPr="00A33A11">
        <w:rPr>
          <w:rFonts w:asciiTheme="minorHAnsi" w:hAnsiTheme="minorHAnsi" w:cs="Times New Roman" w:hint="cs"/>
          <w:sz w:val="24"/>
          <w:szCs w:val="24"/>
        </w:rPr>
        <w:t>Vid de flesta psyki</w:t>
      </w:r>
      <w:r w:rsidRPr="00A33A11">
        <w:rPr>
          <w:rFonts w:asciiTheme="minorHAnsi" w:hAnsiTheme="minorHAnsi" w:cs="Times New Roman"/>
          <w:sz w:val="24"/>
          <w:szCs w:val="24"/>
        </w:rPr>
        <w:t>atriska tillstånd</w:t>
      </w:r>
      <w:r w:rsidRPr="00A33A11">
        <w:rPr>
          <w:rFonts w:asciiTheme="minorHAnsi" w:hAnsiTheme="minorHAnsi" w:cs="Times New Roman" w:hint="cs"/>
          <w:sz w:val="24"/>
          <w:szCs w:val="24"/>
        </w:rPr>
        <w:t xml:space="preserve"> hos barn och ungdomar skall det ingå information om </w:t>
      </w:r>
      <w:r w:rsidRPr="00A33A11">
        <w:rPr>
          <w:rFonts w:asciiTheme="minorHAnsi" w:hAnsiTheme="minorHAnsi" w:cs="Times New Roman"/>
          <w:sz w:val="24"/>
          <w:szCs w:val="24"/>
        </w:rPr>
        <w:t>tillståndet,</w:t>
      </w:r>
      <w:r w:rsidRPr="00A33A11">
        <w:rPr>
          <w:rFonts w:asciiTheme="minorHAnsi" w:hAnsiTheme="minorHAnsi" w:cs="Times New Roman" w:hint="cs"/>
          <w:sz w:val="24"/>
          <w:szCs w:val="24"/>
        </w:rPr>
        <w:t xml:space="preserve"> psykopedagogisk rådgivning och livsstilsråd. Det betyder att barn, ungdomar och föräldrar skall få god information om </w:t>
      </w:r>
      <w:r w:rsidRPr="00A33A11">
        <w:rPr>
          <w:rFonts w:asciiTheme="minorHAnsi" w:hAnsiTheme="minorHAnsi" w:cs="Times New Roman"/>
          <w:sz w:val="24"/>
          <w:szCs w:val="24"/>
        </w:rPr>
        <w:t>det psykiatriska tillståndet/</w:t>
      </w:r>
      <w:r w:rsidRPr="00A33A11">
        <w:rPr>
          <w:rFonts w:asciiTheme="minorHAnsi" w:hAnsiTheme="minorHAnsi" w:cs="Times New Roman" w:hint="cs"/>
          <w:sz w:val="24"/>
          <w:szCs w:val="24"/>
        </w:rPr>
        <w:t xml:space="preserve">funktionshindret. Där ingår att få kunskap om miljöfaktorer som kan försvåra eller underlätta symptombild och vardaglig funktion. Livsstilsproblem är vanliga hos barn och ungdomar med eller utan psykisk sjukdom och kan påverka problembilden. Det är därför viktigt med kartläggning och intervention avseende till exempel sömnrutiner, kost, fysisk aktivitet, skärmaktiviteter, alkohol och droger. Korttids KBT, familjestöd och nätverksstöd liksom samverkan med vårdgrannar kan förekomma. </w:t>
      </w:r>
      <w:r w:rsidRPr="00A33A11">
        <w:rPr>
          <w:rFonts w:asciiTheme="minorHAnsi" w:hAnsiTheme="minorHAnsi" w:cs="Times New Roman"/>
          <w:sz w:val="24"/>
          <w:szCs w:val="24"/>
        </w:rPr>
        <w:t>Vid kvarstående betydande psykiatriska symtom trots behandlingsinsatser inom första linjen för barn och ungas psykiska hälsa remitteras patienten till BUP.</w:t>
      </w:r>
      <w:r w:rsidR="00067550">
        <w:rPr>
          <w:rFonts w:asciiTheme="minorHAnsi" w:hAnsiTheme="minorHAnsi" w:cs="Times New Roman"/>
          <w:sz w:val="24"/>
          <w:szCs w:val="24"/>
        </w:rPr>
        <w:t xml:space="preserve"> </w:t>
      </w:r>
      <w:r w:rsidR="00067550">
        <w:rPr>
          <w:rFonts w:asciiTheme="minorHAnsi" w:hAnsiTheme="minorHAnsi" w:cs="Times New Roman"/>
          <w:sz w:val="24"/>
          <w:szCs w:val="24"/>
        </w:rPr>
        <w:br/>
      </w:r>
      <w:r w:rsidRPr="00A33A11">
        <w:rPr>
          <w:rFonts w:asciiTheme="minorHAnsi" w:hAnsiTheme="minorHAnsi" w:cs="Times New Roman"/>
          <w:sz w:val="24"/>
          <w:szCs w:val="24"/>
        </w:rPr>
        <w:t>Omvänt, kan patienter som haft kontakt på BUP överföras till primärvårdsnivån (första linjen för barn och ungas psykiska hälsa) när de inte längre är i behov av specialiserad barn- och ungdomspsykiatrisk vård."</w:t>
      </w:r>
    </w:p>
    <w:p w14:paraId="6F8CD89D" w14:textId="77777777" w:rsidR="00702564" w:rsidRPr="00A33A11" w:rsidRDefault="00702564" w:rsidP="00702564">
      <w:pPr>
        <w:pStyle w:val="Rubrik3"/>
      </w:pPr>
      <w:r w:rsidRPr="00A33A11">
        <w:rPr>
          <w:rFonts w:hint="cs"/>
        </w:rPr>
        <w:t>Läkemedelsbehandling</w:t>
      </w:r>
    </w:p>
    <w:p w14:paraId="095EE3F8" w14:textId="77777777" w:rsidR="00702564" w:rsidRPr="00A33A11" w:rsidRDefault="00702564" w:rsidP="00702564">
      <w:pPr>
        <w:pStyle w:val="Rubrik3"/>
      </w:pPr>
      <w:r w:rsidRPr="00A33A11">
        <w:rPr>
          <w:rFonts w:hint="cs"/>
        </w:rPr>
        <w:t>Primär insomni hos barn och ungdom</w:t>
      </w:r>
    </w:p>
    <w:p w14:paraId="185C47FC" w14:textId="77777777" w:rsidR="00702564" w:rsidRPr="00A33A11" w:rsidRDefault="00702564" w:rsidP="00702564">
      <w:pPr>
        <w:numPr>
          <w:ilvl w:val="0"/>
          <w:numId w:val="112"/>
        </w:num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 xml:space="preserve">I första hand rekommenderas sömnhygieniska åtgärder. </w:t>
      </w:r>
    </w:p>
    <w:p w14:paraId="27424C71" w14:textId="77777777" w:rsidR="00702564" w:rsidRPr="00A33A11" w:rsidRDefault="00702564" w:rsidP="00702564">
      <w:pPr>
        <w:numPr>
          <w:ilvl w:val="0"/>
          <w:numId w:val="112"/>
        </w:num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 xml:space="preserve">Psykologisk behandling ska initieras om dessa åtgärder inte är tillräckliga. </w:t>
      </w:r>
    </w:p>
    <w:p w14:paraId="357B3FE0" w14:textId="77777777" w:rsidR="00702564" w:rsidRPr="00A33A11" w:rsidRDefault="00702564" w:rsidP="00702564">
      <w:pPr>
        <w:numPr>
          <w:ilvl w:val="0"/>
          <w:numId w:val="112"/>
        </w:num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 xml:space="preserve">Läkemedel kan användas i undantagsfall som kortvarigt stöd. </w:t>
      </w:r>
    </w:p>
    <w:p w14:paraId="544E5063" w14:textId="77777777" w:rsidR="00702564" w:rsidRDefault="00702564" w:rsidP="00702564">
      <w:pPr>
        <w:numPr>
          <w:ilvl w:val="0"/>
          <w:numId w:val="112"/>
        </w:num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 xml:space="preserve">Tyngdtäcke kan övervägas </w:t>
      </w:r>
      <w:r w:rsidRPr="00A33A11">
        <w:rPr>
          <w:rFonts w:asciiTheme="minorHAnsi" w:hAnsiTheme="minorHAnsi" w:cs="Times New Roman"/>
          <w:sz w:val="24"/>
          <w:szCs w:val="24"/>
        </w:rPr>
        <w:t xml:space="preserve">som egenvård, </w:t>
      </w:r>
      <w:r w:rsidRPr="00A33A11">
        <w:rPr>
          <w:rFonts w:asciiTheme="minorHAnsi" w:hAnsiTheme="minorHAnsi" w:cs="Times New Roman" w:hint="cs"/>
          <w:sz w:val="24"/>
          <w:szCs w:val="24"/>
        </w:rPr>
        <w:t xml:space="preserve">även om evidensen på gruppnivå inte är övertygande och tyngdtäcken inte tillhandahålls av Region Blekinge. </w:t>
      </w:r>
    </w:p>
    <w:p w14:paraId="5B6EC1E7" w14:textId="77777777" w:rsidR="00702564" w:rsidRPr="00A33A11" w:rsidRDefault="00702564" w:rsidP="00702564">
      <w:pPr>
        <w:tabs>
          <w:tab w:val="clear" w:pos="284"/>
        </w:tabs>
        <w:spacing w:after="120" w:line="260" w:lineRule="atLeast"/>
        <w:rPr>
          <w:rFonts w:asciiTheme="majorHAnsi" w:eastAsiaTheme="majorEastAsia" w:hAnsiTheme="majorHAnsi" w:cs="Times New Roman"/>
          <w:b/>
          <w:bCs/>
          <w:sz w:val="36"/>
          <w:szCs w:val="28"/>
        </w:rPr>
      </w:pPr>
    </w:p>
    <w:p w14:paraId="59C627B0" w14:textId="2CF22056" w:rsidR="00702564" w:rsidRPr="00A33A11" w:rsidRDefault="00702564" w:rsidP="00702564">
      <w:p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 xml:space="preserve">Förstahandspreparat till barn och ungdomar är melatonin, som finns i tabletter av olika styrkor samt i peroral lösning. Det kan inom förmånen förskrivas till barn och ungdomar 6–17 år med </w:t>
      </w:r>
      <w:r w:rsidRPr="00A33A11">
        <w:rPr>
          <w:rFonts w:asciiTheme="minorHAnsi" w:hAnsiTheme="minorHAnsi" w:cs="Times New Roman" w:hint="cs"/>
          <w:sz w:val="24"/>
          <w:szCs w:val="24"/>
        </w:rPr>
        <w:lastRenderedPageBreak/>
        <w:t xml:space="preserve">insomni och ADHD där sömnhygienåtgärder varit otillräckliga. Börja alltid med låg styrka. Hos yngre barn (&gt; 2år) 0.5 mg, från ca 7 års ålder 1 mg. </w:t>
      </w:r>
      <w:r w:rsidRPr="00A33A11">
        <w:rPr>
          <w:rFonts w:asciiTheme="minorHAnsi" w:hAnsiTheme="minorHAnsi" w:cs="Times New Roman"/>
          <w:sz w:val="24"/>
          <w:szCs w:val="24"/>
        </w:rPr>
        <w:t>D</w:t>
      </w:r>
      <w:r w:rsidRPr="00A33A11">
        <w:rPr>
          <w:rFonts w:asciiTheme="minorHAnsi" w:hAnsiTheme="minorHAnsi" w:cs="Times New Roman" w:hint="cs"/>
          <w:sz w:val="24"/>
          <w:szCs w:val="24"/>
        </w:rPr>
        <w:t>os</w:t>
      </w:r>
      <w:r w:rsidRPr="00A33A11">
        <w:rPr>
          <w:rFonts w:asciiTheme="minorHAnsi" w:hAnsiTheme="minorHAnsi" w:cs="Times New Roman"/>
          <w:sz w:val="24"/>
          <w:szCs w:val="24"/>
        </w:rPr>
        <w:t>en</w:t>
      </w:r>
      <w:r w:rsidRPr="00A33A11">
        <w:rPr>
          <w:rFonts w:asciiTheme="minorHAnsi" w:hAnsiTheme="minorHAnsi" w:cs="Times New Roman" w:hint="cs"/>
          <w:sz w:val="24"/>
          <w:szCs w:val="24"/>
        </w:rPr>
        <w:t xml:space="preserve"> </w:t>
      </w:r>
      <w:r w:rsidRPr="00A33A11">
        <w:rPr>
          <w:rFonts w:asciiTheme="minorHAnsi" w:hAnsiTheme="minorHAnsi" w:cs="Times New Roman"/>
          <w:sz w:val="24"/>
          <w:szCs w:val="24"/>
        </w:rPr>
        <w:t xml:space="preserve">ges </w:t>
      </w:r>
      <w:r w:rsidRPr="00A33A11">
        <w:rPr>
          <w:rFonts w:asciiTheme="minorHAnsi" w:hAnsiTheme="minorHAnsi" w:cs="Times New Roman" w:hint="cs"/>
          <w:sz w:val="24"/>
          <w:szCs w:val="24"/>
        </w:rPr>
        <w:t>till natten ½-1 timma innan sänggående.</w:t>
      </w:r>
      <w:r w:rsidRPr="00A33A11">
        <w:rPr>
          <w:rFonts w:ascii="Segoe UI" w:eastAsia="Times New Roman" w:hAnsi="Segoe UI" w:cs="Segoe UI"/>
          <w:sz w:val="24"/>
          <w:szCs w:val="24"/>
          <w:lang w:eastAsia="sv-SE"/>
        </w:rPr>
        <w:t xml:space="preserve"> </w:t>
      </w:r>
      <w:r w:rsidRPr="00A33A11">
        <w:rPr>
          <w:rFonts w:asciiTheme="minorHAnsi" w:hAnsiTheme="minorHAnsi" w:cs="Times New Roman"/>
          <w:sz w:val="24"/>
          <w:szCs w:val="24"/>
        </w:rPr>
        <w:t>Det saknas i nuläget vetenskaplig evidens för doser över 6 mg, men i klinisk praxis händer det att man se nytta av högre doser, vilket läkare får ta ställning till från fall till fall."</w:t>
      </w:r>
      <w:r w:rsidR="00067550">
        <w:rPr>
          <w:rFonts w:asciiTheme="minorHAnsi" w:hAnsiTheme="minorHAnsi" w:cs="Times New Roman"/>
          <w:sz w:val="24"/>
          <w:szCs w:val="24"/>
        </w:rPr>
        <w:t xml:space="preserve"> </w:t>
      </w:r>
      <w:r w:rsidR="00067550">
        <w:rPr>
          <w:rFonts w:asciiTheme="minorHAnsi" w:hAnsiTheme="minorHAnsi" w:cs="Times New Roman"/>
          <w:sz w:val="24"/>
          <w:szCs w:val="24"/>
        </w:rPr>
        <w:br/>
      </w:r>
      <w:r w:rsidRPr="00A33A11">
        <w:rPr>
          <w:rFonts w:asciiTheme="minorHAnsi" w:hAnsiTheme="minorHAnsi" w:cs="Times New Roman" w:hint="cs"/>
          <w:sz w:val="24"/>
          <w:szCs w:val="24"/>
        </w:rPr>
        <w:t xml:space="preserve">Vid förskrivning av kortverkande melatonintabletter i styrkorna 2–5 mg rekommenderas förskrivning av fabrikatet Aritonin. En förpackning Aritonin 100 st kostar hälften så mycket som motsvarande generiska kortverkande melatonintabletter. Tabletterna i samtliga styrkor av Aritonin kan delas i två lika stora doser. </w:t>
      </w:r>
      <w:r w:rsidR="00067550">
        <w:rPr>
          <w:rFonts w:asciiTheme="minorHAnsi" w:hAnsiTheme="minorHAnsi" w:cs="Times New Roman"/>
          <w:sz w:val="24"/>
          <w:szCs w:val="24"/>
        </w:rPr>
        <w:br/>
      </w:r>
      <w:r w:rsidRPr="00A33A11">
        <w:rPr>
          <w:rFonts w:asciiTheme="minorHAnsi" w:hAnsiTheme="minorHAnsi" w:cs="Times New Roman" w:hint="cs"/>
          <w:sz w:val="24"/>
          <w:szCs w:val="24"/>
        </w:rPr>
        <w:t>De flesta kortverkande melatoninpreparaten är inte utbytbara mot Aritonin på apotek. Förskrivaren behöver ange "får bytas till billigaste kortverkande melatoninpreparat" i ordinationsanvisningen</w:t>
      </w:r>
      <w:r w:rsidRPr="00A33A11">
        <w:rPr>
          <w:rFonts w:asciiTheme="minorHAnsi" w:hAnsiTheme="minorHAnsi" w:cs="Times New Roman"/>
          <w:sz w:val="24"/>
          <w:szCs w:val="24"/>
        </w:rPr>
        <w:t xml:space="preserve">, så att ett byte från annat melatoninpreparat till Aritonin eller eventuella framtida ännu billigare melatoninberedningar ska kunna genomföras på apoteket. </w:t>
      </w:r>
      <w:r w:rsidRPr="00A33A11">
        <w:rPr>
          <w:rFonts w:ascii="Helvetica" w:hAnsi="Helvetica" w:cs="Helvetica"/>
          <w:color w:val="191919"/>
          <w:sz w:val="24"/>
          <w:szCs w:val="24"/>
          <w:shd w:val="clear" w:color="auto" w:fill="FFFFFF"/>
        </w:rPr>
        <w:t xml:space="preserve"> </w:t>
      </w:r>
      <w:r w:rsidRPr="00A33A11">
        <w:rPr>
          <w:rFonts w:asciiTheme="minorHAnsi" w:hAnsiTheme="minorHAnsi" w:cs="Times New Roman"/>
          <w:sz w:val="24"/>
          <w:szCs w:val="24"/>
        </w:rPr>
        <w:t>Utsättningsförsök bör göras regelbundet och om behandlingseffekten är otillräcklig ska behandlingen sättas ut.</w:t>
      </w:r>
      <w:r w:rsidR="00067550">
        <w:rPr>
          <w:rFonts w:asciiTheme="minorHAnsi" w:hAnsiTheme="minorHAnsi" w:cs="Times New Roman"/>
          <w:sz w:val="24"/>
          <w:szCs w:val="24"/>
        </w:rPr>
        <w:t xml:space="preserve"> </w:t>
      </w:r>
      <w:r w:rsidR="00067550">
        <w:rPr>
          <w:rFonts w:asciiTheme="minorHAnsi" w:hAnsiTheme="minorHAnsi" w:cs="Times New Roman"/>
          <w:sz w:val="24"/>
          <w:szCs w:val="24"/>
        </w:rPr>
        <w:br/>
      </w:r>
      <w:r w:rsidRPr="00A33A11">
        <w:rPr>
          <w:rFonts w:asciiTheme="minorHAnsi" w:hAnsiTheme="minorHAnsi" w:cs="Times New Roman" w:hint="cs"/>
          <w:sz w:val="24"/>
          <w:szCs w:val="24"/>
        </w:rPr>
        <w:t xml:space="preserve">I andra hand finns </w:t>
      </w:r>
      <w:r w:rsidRPr="00A33A11">
        <w:rPr>
          <w:rFonts w:asciiTheme="minorHAnsi" w:hAnsiTheme="minorHAnsi" w:cs="Times New Roman"/>
          <w:sz w:val="24"/>
          <w:szCs w:val="24"/>
        </w:rPr>
        <w:t>p</w:t>
      </w:r>
      <w:r w:rsidRPr="00A33A11">
        <w:rPr>
          <w:rFonts w:asciiTheme="minorHAnsi" w:hAnsiTheme="minorHAnsi" w:cs="Times New Roman" w:hint="cs"/>
          <w:sz w:val="24"/>
          <w:szCs w:val="24"/>
        </w:rPr>
        <w:t xml:space="preserve">rometazin (Lergigan) som är godkänd till barn &gt; 2 år för sömnstörningar respektive </w:t>
      </w:r>
      <w:r w:rsidRPr="00A33A11">
        <w:rPr>
          <w:rFonts w:asciiTheme="minorHAnsi" w:hAnsiTheme="minorHAnsi" w:cs="Times New Roman"/>
          <w:sz w:val="24"/>
          <w:szCs w:val="24"/>
        </w:rPr>
        <w:t xml:space="preserve">kortvariga </w:t>
      </w:r>
      <w:r w:rsidRPr="00A33A11">
        <w:rPr>
          <w:rFonts w:asciiTheme="minorHAnsi" w:hAnsiTheme="minorHAnsi" w:cs="Times New Roman" w:hint="cs"/>
          <w:sz w:val="24"/>
          <w:szCs w:val="24"/>
        </w:rPr>
        <w:t xml:space="preserve">orostillstånd. </w:t>
      </w:r>
      <w:r w:rsidRPr="00A33A11">
        <w:rPr>
          <w:rFonts w:asciiTheme="minorHAnsi" w:hAnsiTheme="minorHAnsi" w:cs="Times New Roman"/>
          <w:sz w:val="24"/>
          <w:szCs w:val="24"/>
        </w:rPr>
        <w:t>Prometazin</w:t>
      </w:r>
      <w:r w:rsidRPr="00A33A11">
        <w:rPr>
          <w:rFonts w:asciiTheme="minorHAnsi" w:hAnsiTheme="minorHAnsi" w:cs="Times New Roman" w:hint="cs"/>
          <w:sz w:val="24"/>
          <w:szCs w:val="24"/>
        </w:rPr>
        <w:t xml:space="preserve"> har nackdelar i form av mer långvarig sedering samt andra biverkningar och säkerhetsrisker, varför de</w:t>
      </w:r>
      <w:r w:rsidRPr="00A33A11">
        <w:rPr>
          <w:rFonts w:asciiTheme="minorHAnsi" w:hAnsiTheme="minorHAnsi" w:cs="Times New Roman"/>
          <w:sz w:val="24"/>
          <w:szCs w:val="24"/>
        </w:rPr>
        <w:t>t</w:t>
      </w:r>
      <w:r w:rsidRPr="00A33A11">
        <w:rPr>
          <w:rFonts w:asciiTheme="minorHAnsi" w:hAnsiTheme="minorHAnsi" w:cs="Times New Roman" w:hint="cs"/>
          <w:sz w:val="24"/>
          <w:szCs w:val="24"/>
        </w:rPr>
        <w:t xml:space="preserve"> endast bör ges i undantagsfall. </w:t>
      </w:r>
      <w:r w:rsidRPr="00A33A11">
        <w:rPr>
          <w:rFonts w:asciiTheme="minorHAnsi" w:hAnsiTheme="minorHAnsi" w:cs="Times New Roman"/>
          <w:sz w:val="24"/>
          <w:szCs w:val="24"/>
        </w:rPr>
        <w:t xml:space="preserve">Tidigare välkända läkemedel som Atarax (hydroxizin), Theralen (alimemazin) och Propavan (propriomazin) har visat problem med toxicitet, hang-over och/eller motoriska biverkningar och rekommenderas därför inte längre. </w:t>
      </w:r>
      <w:r w:rsidR="00067550">
        <w:rPr>
          <w:rFonts w:asciiTheme="minorHAnsi" w:hAnsiTheme="minorHAnsi" w:cs="Times New Roman"/>
          <w:sz w:val="24"/>
          <w:szCs w:val="24"/>
        </w:rPr>
        <w:br/>
      </w:r>
      <w:r w:rsidRPr="00A33A11">
        <w:rPr>
          <w:rFonts w:asciiTheme="minorHAnsi" w:hAnsiTheme="minorHAnsi" w:cs="Times New Roman"/>
          <w:sz w:val="24"/>
          <w:szCs w:val="24"/>
        </w:rPr>
        <w:t xml:space="preserve">Som andra hands preparat för ungdomar kan Mirtazapin (7,5 till 15 mg till natten) användas, dock måste man ha god kontroll av eventuell viktuppgång. </w:t>
      </w:r>
    </w:p>
    <w:p w14:paraId="21ED653A" w14:textId="77777777" w:rsidR="00702564" w:rsidRPr="00BE1EC2" w:rsidRDefault="00702564" w:rsidP="00702564">
      <w:pPr>
        <w:pStyle w:val="Rubrik3"/>
      </w:pPr>
      <w:r w:rsidRPr="00BE1EC2">
        <w:t>Sekundära sömnstörningar hos barn och ungdom</w:t>
      </w:r>
    </w:p>
    <w:p w14:paraId="2B513731" w14:textId="77777777" w:rsidR="00702564" w:rsidRPr="00A33A11" w:rsidRDefault="00702564" w:rsidP="00702564">
      <w:pPr>
        <w:tabs>
          <w:tab w:val="clear" w:pos="284"/>
        </w:tabs>
        <w:spacing w:before="120"/>
        <w:rPr>
          <w:rFonts w:asciiTheme="minorHAnsi" w:hAnsiTheme="minorHAnsi" w:cs="Times New Roman"/>
          <w:sz w:val="24"/>
          <w:szCs w:val="24"/>
        </w:rPr>
      </w:pPr>
      <w:r w:rsidRPr="00A33A11">
        <w:rPr>
          <w:rFonts w:asciiTheme="minorHAnsi" w:hAnsiTheme="minorHAnsi" w:cs="Times New Roman"/>
          <w:sz w:val="24"/>
          <w:szCs w:val="24"/>
        </w:rPr>
        <w:t xml:space="preserve">Vid sekundära sömnstörningar ska alltid den primära orsaken åtgärdas. I vissa fall kan kortvariga interventioner mot själva sömnstörningen genomföras i väntan på effekt av behandling av grundorsaken. Till exempel är det fullt rimligt med kortvarig sömnmedicin under de första veckorna av psykosocial basbehandling av en depression.  </w:t>
      </w:r>
    </w:p>
    <w:p w14:paraId="65BF1376" w14:textId="77777777" w:rsidR="00702564" w:rsidRPr="00BE1EC2" w:rsidRDefault="00702564" w:rsidP="00702564">
      <w:pPr>
        <w:pStyle w:val="Rubrik2"/>
      </w:pPr>
      <w:r w:rsidRPr="00BE1EC2">
        <w:rPr>
          <w:rFonts w:hint="cs"/>
        </w:rPr>
        <w:t>Ångest – oro</w:t>
      </w:r>
    </w:p>
    <w:p w14:paraId="22D4B261" w14:textId="3CB54A14" w:rsidR="00702564" w:rsidRPr="00A33A11" w:rsidRDefault="00702564" w:rsidP="00702564">
      <w:p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I första hand ska ångesttillstånd hos barn- och ungdomar behandlas med psykosocialt inriktad behandling, var god se ovan.</w:t>
      </w:r>
      <w:r w:rsidRPr="00A33A11">
        <w:rPr>
          <w:rFonts w:asciiTheme="minorHAnsi" w:hAnsiTheme="minorHAnsi" w:cs="Times New Roman"/>
          <w:sz w:val="24"/>
          <w:szCs w:val="24"/>
        </w:rPr>
        <w:t xml:space="preserve"> Psykopedagogisk behandling bör ske i en familjekontext med delaktighet från föräldrar eller anhöriga.</w:t>
      </w:r>
      <w:r w:rsidRPr="00A33A11">
        <w:rPr>
          <w:rFonts w:asciiTheme="minorHAnsi" w:hAnsiTheme="minorHAnsi" w:cs="Times New Roman" w:hint="cs"/>
          <w:sz w:val="24"/>
          <w:szCs w:val="24"/>
        </w:rPr>
        <w:t xml:space="preserve"> Läkemedelsbehandling kan </w:t>
      </w:r>
      <w:r w:rsidRPr="00A33A11">
        <w:rPr>
          <w:rFonts w:asciiTheme="minorHAnsi" w:hAnsiTheme="minorHAnsi" w:cs="Times New Roman"/>
          <w:sz w:val="24"/>
          <w:szCs w:val="24"/>
        </w:rPr>
        <w:t xml:space="preserve">kortvarig </w:t>
      </w:r>
      <w:r w:rsidRPr="00A33A11">
        <w:rPr>
          <w:rFonts w:asciiTheme="minorHAnsi" w:hAnsiTheme="minorHAnsi" w:cs="Times New Roman" w:hint="cs"/>
          <w:sz w:val="24"/>
          <w:szCs w:val="24"/>
        </w:rPr>
        <w:t>läggas till psykosocial behandling. För kortvarig behandling av tillfällig ångest används prometazin (Lergigan)</w:t>
      </w:r>
      <w:r w:rsidRPr="00A33A11">
        <w:rPr>
          <w:rFonts w:asciiTheme="minorHAnsi" w:hAnsiTheme="minorHAnsi" w:cs="Times New Roman"/>
          <w:sz w:val="24"/>
          <w:szCs w:val="24"/>
        </w:rPr>
        <w:t>. A</w:t>
      </w:r>
      <w:r w:rsidRPr="00A33A11">
        <w:rPr>
          <w:rFonts w:asciiTheme="minorHAnsi" w:hAnsiTheme="minorHAnsi" w:cs="Times New Roman" w:hint="cs"/>
          <w:sz w:val="24"/>
          <w:szCs w:val="24"/>
        </w:rPr>
        <w:t xml:space="preserve">limemazin (Theralen) eller hydroxizin (Atarax) </w:t>
      </w:r>
      <w:r w:rsidRPr="00A33A11">
        <w:rPr>
          <w:rFonts w:asciiTheme="minorHAnsi" w:hAnsiTheme="minorHAnsi" w:cs="Times New Roman"/>
          <w:sz w:val="24"/>
          <w:szCs w:val="24"/>
        </w:rPr>
        <w:t>kan medföra</w:t>
      </w:r>
      <w:r w:rsidRPr="00A33A11">
        <w:rPr>
          <w:rFonts w:asciiTheme="minorHAnsi" w:hAnsiTheme="minorHAnsi" w:cs="Times New Roman" w:hint="cs"/>
          <w:sz w:val="24"/>
          <w:szCs w:val="24"/>
        </w:rPr>
        <w:t xml:space="preserve"> risk</w:t>
      </w:r>
      <w:r w:rsidRPr="00A33A11">
        <w:rPr>
          <w:rFonts w:asciiTheme="minorHAnsi" w:hAnsiTheme="minorHAnsi" w:cs="Times New Roman"/>
          <w:sz w:val="24"/>
          <w:szCs w:val="24"/>
        </w:rPr>
        <w:t>er var god se ovan</w:t>
      </w:r>
      <w:r w:rsidRPr="00A33A11">
        <w:rPr>
          <w:rFonts w:asciiTheme="minorHAnsi" w:hAnsiTheme="minorHAnsi" w:cs="Times New Roman" w:hint="cs"/>
          <w:sz w:val="24"/>
          <w:szCs w:val="24"/>
        </w:rPr>
        <w:t xml:space="preserve">, varför den endast ska ges i undantagsfall. </w:t>
      </w:r>
      <w:r w:rsidRPr="00A33A11">
        <w:rPr>
          <w:rFonts w:asciiTheme="minorHAnsi" w:hAnsiTheme="minorHAnsi" w:cs="Times New Roman"/>
          <w:sz w:val="24"/>
          <w:szCs w:val="24"/>
        </w:rPr>
        <w:t>Vid ångestsyndrom bör psykoterapeutisk behandling med KBT erbjudas när psykopedagogisk behandling inte leder till att behandlingsmålen nås.</w:t>
      </w:r>
      <w:r w:rsidR="00067550">
        <w:rPr>
          <w:rFonts w:asciiTheme="minorHAnsi" w:hAnsiTheme="minorHAnsi" w:cs="Times New Roman"/>
          <w:sz w:val="24"/>
          <w:szCs w:val="24"/>
        </w:rPr>
        <w:t xml:space="preserve"> </w:t>
      </w:r>
      <w:r w:rsidR="00067550">
        <w:rPr>
          <w:rFonts w:asciiTheme="minorHAnsi" w:hAnsiTheme="minorHAnsi" w:cs="Times New Roman"/>
          <w:sz w:val="24"/>
          <w:szCs w:val="24"/>
        </w:rPr>
        <w:br/>
      </w:r>
      <w:r w:rsidRPr="00A33A11">
        <w:rPr>
          <w:rFonts w:asciiTheme="minorHAnsi" w:hAnsiTheme="minorHAnsi" w:cs="Times New Roman" w:hint="cs"/>
          <w:sz w:val="24"/>
          <w:szCs w:val="24"/>
        </w:rPr>
        <w:t xml:space="preserve">Behandling av </w:t>
      </w:r>
      <w:r w:rsidRPr="00A33A11">
        <w:rPr>
          <w:rFonts w:asciiTheme="minorHAnsi" w:hAnsiTheme="minorHAnsi" w:cs="Times New Roman"/>
          <w:sz w:val="24"/>
          <w:szCs w:val="24"/>
        </w:rPr>
        <w:t xml:space="preserve">medelsvåra-svåra </w:t>
      </w:r>
      <w:r w:rsidRPr="00A33A11">
        <w:rPr>
          <w:rFonts w:asciiTheme="minorHAnsi" w:hAnsiTheme="minorHAnsi" w:cs="Times New Roman" w:hint="cs"/>
          <w:sz w:val="24"/>
          <w:szCs w:val="24"/>
        </w:rPr>
        <w:t xml:space="preserve">ångesttillstånd ska ske inom BUP. </w:t>
      </w:r>
      <w:r w:rsidRPr="00A33A11">
        <w:rPr>
          <w:rFonts w:asciiTheme="minorHAnsi" w:hAnsiTheme="minorHAnsi" w:cs="Times New Roman"/>
          <w:sz w:val="24"/>
          <w:szCs w:val="24"/>
        </w:rPr>
        <w:t xml:space="preserve">Vid ångestsyndrom (exv social fobi, GAD, paniksyndrom) är </w:t>
      </w:r>
      <w:r w:rsidRPr="00A33A11">
        <w:rPr>
          <w:rFonts w:asciiTheme="minorHAnsi" w:hAnsiTheme="minorHAnsi" w:cs="Times New Roman" w:hint="cs"/>
          <w:sz w:val="24"/>
          <w:szCs w:val="24"/>
        </w:rPr>
        <w:t xml:space="preserve">Sertralin godkänt för behandling hos barn och ungdomar. </w:t>
      </w:r>
    </w:p>
    <w:p w14:paraId="54CBF6BF" w14:textId="77777777" w:rsidR="00702564" w:rsidRPr="00A33A11" w:rsidRDefault="00702564" w:rsidP="00702564">
      <w:pPr>
        <w:pStyle w:val="Rubrik2"/>
      </w:pPr>
      <w:r w:rsidRPr="00A33A11">
        <w:rPr>
          <w:rFonts w:hint="cs"/>
        </w:rPr>
        <w:t>Tvångssyndrom</w:t>
      </w:r>
    </w:p>
    <w:p w14:paraId="2FC5F07A" w14:textId="77777777" w:rsidR="00702564" w:rsidRPr="00A33A11" w:rsidRDefault="00702564" w:rsidP="00702564">
      <w:p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Farmakologisk behandling skall ske inom BUP</w:t>
      </w:r>
      <w:r w:rsidRPr="00A33A11">
        <w:rPr>
          <w:rFonts w:asciiTheme="minorHAnsi" w:hAnsiTheme="minorHAnsi" w:cs="Times New Roman"/>
          <w:sz w:val="24"/>
          <w:szCs w:val="24"/>
        </w:rPr>
        <w:t xml:space="preserve"> i kombination med KBT mot tvångssyndrom. Vid akut nyuppkommet tvång kontakta omgående barnläkare/barnneurolog för att utesluta neuroinflammatoriska processer. </w:t>
      </w:r>
    </w:p>
    <w:p w14:paraId="57A75229" w14:textId="77777777" w:rsidR="00702564" w:rsidRPr="00A33A11" w:rsidRDefault="00702564" w:rsidP="00702564">
      <w:pPr>
        <w:pStyle w:val="Rubrik2"/>
      </w:pPr>
      <w:r w:rsidRPr="00A33A11">
        <w:rPr>
          <w:rFonts w:hint="cs"/>
        </w:rPr>
        <w:lastRenderedPageBreak/>
        <w:t>Depression</w:t>
      </w:r>
    </w:p>
    <w:p w14:paraId="686CDE66" w14:textId="12C137D1" w:rsidR="00702564" w:rsidRPr="00A33A11" w:rsidRDefault="00702564" w:rsidP="00702564">
      <w:p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Farmakologisk behandling skall ske inom BUP.</w:t>
      </w:r>
      <w:r w:rsidR="00067550">
        <w:rPr>
          <w:rFonts w:asciiTheme="minorHAnsi" w:hAnsiTheme="minorHAnsi" w:cs="Times New Roman"/>
          <w:sz w:val="24"/>
          <w:szCs w:val="24"/>
        </w:rPr>
        <w:t xml:space="preserve"> </w:t>
      </w:r>
      <w:r w:rsidR="00067550">
        <w:rPr>
          <w:rFonts w:asciiTheme="minorHAnsi" w:hAnsiTheme="minorHAnsi" w:cs="Times New Roman"/>
          <w:sz w:val="24"/>
          <w:szCs w:val="24"/>
        </w:rPr>
        <w:br/>
      </w:r>
      <w:r w:rsidRPr="00A33A11">
        <w:rPr>
          <w:rFonts w:asciiTheme="minorHAnsi" w:hAnsiTheme="minorHAnsi" w:cs="Times New Roman"/>
          <w:sz w:val="24"/>
          <w:szCs w:val="24"/>
        </w:rPr>
        <w:t>Focus på depressionsb</w:t>
      </w:r>
      <w:r w:rsidRPr="00A33A11">
        <w:rPr>
          <w:rFonts w:asciiTheme="minorHAnsi" w:hAnsiTheme="minorHAnsi" w:cs="Times New Roman" w:hint="cs"/>
          <w:sz w:val="24"/>
          <w:szCs w:val="24"/>
        </w:rPr>
        <w:t>ehandling av barn och ungdomar med depression ligger på psykoedukativa och psykosociala interventioner. Lätta till måttliga tillstånd behandlas inom första linjen och medelsvåra till svåra tillstånd behandlas inom BUP.</w:t>
      </w:r>
      <w:r w:rsidR="00067550">
        <w:rPr>
          <w:rFonts w:asciiTheme="minorHAnsi" w:hAnsiTheme="minorHAnsi" w:cs="Times New Roman"/>
          <w:sz w:val="24"/>
          <w:szCs w:val="24"/>
        </w:rPr>
        <w:t xml:space="preserve"> </w:t>
      </w:r>
      <w:r w:rsidR="00067550">
        <w:rPr>
          <w:rFonts w:asciiTheme="minorHAnsi" w:hAnsiTheme="minorHAnsi" w:cs="Times New Roman"/>
          <w:sz w:val="24"/>
          <w:szCs w:val="24"/>
        </w:rPr>
        <w:br/>
      </w:r>
      <w:r w:rsidRPr="00A33A11">
        <w:rPr>
          <w:rFonts w:asciiTheme="minorHAnsi" w:hAnsiTheme="minorHAnsi" w:cs="Times New Roman" w:hint="cs"/>
          <w:sz w:val="24"/>
          <w:szCs w:val="24"/>
        </w:rPr>
        <w:t>I första hand används fluoxetin</w:t>
      </w:r>
      <w:r w:rsidRPr="00A33A11">
        <w:rPr>
          <w:rFonts w:asciiTheme="minorHAnsi" w:hAnsiTheme="minorHAnsi" w:cs="Times New Roman"/>
          <w:sz w:val="24"/>
          <w:szCs w:val="24"/>
        </w:rPr>
        <w:t xml:space="preserve">. I andra hand finns sertralin, escitalopram eller duloxetin inom BUP. </w:t>
      </w:r>
      <w:hyperlink r:id="rId186" w:history="1">
        <w:r w:rsidRPr="00A33A11">
          <w:rPr>
            <w:rStyle w:val="Hyperlnk"/>
            <w:rFonts w:asciiTheme="minorHAnsi" w:hAnsiTheme="minorHAnsi" w:cs="Times New Roman"/>
            <w:sz w:val="24"/>
            <w:szCs w:val="24"/>
          </w:rPr>
          <w:t>SF BUP</w:t>
        </w:r>
      </w:hyperlink>
      <w:r w:rsidRPr="00A33A11">
        <w:rPr>
          <w:rFonts w:asciiTheme="minorHAnsi" w:hAnsiTheme="minorHAnsi" w:cs="Times New Roman"/>
          <w:sz w:val="24"/>
          <w:szCs w:val="24"/>
        </w:rPr>
        <w:t xml:space="preserve"> </w:t>
      </w:r>
      <w:r>
        <w:rPr>
          <w:rFonts w:asciiTheme="minorHAnsi" w:hAnsiTheme="minorHAnsi" w:cs="Times New Roman"/>
          <w:sz w:val="24"/>
          <w:szCs w:val="24"/>
        </w:rPr>
        <w:t>(Svenska Föreningen för Barn- och Ungdomspsykiatri)</w:t>
      </w:r>
    </w:p>
    <w:p w14:paraId="339CE12C" w14:textId="77777777" w:rsidR="00702564" w:rsidRPr="00A33A11" w:rsidRDefault="00702564" w:rsidP="00702564">
      <w:pPr>
        <w:pStyle w:val="Rubrik2"/>
      </w:pPr>
      <w:r w:rsidRPr="00A33A11">
        <w:rPr>
          <w:rFonts w:hint="cs"/>
        </w:rPr>
        <w:t>ADHD</w:t>
      </w:r>
    </w:p>
    <w:p w14:paraId="09385E41" w14:textId="6ECA9730" w:rsidR="00702564" w:rsidRPr="00A33A11" w:rsidRDefault="00702564" w:rsidP="00702564">
      <w:p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 xml:space="preserve">Farmakologisk behandling skall ske via BUP. </w:t>
      </w:r>
      <w:r w:rsidR="00067550">
        <w:rPr>
          <w:rFonts w:asciiTheme="minorHAnsi" w:hAnsiTheme="minorHAnsi" w:cs="Times New Roman"/>
          <w:sz w:val="24"/>
          <w:szCs w:val="24"/>
        </w:rPr>
        <w:br/>
      </w:r>
      <w:r w:rsidRPr="00A33A11">
        <w:rPr>
          <w:rFonts w:asciiTheme="minorHAnsi" w:hAnsiTheme="minorHAnsi" w:cs="Times New Roman" w:hint="cs"/>
          <w:sz w:val="24"/>
          <w:szCs w:val="24"/>
        </w:rPr>
        <w:t>Behandling av ADHD är multimodal och innefattar bland annat psykoedukation och psykosociala insatser till patient och anhöriga. För bar</w:t>
      </w:r>
      <w:r w:rsidRPr="00A33A11">
        <w:rPr>
          <w:rFonts w:asciiTheme="minorHAnsi" w:hAnsiTheme="minorHAnsi" w:cs="Times New Roman"/>
          <w:sz w:val="24"/>
          <w:szCs w:val="24"/>
        </w:rPr>
        <w:t>n</w:t>
      </w:r>
      <w:r w:rsidRPr="00A33A11">
        <w:rPr>
          <w:rFonts w:asciiTheme="minorHAnsi" w:hAnsiTheme="minorHAnsi" w:cs="Times New Roman" w:hint="cs"/>
          <w:sz w:val="24"/>
          <w:szCs w:val="24"/>
        </w:rPr>
        <w:t xml:space="preserve"> i skolåldern bör skolanpassning göras i samråd med patienten, föräldrar och skola. Läkemedelsbehandling bör övervägas av specialist inom barn- och ungdomspsykiatrin eller barnneurologin om symtomen har en signifikant negativ effekt på skolgång, arbete och/eller dagliga relationer. </w:t>
      </w:r>
    </w:p>
    <w:p w14:paraId="528491C5" w14:textId="77777777" w:rsidR="00702564" w:rsidRPr="00A33A11" w:rsidRDefault="00702564" w:rsidP="00702564">
      <w:p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 xml:space="preserve">Ifall läkemedelsbehandling är indicerat, så rekommenderar terapigruppen </w:t>
      </w:r>
    </w:p>
    <w:p w14:paraId="42D90836" w14:textId="77777777" w:rsidR="00702564" w:rsidRPr="00A33A11" w:rsidRDefault="00702564" w:rsidP="00702564">
      <w:pPr>
        <w:numPr>
          <w:ilvl w:val="0"/>
          <w:numId w:val="111"/>
        </w:num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I första hand depotpreparat av metylfenidat</w:t>
      </w:r>
      <w:r w:rsidRPr="00A33A11">
        <w:rPr>
          <w:rFonts w:asciiTheme="minorHAnsi" w:hAnsiTheme="minorHAnsi" w:cs="Times New Roman"/>
          <w:sz w:val="24"/>
          <w:szCs w:val="24"/>
        </w:rPr>
        <w:t xml:space="preserve"> (centralstimulerande läkemedel, narkotikaklassad). Rekommenderas att vid nyinsättning använda generika som första hands preparat istället för de väl kända (men ofta något dyrare) preparat som Ritalin och Concerta. Klinisk erfarenhet visar att effekten kan upplevas skilja mellan de olika märkena, så kan patienten uppleva att ett generikum fungerar bättre än originalmärket eller tvärtom.</w:t>
      </w:r>
    </w:p>
    <w:p w14:paraId="1B1CCAB3" w14:textId="77777777" w:rsidR="00702564" w:rsidRPr="00A33A11" w:rsidRDefault="00702564" w:rsidP="00702564">
      <w:pPr>
        <w:numPr>
          <w:ilvl w:val="0"/>
          <w:numId w:val="111"/>
        </w:num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I andra hand atomoxetin, lisdexamfetamin eller guanfacin</w:t>
      </w:r>
      <w:r w:rsidRPr="00A33A11">
        <w:rPr>
          <w:rFonts w:asciiTheme="minorHAnsi" w:hAnsiTheme="minorHAnsi" w:cs="Times New Roman"/>
          <w:sz w:val="24"/>
          <w:szCs w:val="24"/>
        </w:rPr>
        <w:t>.</w:t>
      </w:r>
      <w:r w:rsidRPr="00A33A11">
        <w:rPr>
          <w:rFonts w:asciiTheme="minorHAnsi" w:hAnsiTheme="minorHAnsi" w:cs="Times New Roman" w:hint="cs"/>
          <w:sz w:val="24"/>
          <w:szCs w:val="24"/>
        </w:rPr>
        <w:t xml:space="preserve"> Atomoxetin </w:t>
      </w:r>
      <w:r w:rsidRPr="00A33A11">
        <w:rPr>
          <w:rFonts w:asciiTheme="minorHAnsi" w:hAnsiTheme="minorHAnsi" w:cs="Times New Roman"/>
          <w:sz w:val="24"/>
          <w:szCs w:val="24"/>
        </w:rPr>
        <w:t xml:space="preserve">(Strattera) </w:t>
      </w:r>
      <w:r w:rsidRPr="00A33A11">
        <w:rPr>
          <w:rFonts w:asciiTheme="minorHAnsi" w:hAnsiTheme="minorHAnsi" w:cs="Times New Roman" w:hint="cs"/>
          <w:sz w:val="24"/>
          <w:szCs w:val="24"/>
        </w:rPr>
        <w:t xml:space="preserve">verkar skärpande på uppmärksamhetsförmågan och minskande på impulser genom att hämma återupptagningen av noradrenalin, och är därav klassad som en </w:t>
      </w:r>
      <w:r w:rsidRPr="00A33A11">
        <w:rPr>
          <w:rFonts w:asciiTheme="minorHAnsi" w:hAnsiTheme="minorHAnsi" w:cs="Times New Roman"/>
          <w:sz w:val="24"/>
          <w:szCs w:val="24"/>
        </w:rPr>
        <w:t>n</w:t>
      </w:r>
      <w:r w:rsidRPr="00A33A11">
        <w:rPr>
          <w:rFonts w:asciiTheme="minorHAnsi" w:hAnsiTheme="minorHAnsi" w:cs="Times New Roman" w:hint="cs"/>
          <w:sz w:val="24"/>
          <w:szCs w:val="24"/>
        </w:rPr>
        <w:t xml:space="preserve">oradrenalinåterupptagshämmare (NRI) och </w:t>
      </w:r>
      <w:r w:rsidRPr="00A33A11">
        <w:rPr>
          <w:rFonts w:asciiTheme="minorHAnsi" w:hAnsiTheme="minorHAnsi" w:cs="Times New Roman"/>
          <w:sz w:val="24"/>
          <w:szCs w:val="24"/>
        </w:rPr>
        <w:t xml:space="preserve">är </w:t>
      </w:r>
      <w:r w:rsidRPr="00A33A11">
        <w:rPr>
          <w:rFonts w:asciiTheme="minorHAnsi" w:hAnsiTheme="minorHAnsi" w:cs="Times New Roman" w:hint="cs"/>
          <w:sz w:val="24"/>
          <w:szCs w:val="24"/>
        </w:rPr>
        <w:t xml:space="preserve">inte narkotikaklassad. </w:t>
      </w:r>
      <w:r w:rsidRPr="00A33A11">
        <w:rPr>
          <w:rFonts w:asciiTheme="minorHAnsi" w:hAnsiTheme="minorHAnsi" w:cs="Times New Roman"/>
          <w:sz w:val="24"/>
          <w:szCs w:val="24"/>
        </w:rPr>
        <w:t xml:space="preserve">Lisdexamfetamin (Elvanse) är narkotikaklassad och tillhör gruppen centralstimulerande läkemedel. Guanfacin (Intuniv) modulerar signalering i prefrontala cortex och basala ganglier genom att direkt modifiera synaptisk noradrenalintransmission vid alfa-2A-adrenerga receptorer, ingen beroendepotential. </w:t>
      </w:r>
    </w:p>
    <w:p w14:paraId="3A98E8A7" w14:textId="77777777" w:rsidR="00702564" w:rsidRPr="00A33A11" w:rsidRDefault="00702564" w:rsidP="00702564">
      <w:pPr>
        <w:numPr>
          <w:ilvl w:val="0"/>
          <w:numId w:val="111"/>
        </w:num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Kortverkande metylfenidat eller de</w:t>
      </w:r>
      <w:r w:rsidRPr="00A33A11">
        <w:rPr>
          <w:rFonts w:asciiTheme="minorHAnsi" w:hAnsiTheme="minorHAnsi" w:cs="Times New Roman"/>
          <w:sz w:val="24"/>
          <w:szCs w:val="24"/>
        </w:rPr>
        <w:t>x</w:t>
      </w:r>
      <w:r w:rsidRPr="00A33A11">
        <w:rPr>
          <w:rFonts w:asciiTheme="minorHAnsi" w:hAnsiTheme="minorHAnsi" w:cs="Times New Roman" w:hint="cs"/>
          <w:sz w:val="24"/>
          <w:szCs w:val="24"/>
        </w:rPr>
        <w:t>amfetamin ska enbart förskrivas efter noggrann övervägning av beroende</w:t>
      </w:r>
      <w:r w:rsidRPr="00A33A11">
        <w:rPr>
          <w:rFonts w:asciiTheme="minorHAnsi" w:hAnsiTheme="minorHAnsi" w:cs="Times New Roman"/>
          <w:sz w:val="24"/>
          <w:szCs w:val="24"/>
        </w:rPr>
        <w:t>potentialen</w:t>
      </w:r>
      <w:r w:rsidRPr="00A33A11">
        <w:rPr>
          <w:rFonts w:asciiTheme="minorHAnsi" w:hAnsiTheme="minorHAnsi" w:cs="Times New Roman" w:hint="cs"/>
          <w:sz w:val="24"/>
          <w:szCs w:val="24"/>
        </w:rPr>
        <w:t xml:space="preserve">. </w:t>
      </w:r>
    </w:p>
    <w:p w14:paraId="17222E47" w14:textId="77777777" w:rsidR="00702564" w:rsidRPr="00A33A11" w:rsidRDefault="00702564" w:rsidP="00702564">
      <w:pPr>
        <w:pStyle w:val="Rubrik2"/>
      </w:pPr>
      <w:r w:rsidRPr="00A33A11">
        <w:rPr>
          <w:rFonts w:hint="cs"/>
        </w:rPr>
        <w:t>Autismspektrumstörning och intellektuell funktionsnedsättning</w:t>
      </w:r>
    </w:p>
    <w:p w14:paraId="15562AF1" w14:textId="77777777" w:rsidR="00702564" w:rsidRDefault="00702564" w:rsidP="00702564">
      <w:pPr>
        <w:tabs>
          <w:tab w:val="clear" w:pos="284"/>
        </w:tabs>
        <w:spacing w:before="120"/>
        <w:rPr>
          <w:rFonts w:asciiTheme="minorHAnsi" w:hAnsiTheme="minorHAnsi" w:cs="Times New Roman"/>
          <w:sz w:val="24"/>
          <w:szCs w:val="24"/>
        </w:rPr>
      </w:pPr>
      <w:r w:rsidRPr="00A33A11">
        <w:rPr>
          <w:rFonts w:asciiTheme="minorHAnsi" w:hAnsiTheme="minorHAnsi" w:cs="Times New Roman" w:hint="cs"/>
          <w:sz w:val="24"/>
          <w:szCs w:val="24"/>
        </w:rPr>
        <w:t xml:space="preserve">Läkemedelsbehandling av </w:t>
      </w:r>
      <w:r w:rsidRPr="00A33A11">
        <w:rPr>
          <w:rFonts w:asciiTheme="minorHAnsi" w:hAnsiTheme="minorHAnsi" w:cs="Times New Roman"/>
          <w:sz w:val="24"/>
          <w:szCs w:val="24"/>
        </w:rPr>
        <w:t xml:space="preserve">psykiska symtom som kan förekomma vid </w:t>
      </w:r>
      <w:r w:rsidRPr="00A33A11">
        <w:rPr>
          <w:rFonts w:asciiTheme="minorHAnsi" w:hAnsiTheme="minorHAnsi" w:cs="Times New Roman" w:hint="cs"/>
          <w:sz w:val="24"/>
          <w:szCs w:val="24"/>
        </w:rPr>
        <w:t>dessa tillstånd skall ske inom barnhabilitering eller barn- och ungdomsmedicinsk klinik.</w:t>
      </w:r>
    </w:p>
    <w:p w14:paraId="25BA2E87" w14:textId="77777777" w:rsidR="00702564" w:rsidRDefault="00702564" w:rsidP="00702564">
      <w:pPr>
        <w:pStyle w:val="Rubrik1"/>
      </w:pPr>
      <w:r>
        <w:lastRenderedPageBreak/>
        <w:t>Smärta</w:t>
      </w:r>
    </w:p>
    <w:p w14:paraId="7297B5C0" w14:textId="77777777" w:rsidR="00702564" w:rsidRDefault="00702564" w:rsidP="00702564">
      <w:pPr>
        <w:pStyle w:val="Rubrik3"/>
      </w:pPr>
      <w:r>
        <w:t>S</w:t>
      </w:r>
      <w:r w:rsidRPr="009132E1">
        <w:t xml:space="preserve">enast uppdaterad </w:t>
      </w:r>
      <w:r>
        <w:t>2026-03-24</w:t>
      </w:r>
    </w:p>
    <w:p w14:paraId="4124763E" w14:textId="77777777" w:rsidR="00702564" w:rsidRPr="005A0B17" w:rsidRDefault="00702564" w:rsidP="00702564">
      <w:pPr>
        <w:pStyle w:val="Rubrik2"/>
      </w:pPr>
      <w:r w:rsidRPr="005A0B17">
        <w:t>Terapigruppsmedlemmar</w:t>
      </w:r>
    </w:p>
    <w:p w14:paraId="2ED90D27" w14:textId="77777777" w:rsidR="00702564" w:rsidRPr="005A0B17" w:rsidRDefault="00702564" w:rsidP="00702564">
      <w:pPr>
        <w:rPr>
          <w:sz w:val="24"/>
          <w:szCs w:val="24"/>
        </w:rPr>
      </w:pPr>
      <w:r w:rsidRPr="005A0B17">
        <w:rPr>
          <w:sz w:val="24"/>
          <w:szCs w:val="24"/>
        </w:rPr>
        <w:t>Olivia Frånberg, apotekare,</w:t>
      </w:r>
      <w:r>
        <w:rPr>
          <w:sz w:val="24"/>
          <w:szCs w:val="24"/>
        </w:rPr>
        <w:t xml:space="preserve"> Läkemedelsenheten</w:t>
      </w:r>
    </w:p>
    <w:p w14:paraId="57DA68D5" w14:textId="77777777" w:rsidR="00702564" w:rsidRPr="00FE06A2" w:rsidRDefault="00702564" w:rsidP="00702564">
      <w:pPr>
        <w:rPr>
          <w:sz w:val="24"/>
          <w:szCs w:val="24"/>
        </w:rPr>
      </w:pPr>
      <w:r w:rsidRPr="00FE06A2">
        <w:rPr>
          <w:sz w:val="24"/>
          <w:szCs w:val="24"/>
        </w:rPr>
        <w:t>Kerstin Nordbeck, ST-läkare, Ortopedkliniken</w:t>
      </w:r>
    </w:p>
    <w:p w14:paraId="70F4A125" w14:textId="77777777" w:rsidR="00702564" w:rsidRPr="00FE06A2" w:rsidRDefault="00702564" w:rsidP="00702564">
      <w:pPr>
        <w:rPr>
          <w:sz w:val="24"/>
          <w:szCs w:val="24"/>
        </w:rPr>
      </w:pPr>
      <w:r w:rsidRPr="00FE06A2">
        <w:rPr>
          <w:sz w:val="24"/>
          <w:szCs w:val="24"/>
        </w:rPr>
        <w:t>Jacob Sandberg, ST-läkare, Jämjö vårdcentral</w:t>
      </w:r>
    </w:p>
    <w:p w14:paraId="73D70C9D" w14:textId="77777777" w:rsidR="00702564" w:rsidRPr="00466833" w:rsidRDefault="00702564" w:rsidP="00702564">
      <w:pPr>
        <w:rPr>
          <w:sz w:val="24"/>
          <w:szCs w:val="24"/>
        </w:rPr>
      </w:pPr>
      <w:r w:rsidRPr="00FE06A2">
        <w:rPr>
          <w:sz w:val="24"/>
          <w:szCs w:val="24"/>
        </w:rPr>
        <w:t>Sergio Arauzo, specialistläkare, Palliativ medicin</w:t>
      </w:r>
    </w:p>
    <w:p w14:paraId="1C0BCCC3" w14:textId="77777777" w:rsidR="00702564" w:rsidRDefault="00702564" w:rsidP="00702564"/>
    <w:p w14:paraId="0BBB13B5" w14:textId="77777777" w:rsidR="00702564" w:rsidRDefault="00702564" w:rsidP="00702564">
      <w:pPr>
        <w:pStyle w:val="Rubrik2"/>
      </w:pPr>
      <w:r w:rsidRPr="0071138D">
        <w:t>Inför smärtbehandling</w:t>
      </w:r>
    </w:p>
    <w:p w14:paraId="22EFC971" w14:textId="77777777" w:rsidR="00702564" w:rsidRPr="000D1B8E" w:rsidRDefault="00702564" w:rsidP="00702564">
      <w:pPr>
        <w:pStyle w:val="Rubrik3"/>
      </w:pPr>
      <w:r w:rsidRPr="000D1B8E">
        <w:t>I</w:t>
      </w:r>
      <w:r>
        <w:t>nnan en smärtbehandling påbörjas ska diagnosen vara grundad på:</w:t>
      </w:r>
      <w:r>
        <w:br/>
      </w:r>
    </w:p>
    <w:p w14:paraId="640FC0DA" w14:textId="77777777" w:rsidR="00702564" w:rsidRPr="000D1B8E" w:rsidRDefault="00702564" w:rsidP="00702564">
      <w:pPr>
        <w:pStyle w:val="Liststycke"/>
        <w:numPr>
          <w:ilvl w:val="0"/>
          <w:numId w:val="29"/>
        </w:numPr>
        <w:tabs>
          <w:tab w:val="clear" w:pos="284"/>
        </w:tabs>
        <w:spacing w:after="160" w:line="259" w:lineRule="auto"/>
        <w:contextualSpacing/>
        <w:rPr>
          <w:sz w:val="24"/>
          <w:szCs w:val="24"/>
        </w:rPr>
      </w:pPr>
      <w:r w:rsidRPr="000D1B8E">
        <w:rPr>
          <w:sz w:val="24"/>
          <w:szCs w:val="24"/>
        </w:rPr>
        <w:t xml:space="preserve">Utförlig anamnes: Debut? Finns utlösande faktor? </w:t>
      </w:r>
      <w:r w:rsidRPr="00FE06A2">
        <w:rPr>
          <w:sz w:val="24"/>
          <w:szCs w:val="24"/>
        </w:rPr>
        <w:t xml:space="preserve">Lokalisation (se stöd </w:t>
      </w:r>
      <w:hyperlink r:id="rId187" w:history="1">
        <w:r w:rsidRPr="00FE06A2">
          <w:rPr>
            <w:rStyle w:val="Hyperlnk"/>
            <w:color w:val="0070C0"/>
            <w:sz w:val="24"/>
            <w:szCs w:val="24"/>
          </w:rPr>
          <w:t>Smärtteckning</w:t>
        </w:r>
      </w:hyperlink>
      <w:r w:rsidRPr="00FE06A2">
        <w:rPr>
          <w:sz w:val="24"/>
          <w:szCs w:val="24"/>
        </w:rPr>
        <w:t xml:space="preserve">) Smärtintensitet och karaktär (se </w:t>
      </w:r>
      <w:hyperlink r:id="rId188" w:history="1">
        <w:r w:rsidRPr="00FE06A2">
          <w:rPr>
            <w:rStyle w:val="Hyperlnk"/>
            <w:color w:val="0070C0"/>
          </w:rPr>
          <w:t>Vägledning kring status och smärttyper</w:t>
        </w:r>
      </w:hyperlink>
      <w:r w:rsidRPr="00FE06A2">
        <w:rPr>
          <w:color w:val="0070C0"/>
        </w:rPr>
        <w:t xml:space="preserve"> </w:t>
      </w:r>
      <w:r w:rsidRPr="00FE06A2">
        <w:t xml:space="preserve">och </w:t>
      </w:r>
      <w:hyperlink r:id="rId189" w:history="1">
        <w:r w:rsidRPr="00FE06A2">
          <w:rPr>
            <w:rStyle w:val="Hyperlnk"/>
            <w:color w:val="0070C0"/>
          </w:rPr>
          <w:t>Dermatomkarta</w:t>
        </w:r>
      </w:hyperlink>
      <w:r w:rsidRPr="00FE06A2">
        <w:t>)</w:t>
      </w:r>
      <w:r w:rsidRPr="00FE06A2">
        <w:rPr>
          <w:sz w:val="24"/>
          <w:szCs w:val="24"/>
        </w:rPr>
        <w:t xml:space="preserve"> </w:t>
      </w:r>
      <w:r>
        <w:rPr>
          <w:sz w:val="24"/>
          <w:szCs w:val="24"/>
        </w:rPr>
        <w:br/>
      </w:r>
      <w:r w:rsidRPr="00FE06A2">
        <w:rPr>
          <w:color w:val="222222"/>
          <w:sz w:val="24"/>
          <w:szCs w:val="24"/>
          <w:shd w:val="clear" w:color="auto" w:fill="FFFFFF"/>
        </w:rPr>
        <w:t xml:space="preserve">Rör det sig om en nociceptiv somatisk eller visceral smärta? Finns en inflammatoriskt eller neuropatisk komponent? </w:t>
      </w:r>
      <w:r w:rsidRPr="00FE06A2">
        <w:rPr>
          <w:sz w:val="24"/>
          <w:szCs w:val="24"/>
        </w:rPr>
        <w:t>Dygnsvariation? Hur ser smärtan ut över tid - ihållande</w:t>
      </w:r>
      <w:r w:rsidRPr="000D1B8E">
        <w:rPr>
          <w:sz w:val="24"/>
          <w:szCs w:val="24"/>
        </w:rPr>
        <w:t xml:space="preserve"> eller paroxysmal? Smärta i rörelse och/eller vila? Vad förvärrar/lindrar smärta?</w:t>
      </w:r>
      <w:r w:rsidRPr="000D1B8E">
        <w:rPr>
          <w:color w:val="222222"/>
          <w:sz w:val="24"/>
          <w:szCs w:val="24"/>
          <w:shd w:val="clear" w:color="auto" w:fill="FFFFFF"/>
        </w:rPr>
        <w:t xml:space="preserve"> Kan man finna en åtgärdbar orsak?</w:t>
      </w:r>
      <w:r w:rsidRPr="000D1B8E">
        <w:rPr>
          <w:sz w:val="24"/>
          <w:szCs w:val="24"/>
        </w:rPr>
        <w:t xml:space="preserve"> Effekt av analgetika? Sociala faktorer? Samsjuklighet? Följder av smärtan?</w:t>
      </w:r>
    </w:p>
    <w:p w14:paraId="4B664C01" w14:textId="77777777" w:rsidR="00702564" w:rsidRPr="000D1B8E" w:rsidRDefault="00702564" w:rsidP="00702564">
      <w:pPr>
        <w:pStyle w:val="Liststycke"/>
        <w:numPr>
          <w:ilvl w:val="0"/>
          <w:numId w:val="29"/>
        </w:numPr>
        <w:tabs>
          <w:tab w:val="clear" w:pos="284"/>
        </w:tabs>
        <w:spacing w:after="160" w:line="259" w:lineRule="auto"/>
        <w:contextualSpacing/>
        <w:rPr>
          <w:sz w:val="24"/>
          <w:szCs w:val="24"/>
        </w:rPr>
      </w:pPr>
      <w:r w:rsidRPr="000D1B8E">
        <w:rPr>
          <w:sz w:val="24"/>
          <w:szCs w:val="24"/>
        </w:rPr>
        <w:t xml:space="preserve">Smärtanalys (smärtteckning med VAS-skala alternativt Numeric Rating Scale (NRS), </w:t>
      </w:r>
      <w:r>
        <w:rPr>
          <w:sz w:val="24"/>
          <w:szCs w:val="24"/>
        </w:rPr>
        <w:br/>
      </w:r>
      <w:r w:rsidRPr="000D1B8E">
        <w:rPr>
          <w:sz w:val="24"/>
          <w:szCs w:val="24"/>
        </w:rPr>
        <w:t xml:space="preserve">se distriktslakare.com, finns på flera språk) </w:t>
      </w:r>
    </w:p>
    <w:p w14:paraId="2E7E8FEA" w14:textId="77777777" w:rsidR="00702564" w:rsidRPr="000D1B8E" w:rsidRDefault="00702564" w:rsidP="00702564">
      <w:pPr>
        <w:pStyle w:val="Liststycke"/>
        <w:numPr>
          <w:ilvl w:val="0"/>
          <w:numId w:val="29"/>
        </w:numPr>
        <w:tabs>
          <w:tab w:val="clear" w:pos="284"/>
        </w:tabs>
        <w:spacing w:after="160" w:line="259" w:lineRule="auto"/>
        <w:contextualSpacing/>
        <w:rPr>
          <w:sz w:val="24"/>
          <w:szCs w:val="24"/>
        </w:rPr>
      </w:pPr>
      <w:r w:rsidRPr="000D1B8E">
        <w:rPr>
          <w:sz w:val="24"/>
          <w:szCs w:val="24"/>
        </w:rPr>
        <w:t>Strukturerad somatisk undersökning och vid behov tillägg av röntgen samt laboratorieprover.</w:t>
      </w:r>
    </w:p>
    <w:p w14:paraId="4863DDC6" w14:textId="77777777" w:rsidR="00702564" w:rsidRPr="000D1B8E" w:rsidRDefault="00702564" w:rsidP="00702564">
      <w:pPr>
        <w:pStyle w:val="Rubrik3"/>
      </w:pPr>
      <w:r w:rsidRPr="000D1B8E">
        <w:t>B</w:t>
      </w:r>
      <w:r>
        <w:t>ehandlingsstrategier:</w:t>
      </w:r>
      <w:r>
        <w:br/>
      </w:r>
    </w:p>
    <w:p w14:paraId="3A3FBFA2" w14:textId="77777777" w:rsidR="00702564" w:rsidRPr="000D1B8E" w:rsidRDefault="00702564" w:rsidP="00702564">
      <w:pPr>
        <w:pStyle w:val="Liststycke"/>
        <w:numPr>
          <w:ilvl w:val="0"/>
          <w:numId w:val="29"/>
        </w:numPr>
        <w:tabs>
          <w:tab w:val="clear" w:pos="284"/>
        </w:tabs>
        <w:spacing w:after="160" w:line="259" w:lineRule="auto"/>
        <w:contextualSpacing/>
        <w:rPr>
          <w:sz w:val="24"/>
          <w:szCs w:val="24"/>
        </w:rPr>
      </w:pPr>
      <w:r w:rsidRPr="000D1B8E">
        <w:rPr>
          <w:sz w:val="24"/>
          <w:szCs w:val="24"/>
        </w:rPr>
        <w:t>Överväg icke farmakologisk behandling (ex. fysisk träning</w:t>
      </w:r>
      <w:r w:rsidRPr="000D1B8E">
        <w:rPr>
          <w:sz w:val="24"/>
          <w:szCs w:val="24"/>
          <w:vertAlign w:val="superscript"/>
        </w:rPr>
        <w:t>5</w:t>
      </w:r>
      <w:r w:rsidRPr="000D1B8E">
        <w:rPr>
          <w:sz w:val="24"/>
          <w:szCs w:val="24"/>
        </w:rPr>
        <w:t>, sjukgymnastik, TENS</w:t>
      </w:r>
      <w:r w:rsidRPr="000D1B8E">
        <w:rPr>
          <w:sz w:val="24"/>
          <w:szCs w:val="24"/>
          <w:vertAlign w:val="superscript"/>
        </w:rPr>
        <w:t>6</w:t>
      </w:r>
      <w:r w:rsidRPr="000D1B8E">
        <w:rPr>
          <w:sz w:val="24"/>
          <w:szCs w:val="24"/>
        </w:rPr>
        <w:t>, akupunktur</w:t>
      </w:r>
      <w:r w:rsidRPr="000D1B8E">
        <w:rPr>
          <w:sz w:val="24"/>
          <w:szCs w:val="24"/>
          <w:vertAlign w:val="superscript"/>
        </w:rPr>
        <w:t>7</w:t>
      </w:r>
      <w:r w:rsidRPr="000D1B8E">
        <w:rPr>
          <w:sz w:val="24"/>
          <w:szCs w:val="24"/>
        </w:rPr>
        <w:t>, ACT</w:t>
      </w:r>
      <w:r w:rsidRPr="000D1B8E">
        <w:rPr>
          <w:sz w:val="24"/>
          <w:szCs w:val="24"/>
          <w:vertAlign w:val="superscript"/>
        </w:rPr>
        <w:t>8</w:t>
      </w:r>
      <w:r w:rsidRPr="000D1B8E">
        <w:rPr>
          <w:sz w:val="24"/>
          <w:szCs w:val="24"/>
        </w:rPr>
        <w:t xml:space="preserve">) </w:t>
      </w:r>
    </w:p>
    <w:p w14:paraId="3AA7875D" w14:textId="77777777" w:rsidR="00702564" w:rsidRPr="000D1B8E" w:rsidRDefault="00702564" w:rsidP="00702564">
      <w:pPr>
        <w:pStyle w:val="Liststycke"/>
        <w:numPr>
          <w:ilvl w:val="0"/>
          <w:numId w:val="29"/>
        </w:numPr>
        <w:tabs>
          <w:tab w:val="clear" w:pos="284"/>
        </w:tabs>
        <w:spacing w:after="160" w:line="259" w:lineRule="auto"/>
        <w:contextualSpacing/>
        <w:rPr>
          <w:sz w:val="24"/>
          <w:szCs w:val="24"/>
        </w:rPr>
      </w:pPr>
      <w:r w:rsidRPr="000D1B8E">
        <w:rPr>
          <w:sz w:val="24"/>
          <w:szCs w:val="24"/>
        </w:rPr>
        <w:t>Sätt upp rimliga behandlingsmål tillsammans med patienten till exempel god nattsömn, dagliga aktiviteter med minskad smärta.</w:t>
      </w:r>
    </w:p>
    <w:p w14:paraId="4800C8A3" w14:textId="77777777" w:rsidR="00702564" w:rsidRPr="000D1B8E" w:rsidRDefault="00702564" w:rsidP="00702564">
      <w:pPr>
        <w:pStyle w:val="Liststycke"/>
        <w:numPr>
          <w:ilvl w:val="0"/>
          <w:numId w:val="29"/>
        </w:numPr>
        <w:tabs>
          <w:tab w:val="clear" w:pos="284"/>
        </w:tabs>
        <w:spacing w:after="160" w:line="259" w:lineRule="auto"/>
        <w:contextualSpacing/>
        <w:rPr>
          <w:sz w:val="24"/>
          <w:szCs w:val="24"/>
        </w:rPr>
      </w:pPr>
      <w:r w:rsidRPr="000D1B8E">
        <w:rPr>
          <w:sz w:val="24"/>
          <w:szCs w:val="24"/>
        </w:rPr>
        <w:t>Utvärdera alltid effekten av behandlingen (livskvalitet, effektduration, biverkningar, VAS/NRS, smärtdagbok)</w:t>
      </w:r>
    </w:p>
    <w:p w14:paraId="611DE47D" w14:textId="77777777" w:rsidR="00702564" w:rsidRDefault="00702564" w:rsidP="00702564">
      <w:pPr>
        <w:pStyle w:val="Liststycke"/>
        <w:numPr>
          <w:ilvl w:val="0"/>
          <w:numId w:val="29"/>
        </w:numPr>
        <w:tabs>
          <w:tab w:val="clear" w:pos="284"/>
        </w:tabs>
        <w:spacing w:after="160" w:line="259" w:lineRule="auto"/>
        <w:contextualSpacing/>
        <w:rPr>
          <w:sz w:val="24"/>
          <w:szCs w:val="24"/>
        </w:rPr>
      </w:pPr>
      <w:r w:rsidRPr="00954CC9">
        <w:rPr>
          <w:sz w:val="24"/>
          <w:szCs w:val="24"/>
        </w:rPr>
        <w:t xml:space="preserve">Ta ställning till hur länge den farmakologiska behandlingen ska pågå (för utsättning se FASUT3). </w:t>
      </w:r>
    </w:p>
    <w:p w14:paraId="147C4249" w14:textId="535BBC78" w:rsidR="00702564" w:rsidRPr="007B6699" w:rsidRDefault="00702564" w:rsidP="007B6699">
      <w:pPr>
        <w:tabs>
          <w:tab w:val="clear" w:pos="284"/>
        </w:tabs>
        <w:spacing w:after="120" w:line="260" w:lineRule="atLeast"/>
        <w:rPr>
          <w:rFonts w:asciiTheme="majorHAnsi" w:hAnsiTheme="majorHAnsi"/>
          <w:b/>
          <w:bCs/>
          <w:sz w:val="28"/>
          <w:szCs w:val="28"/>
        </w:rPr>
      </w:pPr>
      <w:r>
        <w:rPr>
          <w:sz w:val="24"/>
          <w:szCs w:val="24"/>
        </w:rPr>
        <w:br w:type="page"/>
      </w:r>
      <w:r w:rsidRPr="007B6699">
        <w:rPr>
          <w:rFonts w:asciiTheme="majorHAnsi" w:hAnsiTheme="majorHAnsi"/>
          <w:b/>
          <w:bCs/>
          <w:sz w:val="28"/>
          <w:szCs w:val="28"/>
        </w:rPr>
        <w:lastRenderedPageBreak/>
        <w:t>Referenser</w:t>
      </w:r>
    </w:p>
    <w:p w14:paraId="7E07AA48" w14:textId="77777777" w:rsidR="00702564" w:rsidRPr="0071138D" w:rsidRDefault="00702564" w:rsidP="00702564">
      <w:r w:rsidRPr="00D377B6">
        <w:t>1.</w:t>
      </w:r>
      <w:r w:rsidRPr="0071138D">
        <w:rPr>
          <w:rFonts w:cstheme="minorHAnsi"/>
          <w:bCs/>
        </w:rPr>
        <w:tab/>
      </w:r>
      <w:r w:rsidRPr="00D377B6">
        <w:t>Werner M, Leden I. Smärta och smärtbehandling. Liber AB. 2010</w:t>
      </w:r>
    </w:p>
    <w:p w14:paraId="071C7C1A" w14:textId="77777777" w:rsidR="00702564" w:rsidRPr="0071138D" w:rsidRDefault="00702564" w:rsidP="00702564">
      <w:r w:rsidRPr="00D377B6">
        <w:t xml:space="preserve">2. </w:t>
      </w:r>
      <w:r w:rsidRPr="0071138D">
        <w:rPr>
          <w:rFonts w:cstheme="minorHAnsi"/>
          <w:bCs/>
        </w:rPr>
        <w:tab/>
      </w:r>
      <w:r w:rsidRPr="00D377B6">
        <w:t xml:space="preserve">Socialstyrelsen. Vården vid trafikskador med långvariga smärttillstånd. Rapport. 2017. </w:t>
      </w:r>
      <w:hyperlink r:id="rId190" w:history="1">
        <w:r w:rsidRPr="00D90E48">
          <w:rPr>
            <w:rStyle w:val="Hyperlnk"/>
          </w:rPr>
          <w:t>https://www.socialstyrelsen.se/globalassets/sharepoint-dokument/</w:t>
        </w:r>
        <w:r w:rsidRPr="00D90E48">
          <w:rPr>
            <w:rStyle w:val="Hyperlnk"/>
          </w:rPr>
          <w:br/>
          <w:t>artikelkatalog/ovrigt/2017-12-3.pdf</w:t>
        </w:r>
      </w:hyperlink>
    </w:p>
    <w:p w14:paraId="6AD1B34E" w14:textId="77777777" w:rsidR="00702564" w:rsidRPr="0071138D" w:rsidRDefault="00702564" w:rsidP="00702564">
      <w:r w:rsidRPr="00D377B6">
        <w:t xml:space="preserve">3. </w:t>
      </w:r>
      <w:r w:rsidRPr="0071138D">
        <w:rPr>
          <w:rFonts w:cstheme="minorHAnsi"/>
          <w:bCs/>
        </w:rPr>
        <w:tab/>
      </w:r>
      <w:r w:rsidRPr="00D377B6">
        <w:t xml:space="preserve">Statens beredning för medicinsk och social utvärdering. Metoder för behandling av långvarig smärta. 2006. </w:t>
      </w:r>
      <w:hyperlink r:id="rId191" w:history="1">
        <w:r w:rsidRPr="00D377B6">
          <w:rPr>
            <w:rStyle w:val="Hyperlnk"/>
          </w:rPr>
          <w:t>https://www.sbu.se/sv/publikationer/SBU-utvarderar/metoder-for-behandling-av-langvarig-smarta/</w:t>
        </w:r>
      </w:hyperlink>
    </w:p>
    <w:p w14:paraId="09D8AA94" w14:textId="77777777" w:rsidR="00702564" w:rsidRPr="00D377B6" w:rsidRDefault="00702564" w:rsidP="00702564">
      <w:pPr>
        <w:rPr>
          <w:rStyle w:val="Hyperlnk"/>
        </w:rPr>
      </w:pPr>
      <w:r w:rsidRPr="008A792B">
        <w:t xml:space="preserve">4. </w:t>
      </w:r>
      <w:r w:rsidRPr="0071138D">
        <w:rPr>
          <w:rFonts w:cstheme="minorHAnsi"/>
        </w:rPr>
        <w:tab/>
      </w:r>
      <w:r w:rsidRPr="00625AB3">
        <w:t>Läkemedelsbehandling av långvarig smärta hos barn och vuxna – behandlingsrekommendation. Information från Läkemedelsverket 2017;28(3):23–53.</w:t>
      </w:r>
    </w:p>
    <w:p w14:paraId="5814B154" w14:textId="77777777" w:rsidR="00702564" w:rsidRPr="0071138D" w:rsidRDefault="00702564" w:rsidP="00702564">
      <w:pPr>
        <w:rPr>
          <w:rFonts w:cstheme="minorHAnsi"/>
          <w:bCs/>
        </w:rPr>
      </w:pPr>
      <w:hyperlink r:id="rId192" w:history="1">
        <w:r>
          <w:rPr>
            <w:rStyle w:val="Hyperlnk"/>
          </w:rPr>
          <w:t>Läkemedel vid långvarig smärta hos barn och vuxna – behandlings</w:t>
        </w:r>
        <w:r>
          <w:rPr>
            <w:rStyle w:val="Hyperlnk"/>
          </w:rPr>
          <w:softHyphen/>
          <w:t>rekommendation | Läkemedelsverket (lakemedelsverket.se)</w:t>
        </w:r>
      </w:hyperlink>
    </w:p>
    <w:p w14:paraId="2CE3BAE2" w14:textId="77777777" w:rsidR="00702564" w:rsidRPr="00A960DF" w:rsidRDefault="00702564" w:rsidP="00702564">
      <w:r w:rsidRPr="00D377B6">
        <w:t xml:space="preserve">5. </w:t>
      </w:r>
      <w:r w:rsidRPr="0071138D">
        <w:rPr>
          <w:rFonts w:cstheme="minorHAnsi"/>
          <w:bCs/>
        </w:rPr>
        <w:tab/>
      </w:r>
      <w:r w:rsidRPr="00D377B6">
        <w:t xml:space="preserve">Löfgren M, Mannerkorpi K, Bergman S, Knardahl S. Fysisk aktivitet vid långvariga utbredda smärttillstånde. Fysisk aktivitet i Sjukdomsprevention och Sjukdomsbehandling (FYSS). </w:t>
      </w:r>
      <w:r w:rsidRPr="00A960DF">
        <w:t>2015.</w:t>
      </w:r>
    </w:p>
    <w:p w14:paraId="37854200" w14:textId="77777777" w:rsidR="00702564" w:rsidRPr="005A5C6C" w:rsidRDefault="00702564" w:rsidP="00702564">
      <w:r w:rsidRPr="00A960DF">
        <w:t xml:space="preserve">6. </w:t>
      </w:r>
      <w:r w:rsidRPr="00A960DF">
        <w:rPr>
          <w:rFonts w:cstheme="minorHAnsi"/>
          <w:bCs/>
        </w:rPr>
        <w:tab/>
      </w:r>
      <w:r w:rsidRPr="005A5C6C">
        <w:t>Johnson M, Paley C, Howe T, Sluka K. Transcutaneous electrical nerve stimulation for acute pain.</w:t>
      </w:r>
    </w:p>
    <w:p w14:paraId="0E41C1EF" w14:textId="77777777" w:rsidR="00702564" w:rsidRPr="0071138D" w:rsidRDefault="00702564" w:rsidP="00702564">
      <w:r w:rsidRPr="00D377B6">
        <w:t>Cochrane Systematic Review. 2015.</w:t>
      </w:r>
    </w:p>
    <w:p w14:paraId="0BB9AFB1" w14:textId="77777777" w:rsidR="00702564" w:rsidRPr="003B4211" w:rsidRDefault="00702564" w:rsidP="00702564">
      <w:r w:rsidRPr="00D377B6">
        <w:t xml:space="preserve">7. </w:t>
      </w:r>
      <w:r w:rsidRPr="0071138D">
        <w:rPr>
          <w:rFonts w:cstheme="minorHAnsi"/>
          <w:bCs/>
        </w:rPr>
        <w:tab/>
      </w:r>
      <w:r w:rsidRPr="00D377B6">
        <w:t xml:space="preserve">Carlsson C. Akupunktur som behandlingsmetod idag. </w:t>
      </w:r>
      <w:r w:rsidRPr="003B4211">
        <w:t xml:space="preserve">Läkartidningen,2001:46:98:5178-5186. </w:t>
      </w:r>
    </w:p>
    <w:p w14:paraId="3ABD761C" w14:textId="1168DEC6" w:rsidR="007B6699" w:rsidRDefault="00702564" w:rsidP="007B6699">
      <w:r w:rsidRPr="00F45E1B">
        <w:t xml:space="preserve">8. </w:t>
      </w:r>
      <w:r w:rsidRPr="00F45E1B">
        <w:rPr>
          <w:rFonts w:cstheme="minorHAnsi"/>
          <w:bCs/>
        </w:rPr>
        <w:tab/>
      </w:r>
      <w:r w:rsidRPr="00D377B6">
        <w:rPr>
          <w:lang w:val="en-US"/>
        </w:rPr>
        <w:t xml:space="preserve">Vowles KE, Pielech M, Edwards KA, McEntee ML, Bailey RW. A Comparative Meta-Analysis of Unidisc iplinary Psychology and Interdisciplinary Treatment Outcomes Following Acceptance and Commitment Therapy for Adults with Chronic Pain. </w:t>
      </w:r>
      <w:r w:rsidRPr="00D377B6">
        <w:t>J Pain.pii: S1526-5900(19)30841-7. 2019.</w:t>
      </w:r>
    </w:p>
    <w:p w14:paraId="24EC7657" w14:textId="60DA88C2" w:rsidR="00702564" w:rsidRPr="0071138D" w:rsidRDefault="00702564" w:rsidP="00702564">
      <w:pPr>
        <w:pStyle w:val="Rubrik2"/>
      </w:pPr>
      <w:r w:rsidRPr="0071138D">
        <w:t>Akut smärta</w:t>
      </w:r>
    </w:p>
    <w:p w14:paraId="1E84B11D" w14:textId="77777777" w:rsidR="00702564" w:rsidRDefault="00702564" w:rsidP="00702564">
      <w:pPr>
        <w:rPr>
          <w:sz w:val="24"/>
          <w:szCs w:val="24"/>
        </w:rPr>
      </w:pPr>
      <w:r w:rsidRPr="000D1B8E">
        <w:rPr>
          <w:sz w:val="24"/>
          <w:szCs w:val="24"/>
        </w:rPr>
        <w:t xml:space="preserve">Akut smärta har en duration på några dagar upp till ett par veckor och har oftast en tydlig bakomliggande orsak. Genesen kan vara varierande: akut lumbago, fraktur, multitrauma, postoperativt etc. Om akut smärta inte behandlas adekvat riskeras att få komplikationer såsom fördröjd mobilisering (medför i vissa fall risk för pneumoni) och ökad risk för utveckling av långvarig smärta. </w:t>
      </w:r>
      <w:r>
        <w:rPr>
          <w:sz w:val="24"/>
          <w:szCs w:val="24"/>
        </w:rPr>
        <w:br/>
      </w:r>
      <w:r w:rsidRPr="000D1B8E">
        <w:rPr>
          <w:sz w:val="24"/>
          <w:szCs w:val="24"/>
        </w:rPr>
        <w:t xml:space="preserve">Behandlingen riktar sig mot uppkomstmekanismen (se nedan för val av behandling). Vårdas patienten på sjukhus eller har postoperativa smärtor kan även olika blockader övervägas. Förutom läkemedelsbehandling är det viktigt att hjälpa patienten att återfå rörlighet och förflyttningsförmåga. </w:t>
      </w:r>
      <w:r>
        <w:rPr>
          <w:sz w:val="24"/>
          <w:szCs w:val="24"/>
        </w:rPr>
        <w:br/>
      </w:r>
      <w:r w:rsidRPr="000D1B8E">
        <w:rPr>
          <w:sz w:val="24"/>
          <w:szCs w:val="24"/>
        </w:rPr>
        <w:t xml:space="preserve">Då akut smärta vanligen minskar relativt snabbt efter att grundorsaken är behandlad/läkt, är det oftast inte lämpligt med annan läkemedelsform än tabletter eller möjligen injektioner om patienten är inneliggande. Det är vidare viktigt att inte missa akuta försämringar hos patienter med kända kroniska långvariga smärttillstånd, känna igen och analysera dessa samt sätta in lämplig behandling under en </w:t>
      </w:r>
      <w:r w:rsidRPr="000D1B8E">
        <w:rPr>
          <w:sz w:val="24"/>
          <w:szCs w:val="24"/>
          <w:u w:val="single"/>
        </w:rPr>
        <w:t>begränsad</w:t>
      </w:r>
      <w:r w:rsidRPr="000D1B8E">
        <w:rPr>
          <w:sz w:val="24"/>
          <w:szCs w:val="24"/>
        </w:rPr>
        <w:t xml:space="preserve"> tidsperiod. </w:t>
      </w:r>
      <w:r w:rsidRPr="00A56815">
        <w:t xml:space="preserve"> </w:t>
      </w:r>
      <w:r w:rsidRPr="00FE06A2">
        <w:rPr>
          <w:sz w:val="24"/>
          <w:szCs w:val="24"/>
        </w:rPr>
        <w:t>Vid svårare akut smärta som kräver opioidbehandling bör den lägsta effektiva dosen användas och antalet tabletter som skrivs ut ska inte vara fler än att de räcker under den akuta behandlingstiden. I de flesta fall brukar det vara omkring 3–5 dagar. Vid större kirurgi kan det i vissa fall behövas några fler dagars behandling. Det är viktigt att göra en noggrann värdering av behovet och val av smärtlindring inför eventuell iterering av recept.</w:t>
      </w:r>
    </w:p>
    <w:p w14:paraId="638B6047" w14:textId="77777777" w:rsidR="00702564" w:rsidRDefault="00702564" w:rsidP="00702564">
      <w:pPr>
        <w:tabs>
          <w:tab w:val="clear" w:pos="284"/>
        </w:tabs>
        <w:spacing w:after="120" w:line="260" w:lineRule="atLeast"/>
        <w:rPr>
          <w:sz w:val="24"/>
          <w:szCs w:val="24"/>
        </w:rPr>
      </w:pPr>
      <w:r>
        <w:rPr>
          <w:sz w:val="24"/>
          <w:szCs w:val="24"/>
        </w:rPr>
        <w:br w:type="page"/>
      </w:r>
    </w:p>
    <w:p w14:paraId="74F96D37" w14:textId="77777777" w:rsidR="00702564" w:rsidRPr="00202726" w:rsidRDefault="00702564" w:rsidP="00702564">
      <w:pPr>
        <w:pStyle w:val="Rubrik2"/>
      </w:pPr>
      <w:r w:rsidRPr="00202726">
        <w:lastRenderedPageBreak/>
        <w:t>Långvarig smärta</w:t>
      </w:r>
    </w:p>
    <w:p w14:paraId="1FDFC6A0" w14:textId="77777777" w:rsidR="00702564" w:rsidRPr="000D1B8E" w:rsidRDefault="00702564" w:rsidP="00702564">
      <w:pPr>
        <w:rPr>
          <w:sz w:val="24"/>
          <w:szCs w:val="24"/>
        </w:rPr>
      </w:pPr>
      <w:r w:rsidRPr="000D1B8E">
        <w:rPr>
          <w:sz w:val="24"/>
          <w:szCs w:val="24"/>
        </w:rPr>
        <w:t>Långvarig smärta avser ett tillstånd som kvarstår efter en tidsperiod, vanligtvis 3 månader, eller efter ett normalt läkningsförlopp. Till skillnad från den akuta smärtan har den långvariga smärtan vanligen inget värde som varningssignal för pågående vävnadsskada och är därför ofta att betrakta som en sjukdom i sig snarare än ett symptom på att något annat är fel. En möjlig uppkomstmekanism är att ett kraftigt och upprepat nociceptivt inflöde kan ge permanent påverkan på ryggmärgens nociceptiva funktioner. Detta leder till en långvarig sensitisering i det nociceptiva systemet som kvarstår efter det att det nociceptiva infödet har slutat och skadan läkt.</w:t>
      </w:r>
    </w:p>
    <w:p w14:paraId="66D3B47A" w14:textId="77777777" w:rsidR="00702564" w:rsidRPr="0071138D" w:rsidRDefault="00702564" w:rsidP="00702564">
      <w:r w:rsidRPr="000D1B8E">
        <w:rPr>
          <w:sz w:val="24"/>
          <w:szCs w:val="24"/>
        </w:rPr>
        <w:t xml:space="preserve">För patienter med långvarig smärta är ett multimodalt omhändertagande och ett biopsykosocialt synsätt det viktigaste. Målet är att med hjälp av strukturerade psykologiska och fysioterapeutiska metoder stärka patientens friska sidor, uppmuntra fysisk och ändamålsenlig aktivitet, stödja normala sysslor och tona ner den livsstörning som den långvariga smärtan medför. Läkemedelsbehandling är inte en självklar del i behandlingen av långvarig smärta. När läkemedel används ska det ses som en del i det multimodala omhändertagandet och ska i möjligaste mån väljas utifrån smärtmekanism och smärtgenererande strukturer. Insatt läkemedelsbehandling av långvarig smärta ska alltid noggrant utvärderas. </w:t>
      </w:r>
      <w:r>
        <w:rPr>
          <w:sz w:val="24"/>
          <w:szCs w:val="24"/>
        </w:rPr>
        <w:br/>
      </w:r>
      <w:r w:rsidRPr="000D1B8E">
        <w:rPr>
          <w:sz w:val="24"/>
          <w:szCs w:val="24"/>
        </w:rPr>
        <w:t xml:space="preserve">Vid utebliven eller otillräcklig effekt på smärtlindring, funktion och livskvalitet ska behandlingen omprövas. (Läkemedelsverket. Läkemedelsbehandling av långvarig smärta. </w:t>
      </w:r>
      <w:r>
        <w:rPr>
          <w:sz w:val="24"/>
          <w:szCs w:val="24"/>
        </w:rPr>
        <w:br/>
      </w:r>
      <w:r w:rsidRPr="00FE06A2">
        <w:rPr>
          <w:sz w:val="24"/>
          <w:szCs w:val="24"/>
        </w:rPr>
        <w:t>Behandlingsrekommendation. 2017; Nationellt kliniskt kunskapsstöd (2019). Smärta, långvarig. Vårdriktlinje. 2023-09-19)</w:t>
      </w:r>
      <w:r w:rsidRPr="000D1B8E">
        <w:rPr>
          <w:b/>
          <w:sz w:val="24"/>
          <w:szCs w:val="24"/>
        </w:rPr>
        <w:t xml:space="preserve"> </w:t>
      </w:r>
    </w:p>
    <w:p w14:paraId="62BF89AE" w14:textId="77777777" w:rsidR="00702564" w:rsidRPr="0071138D" w:rsidRDefault="00702564" w:rsidP="00702564">
      <w:pPr>
        <w:pStyle w:val="Rubrik2"/>
      </w:pPr>
      <w:r w:rsidRPr="0071138D">
        <w:t>Läkemedel vid nociceptiv smärta</w:t>
      </w:r>
    </w:p>
    <w:p w14:paraId="6911BE7C" w14:textId="77777777" w:rsidR="00702564" w:rsidRPr="0071138D" w:rsidRDefault="00702564" w:rsidP="00702564">
      <w:pPr>
        <w:pStyle w:val="Rubrik3"/>
      </w:pPr>
      <w:r w:rsidRPr="0071138D">
        <w:t>Paracetamol</w:t>
      </w:r>
    </w:p>
    <w:p w14:paraId="68C598ED" w14:textId="6D16ED51" w:rsidR="00702564" w:rsidRDefault="00702564" w:rsidP="00702564">
      <w:pPr>
        <w:rPr>
          <w:rFonts w:cstheme="minorHAnsi"/>
        </w:rPr>
      </w:pPr>
      <w:r w:rsidRPr="000D1B8E">
        <w:rPr>
          <w:sz w:val="24"/>
          <w:szCs w:val="24"/>
        </w:rPr>
        <w:t>Paracetamol är förstahandsvalet vid akut och kronisk benign smärta t.ex. artros och smärta från rörelseorganen. Interaktion med warfarin bör beaktas. Vid in- och utsättning av paracetamol, vid doser högre än 1,5 gram dagligen i mer än 3 dagar till warfarinbehandlad patient bör extra kontroll av INR-värdet göras</w:t>
      </w:r>
      <w:r w:rsidRPr="009F576A">
        <w:rPr>
          <w:sz w:val="24"/>
          <w:szCs w:val="24"/>
          <w:vertAlign w:val="superscript"/>
        </w:rPr>
        <w:t>1, 2</w:t>
      </w:r>
      <w:r>
        <w:rPr>
          <w:sz w:val="24"/>
          <w:szCs w:val="24"/>
        </w:rPr>
        <w:t>.</w:t>
      </w:r>
      <w:r w:rsidRPr="000D1B8E">
        <w:rPr>
          <w:sz w:val="24"/>
          <w:szCs w:val="24"/>
        </w:rPr>
        <w:t xml:space="preserve"> </w:t>
      </w:r>
    </w:p>
    <w:p w14:paraId="7F889BED" w14:textId="77777777" w:rsidR="00702564" w:rsidRPr="0071138D" w:rsidRDefault="00702564" w:rsidP="00702564">
      <w:pPr>
        <w:rPr>
          <w:rFonts w:cstheme="minorHAnsi"/>
        </w:rPr>
      </w:pPr>
    </w:p>
    <w:p w14:paraId="36D2DF84" w14:textId="77777777" w:rsidR="00702564" w:rsidRPr="00155060" w:rsidRDefault="00702564" w:rsidP="00702564">
      <w:pPr>
        <w:rPr>
          <w:sz w:val="24"/>
          <w:szCs w:val="24"/>
        </w:rPr>
      </w:pPr>
      <w:r w:rsidRPr="009E1865">
        <w:rPr>
          <w:rStyle w:val="Rubrik3Char"/>
        </w:rPr>
        <w:t>Till äldre (≥75år):</w:t>
      </w:r>
      <w:r w:rsidRPr="009E1865">
        <w:rPr>
          <w:rStyle w:val="Rubrik3Char"/>
        </w:rPr>
        <w:br/>
      </w:r>
      <w:r w:rsidRPr="000D1B8E">
        <w:rPr>
          <w:sz w:val="24"/>
          <w:szCs w:val="24"/>
        </w:rPr>
        <w:t>Till den äldre patienten är 3 gram/dygn oftast tillräckligt. In</w:t>
      </w:r>
      <w:r>
        <w:rPr>
          <w:sz w:val="24"/>
          <w:szCs w:val="24"/>
        </w:rPr>
        <w:t>di</w:t>
      </w:r>
      <w:r w:rsidRPr="000D1B8E">
        <w:rPr>
          <w:sz w:val="24"/>
          <w:szCs w:val="24"/>
        </w:rPr>
        <w:t xml:space="preserve">viduell bedömning om dosökning </w:t>
      </w:r>
      <w:r>
        <w:rPr>
          <w:sz w:val="24"/>
          <w:szCs w:val="24"/>
        </w:rPr>
        <w:br/>
      </w:r>
      <w:r w:rsidRPr="000D1B8E">
        <w:rPr>
          <w:sz w:val="24"/>
          <w:szCs w:val="24"/>
        </w:rPr>
        <w:t xml:space="preserve">till 4 gram /dygn är lämpligt vid otillräcklig effekt (Indikatorer för god läkemedelsterapi hos äldre, 2017). </w:t>
      </w:r>
    </w:p>
    <w:p w14:paraId="52D58DB7" w14:textId="77777777" w:rsidR="00702564" w:rsidRPr="0071138D" w:rsidRDefault="00702564" w:rsidP="00702564">
      <w:pPr>
        <w:pStyle w:val="Rubrik3"/>
      </w:pPr>
      <w:r w:rsidRPr="0071138D">
        <w:t>COX-hämmare/NSAID</w:t>
      </w:r>
    </w:p>
    <w:p w14:paraId="65AA7940" w14:textId="77777777" w:rsidR="00702564" w:rsidRDefault="00702564" w:rsidP="00702564">
      <w:pPr>
        <w:spacing w:after="120"/>
        <w:rPr>
          <w:sz w:val="24"/>
          <w:szCs w:val="24"/>
        </w:rPr>
      </w:pPr>
      <w:r w:rsidRPr="000D1B8E">
        <w:rPr>
          <w:sz w:val="24"/>
          <w:szCs w:val="24"/>
        </w:rPr>
        <w:t xml:space="preserve">COX-hämmare verkar genom att hämma enzymen COX-1 och -2 vilka omvandlar fettsyror till prostaglandiner och tromboxaner. Dessa båda är inblandade i bland annat inflammations- och koagulationsprocesser. COX-2 selektiva hämmare kallas för coxiber. COX-hämmare har god effekt på smärta och inflammation. Det kan föreligga individuella skillnader i effekt och det kan löna sig att byta typ av COX-hämmare om en sort ej fungerar tillfredsställande. COX-hämmare kan användas för kortare behandling när inte paracetamol räcker till och är framför allt lämpligt val när inflammation misstänks. </w:t>
      </w:r>
    </w:p>
    <w:p w14:paraId="3C988D1D" w14:textId="7F371A28" w:rsidR="00702564" w:rsidRPr="007B6699" w:rsidRDefault="00702564" w:rsidP="007B6699">
      <w:pPr>
        <w:tabs>
          <w:tab w:val="clear" w:pos="284"/>
        </w:tabs>
        <w:spacing w:after="120" w:line="260" w:lineRule="atLeast"/>
        <w:rPr>
          <w:rFonts w:asciiTheme="majorHAnsi" w:hAnsiTheme="majorHAnsi"/>
          <w:b/>
          <w:bCs/>
          <w:sz w:val="24"/>
          <w:szCs w:val="24"/>
        </w:rPr>
      </w:pPr>
      <w:r>
        <w:rPr>
          <w:sz w:val="24"/>
          <w:szCs w:val="24"/>
        </w:rPr>
        <w:br w:type="page"/>
      </w:r>
      <w:r w:rsidRPr="007B6699">
        <w:rPr>
          <w:rFonts w:asciiTheme="majorHAnsi" w:hAnsiTheme="majorHAnsi"/>
          <w:b/>
          <w:bCs/>
          <w:sz w:val="24"/>
          <w:szCs w:val="24"/>
        </w:rPr>
        <w:lastRenderedPageBreak/>
        <w:t>Biverkningar och interaktioner</w:t>
      </w:r>
    </w:p>
    <w:p w14:paraId="2CF54ABE" w14:textId="3BAD4D27" w:rsidR="00702564" w:rsidRPr="000D1B8E" w:rsidRDefault="00702564" w:rsidP="00702564">
      <w:pPr>
        <w:spacing w:after="120"/>
        <w:rPr>
          <w:sz w:val="24"/>
          <w:szCs w:val="24"/>
        </w:rPr>
      </w:pPr>
      <w:r w:rsidRPr="00FE06A2">
        <w:rPr>
          <w:sz w:val="24"/>
          <w:szCs w:val="24"/>
        </w:rPr>
        <w:t>Då alla COX-hämmare inhiberar prostaglandinsyntesen mer eller mindre har de också potentiellt samma biverkningar</w:t>
      </w:r>
      <w:r w:rsidRPr="00FE06A2">
        <w:rPr>
          <w:sz w:val="24"/>
          <w:szCs w:val="24"/>
          <w:vertAlign w:val="superscript"/>
        </w:rPr>
        <w:t>3</w:t>
      </w:r>
      <w:r w:rsidRPr="00FE06A2">
        <w:rPr>
          <w:sz w:val="24"/>
          <w:szCs w:val="24"/>
        </w:rPr>
        <w:t>. De viktigaste biverkningarna är gastrointestinala sår och blödningar, centralnervös påverkan (huvudvärk, yrsel, konfusion), vätskeretention, förvärring av hjärtsvikt samt njursvikt. Risken för biverkningar ökar vid kontinuerlig behandling, vid behandling med mer långverkande preparat samt vid höga doser</w:t>
      </w:r>
      <w:r w:rsidRPr="00FE06A2">
        <w:rPr>
          <w:sz w:val="24"/>
          <w:szCs w:val="24"/>
          <w:vertAlign w:val="superscript"/>
        </w:rPr>
        <w:t>4</w:t>
      </w:r>
      <w:r w:rsidRPr="00FE06A2">
        <w:rPr>
          <w:sz w:val="24"/>
          <w:szCs w:val="24"/>
        </w:rPr>
        <w:t>. Vid anamnes på ulcussjukdom: permanent kontraindikation för COX-1-hämmare. Vid riskfaktorer för ulcus (se även kapitel Mage-tarm) skall samtidig profylax med omeprazol ges. Andra viktiga riskfaktorer för ulcus är hög ålder, infektion med H. pylori, allvarlig sjukdom (t ex hjärt- och kärlsjukdom, KOL eller cancer) och samtidig behandling med kortikosteroider, antikoagulantia, SSRI eller ASA, vilka alla ökar risken för blödning</w:t>
      </w:r>
      <w:r w:rsidRPr="00FE06A2">
        <w:rPr>
          <w:sz w:val="24"/>
          <w:szCs w:val="24"/>
          <w:vertAlign w:val="superscript"/>
        </w:rPr>
        <w:t>5</w:t>
      </w:r>
      <w:r w:rsidRPr="00FE06A2">
        <w:rPr>
          <w:sz w:val="24"/>
          <w:szCs w:val="24"/>
        </w:rPr>
        <w:t xml:space="preserve">. </w:t>
      </w:r>
      <w:r>
        <w:rPr>
          <w:sz w:val="24"/>
          <w:szCs w:val="24"/>
        </w:rPr>
        <w:br/>
      </w:r>
      <w:r w:rsidRPr="00FE06A2">
        <w:rPr>
          <w:sz w:val="24"/>
          <w:szCs w:val="24"/>
        </w:rPr>
        <w:t>Oselektiva COX-hämmare är kontraindicerade till patienter som behandlas med warfarin på grund av risk för blödning. Coxiber har lägre risk för allvarliga magbiverkningar (ulcus, blödning, perforation) jämfört med de icke selektiva COX-hämmarna. Det finns ingen säker skillnad avseende de mer ”godartade” dyspeptiska besvären. Hjärt- och kärlsjukdom medför kontraindikation mot coxiber och även mot diklofenak</w:t>
      </w:r>
      <w:r w:rsidRPr="00FE06A2">
        <w:rPr>
          <w:sz w:val="24"/>
          <w:szCs w:val="24"/>
          <w:vertAlign w:val="superscript"/>
        </w:rPr>
        <w:t>6, 7, 8</w:t>
      </w:r>
      <w:r w:rsidRPr="00FE06A2">
        <w:rPr>
          <w:sz w:val="24"/>
          <w:szCs w:val="24"/>
        </w:rPr>
        <w:t xml:space="preserve">. De resterande oselektiva COX-hämmarna har olika riskprofil för kardiovaskulära biverkningar och man bör vara försiktig med att ordinera även dessa till patienter med hjärt- och kärlsjukdom. Naproxen verkar ha den lägsta kardiovaskulära riskprofilen.  </w:t>
      </w:r>
      <w:r>
        <w:rPr>
          <w:sz w:val="24"/>
          <w:szCs w:val="24"/>
        </w:rPr>
        <w:br/>
      </w:r>
      <w:r w:rsidRPr="00FE06A2">
        <w:rPr>
          <w:sz w:val="24"/>
          <w:szCs w:val="24"/>
        </w:rPr>
        <w:t>Till patienter med hjärtsvikt ska man undvika alla slags COX-hämmare på grund av risken för försämring, framför allt om det förekommer samtidig användning av ACE-hämmare. COX-hämmare kan genom interaktion minska effekten av både diuretika och ACE-hämmare. Kombinationen NSAID och ACE-hämmare kan också påverka njurfunktionen negativt, vilket måste beaktas. COX-hämmare skall ej ges till patienter med ASA-överkänslighet.</w:t>
      </w:r>
      <w:r w:rsidRPr="000D1B8E">
        <w:rPr>
          <w:sz w:val="24"/>
          <w:szCs w:val="24"/>
        </w:rPr>
        <w:t xml:space="preserve"> </w:t>
      </w:r>
      <w:r w:rsidR="00067550">
        <w:rPr>
          <w:sz w:val="24"/>
          <w:szCs w:val="24"/>
        </w:rPr>
        <w:br/>
      </w:r>
      <w:r w:rsidRPr="00FF2C9D">
        <w:rPr>
          <w:bCs/>
          <w:sz w:val="24"/>
          <w:szCs w:val="24"/>
        </w:rPr>
        <w:t>Ibuprofen</w:t>
      </w:r>
      <w:r w:rsidRPr="000D1B8E">
        <w:rPr>
          <w:sz w:val="24"/>
          <w:szCs w:val="24"/>
        </w:rPr>
        <w:t xml:space="preserve"> är en oselektiv COX-hämmare med kort duration och snabbt insättande effekt.</w:t>
      </w:r>
      <w:r w:rsidR="00067550">
        <w:rPr>
          <w:sz w:val="24"/>
          <w:szCs w:val="24"/>
        </w:rPr>
        <w:t xml:space="preserve"> </w:t>
      </w:r>
      <w:r w:rsidR="00067550">
        <w:rPr>
          <w:sz w:val="24"/>
          <w:szCs w:val="24"/>
        </w:rPr>
        <w:br/>
      </w:r>
      <w:r w:rsidRPr="00FF2C9D">
        <w:rPr>
          <w:bCs/>
          <w:sz w:val="24"/>
          <w:szCs w:val="24"/>
        </w:rPr>
        <w:t>Naproxen</w:t>
      </w:r>
      <w:r w:rsidRPr="000D1B8E">
        <w:rPr>
          <w:sz w:val="24"/>
          <w:szCs w:val="24"/>
        </w:rPr>
        <w:t xml:space="preserve"> har bred dokumentation över såväl effekt som biverkningar. Av de oselektiva COX-hämmarna verkar naproxen ha den bästa kardiovaskulära riskprofilen. </w:t>
      </w:r>
      <w:r w:rsidR="00067550">
        <w:rPr>
          <w:sz w:val="24"/>
          <w:szCs w:val="24"/>
        </w:rPr>
        <w:br/>
      </w:r>
      <w:r w:rsidRPr="00FF2C9D">
        <w:rPr>
          <w:bCs/>
          <w:sz w:val="24"/>
          <w:szCs w:val="24"/>
        </w:rPr>
        <w:t>Etoricoxib</w:t>
      </w:r>
      <w:r w:rsidRPr="000D1B8E">
        <w:rPr>
          <w:sz w:val="24"/>
          <w:szCs w:val="24"/>
        </w:rPr>
        <w:t xml:space="preserve"> och </w:t>
      </w:r>
      <w:r w:rsidRPr="00FF2C9D">
        <w:rPr>
          <w:bCs/>
          <w:sz w:val="24"/>
          <w:szCs w:val="24"/>
        </w:rPr>
        <w:t>celecoxib</w:t>
      </w:r>
      <w:r w:rsidRPr="000D1B8E">
        <w:rPr>
          <w:sz w:val="24"/>
          <w:szCs w:val="24"/>
        </w:rPr>
        <w:t xml:space="preserve"> är båda coxiber. De ingår i läkemedelsförmånen med begränsning. </w:t>
      </w:r>
      <w:r>
        <w:rPr>
          <w:sz w:val="24"/>
          <w:szCs w:val="24"/>
        </w:rPr>
        <w:br/>
      </w:r>
      <w:r w:rsidRPr="000D1B8E">
        <w:rPr>
          <w:sz w:val="24"/>
          <w:szCs w:val="24"/>
        </w:rPr>
        <w:t xml:space="preserve">De är subventionerade till patienter med hög risk för gastrointestinal blödning exempelvis på grund av hög ålder eller tidigare blödning. </w:t>
      </w:r>
    </w:p>
    <w:p w14:paraId="5941365C" w14:textId="73D883CE" w:rsidR="00702564" w:rsidRDefault="00702564" w:rsidP="00702564">
      <w:pPr>
        <w:rPr>
          <w:sz w:val="24"/>
          <w:szCs w:val="24"/>
        </w:rPr>
      </w:pPr>
      <w:r w:rsidRPr="00FF2C9D">
        <w:rPr>
          <w:bCs/>
          <w:sz w:val="24"/>
          <w:szCs w:val="24"/>
        </w:rPr>
        <w:t>Utvärtes medel:</w:t>
      </w:r>
      <w:r w:rsidRPr="000D1B8E">
        <w:rPr>
          <w:sz w:val="24"/>
          <w:szCs w:val="24"/>
        </w:rPr>
        <w:t xml:space="preserve"> Detta kan ibland vara ett alternativ men man måste tänka på att en liten del av medlen tas upp systemiskt och kan orsaka biverkningar. Geler med ketoprofen är receptbelagda på grund av risk för fotosensibilitetsreaktioner. Alla geler och sprayer är borttagna från</w:t>
      </w:r>
      <w:r w:rsidR="00067550">
        <w:rPr>
          <w:sz w:val="24"/>
          <w:szCs w:val="24"/>
        </w:rPr>
        <w:t xml:space="preserve"> </w:t>
      </w:r>
      <w:r w:rsidRPr="000D1B8E">
        <w:rPr>
          <w:sz w:val="24"/>
          <w:szCs w:val="24"/>
        </w:rPr>
        <w:t xml:space="preserve">läkemedelsförmånen. </w:t>
      </w:r>
      <w:r>
        <w:rPr>
          <w:sz w:val="24"/>
          <w:szCs w:val="24"/>
        </w:rPr>
        <w:br/>
      </w:r>
      <w:r w:rsidRPr="000D1B8E">
        <w:rPr>
          <w:sz w:val="24"/>
          <w:szCs w:val="24"/>
        </w:rPr>
        <w:t>Risken för hudbiverkningar vid värme och solstrålning av behandlat hudområde ska beaktas.</w:t>
      </w:r>
    </w:p>
    <w:p w14:paraId="35CF515F" w14:textId="77777777" w:rsidR="00702564" w:rsidRPr="000D1B8E" w:rsidRDefault="00702564" w:rsidP="00702564">
      <w:pPr>
        <w:pStyle w:val="Rubrik3"/>
      </w:pPr>
      <w:r w:rsidRPr="000D1B8E">
        <w:t>Till äldre (≥75år):</w:t>
      </w:r>
    </w:p>
    <w:p w14:paraId="6D717D34" w14:textId="77777777" w:rsidR="00702564" w:rsidRPr="000D1B8E" w:rsidRDefault="00702564" w:rsidP="00702564">
      <w:pPr>
        <w:rPr>
          <w:sz w:val="24"/>
          <w:szCs w:val="24"/>
        </w:rPr>
      </w:pPr>
      <w:r w:rsidRPr="000D1B8E">
        <w:rPr>
          <w:sz w:val="24"/>
          <w:szCs w:val="24"/>
        </w:rPr>
        <w:t>Tänk på att till äldre bör man helst inte ge högre doser än halva maxdosen och man bör beakta biverkningsrisken (se ovan). Hög ålder är riskfaktor för ulcus vid behandling med NSAID</w:t>
      </w:r>
      <w:r w:rsidRPr="0095242E">
        <w:rPr>
          <w:sz w:val="24"/>
          <w:szCs w:val="24"/>
        </w:rPr>
        <w:t>.</w:t>
      </w:r>
      <w:r w:rsidRPr="0095242E">
        <w:rPr>
          <w:sz w:val="24"/>
          <w:szCs w:val="24"/>
          <w:vertAlign w:val="superscript"/>
        </w:rPr>
        <w:t>8</w:t>
      </w:r>
      <w:r w:rsidRPr="000D1B8E">
        <w:rPr>
          <w:sz w:val="24"/>
          <w:szCs w:val="24"/>
        </w:rPr>
        <w:t xml:space="preserve"> </w:t>
      </w:r>
    </w:p>
    <w:p w14:paraId="35DD2FF9" w14:textId="77777777" w:rsidR="00702564" w:rsidRDefault="00702564" w:rsidP="00702564"/>
    <w:p w14:paraId="01863582" w14:textId="77777777" w:rsidR="00702564" w:rsidRPr="008A792B" w:rsidRDefault="00702564" w:rsidP="00702564">
      <w:pPr>
        <w:pBdr>
          <w:top w:val="single" w:sz="4" w:space="1" w:color="auto"/>
          <w:left w:val="single" w:sz="4" w:space="4" w:color="auto"/>
          <w:bottom w:val="single" w:sz="4" w:space="1" w:color="auto"/>
          <w:right w:val="single" w:sz="4" w:space="4" w:color="auto"/>
        </w:pBdr>
        <w:rPr>
          <w:b/>
          <w:bCs/>
        </w:rPr>
      </w:pPr>
      <w:hyperlink r:id="rId193" w:history="1">
        <w:r w:rsidRPr="008A792B">
          <w:rPr>
            <w:rStyle w:val="Hyperlnk"/>
            <w:b/>
            <w:bCs/>
          </w:rPr>
          <w:t>Läkemedelskommitténs mål</w:t>
        </w:r>
      </w:hyperlink>
    </w:p>
    <w:p w14:paraId="14BF6BBC" w14:textId="77777777" w:rsidR="00702564" w:rsidRDefault="00702564" w:rsidP="00702564">
      <w:pPr>
        <w:pBdr>
          <w:top w:val="single" w:sz="4" w:space="1" w:color="auto"/>
          <w:left w:val="single" w:sz="4" w:space="4" w:color="auto"/>
          <w:bottom w:val="single" w:sz="4" w:space="1" w:color="auto"/>
          <w:right w:val="single" w:sz="4" w:space="4" w:color="auto"/>
        </w:pBdr>
      </w:pPr>
      <w:r w:rsidRPr="00D377B6">
        <w:t>Minskad förskrivning av diklofenak.</w:t>
      </w:r>
    </w:p>
    <w:p w14:paraId="7C53447F" w14:textId="3F66AEB1" w:rsidR="00702564" w:rsidRPr="007B6699" w:rsidRDefault="00702564" w:rsidP="007B6699">
      <w:pPr>
        <w:tabs>
          <w:tab w:val="clear" w:pos="284"/>
        </w:tabs>
        <w:spacing w:after="120" w:line="260" w:lineRule="atLeast"/>
        <w:rPr>
          <w:rFonts w:asciiTheme="majorHAnsi" w:eastAsiaTheme="majorEastAsia" w:hAnsiTheme="majorHAnsi"/>
          <w:b/>
          <w:bCs/>
          <w:sz w:val="28"/>
          <w:szCs w:val="28"/>
        </w:rPr>
      </w:pPr>
      <w:r>
        <w:br w:type="page"/>
      </w:r>
      <w:r w:rsidRPr="007B6699">
        <w:rPr>
          <w:b/>
          <w:bCs/>
          <w:sz w:val="28"/>
          <w:szCs w:val="28"/>
        </w:rPr>
        <w:lastRenderedPageBreak/>
        <w:t>Referenser</w:t>
      </w:r>
    </w:p>
    <w:p w14:paraId="2177AB85" w14:textId="77777777" w:rsidR="00702564" w:rsidRPr="00FE06A2" w:rsidRDefault="00702564" w:rsidP="00702564">
      <w:pPr>
        <w:pStyle w:val="Liststycke"/>
        <w:numPr>
          <w:ilvl w:val="0"/>
          <w:numId w:val="30"/>
        </w:numPr>
        <w:rPr>
          <w:sz w:val="18"/>
          <w:szCs w:val="18"/>
        </w:rPr>
      </w:pPr>
      <w:r w:rsidRPr="00FE06A2">
        <w:rPr>
          <w:sz w:val="24"/>
          <w:szCs w:val="24"/>
        </w:rPr>
        <w:t>www.Janusmed.se/interaktioner, sökord paracetamol och warfarin, 2023-11-23.</w:t>
      </w:r>
    </w:p>
    <w:p w14:paraId="06FBD46D" w14:textId="77777777" w:rsidR="00702564" w:rsidRPr="00FE06A2" w:rsidRDefault="00702564" w:rsidP="00702564">
      <w:pPr>
        <w:pStyle w:val="Liststycke"/>
        <w:numPr>
          <w:ilvl w:val="0"/>
          <w:numId w:val="30"/>
        </w:numPr>
        <w:contextualSpacing/>
        <w:rPr>
          <w:lang w:val="en-US"/>
        </w:rPr>
      </w:pPr>
      <w:r w:rsidRPr="00FE06A2">
        <w:rPr>
          <w:lang w:val="en-US"/>
        </w:rPr>
        <w:t>Zhang, Bal-dit-Sollier, Drouet, Simoneau, Alvarez, Pruvot, Aubourg, Berge, Bergmann, Mouly, Mahé. Interaction between acetaminophen and warfarin in adults receiving long-term oral anticoagulants: a randomized controlled trial. Randomized Controlled Trial Eur J Clin Pharmacol. 2011 Mar;67(3):309-14.</w:t>
      </w:r>
    </w:p>
    <w:p w14:paraId="06111B8A" w14:textId="77777777" w:rsidR="00702564" w:rsidRPr="00FE06A2" w:rsidRDefault="00702564" w:rsidP="00702564">
      <w:pPr>
        <w:pStyle w:val="Liststycke"/>
        <w:numPr>
          <w:ilvl w:val="0"/>
          <w:numId w:val="30"/>
        </w:numPr>
        <w:contextualSpacing/>
        <w:rPr>
          <w:lang w:val="en-US"/>
        </w:rPr>
      </w:pPr>
      <w:r w:rsidRPr="00FE06A2">
        <w:rPr>
          <w:lang w:val="en-US"/>
        </w:rPr>
        <w:t>Brune K, Patrignani P. “New insights into the use of currently available non-steroidal anti-inflammatory drugs”. J Pain Res. 2015 Feb 20;8:105-18</w:t>
      </w:r>
    </w:p>
    <w:p w14:paraId="595A2A9D" w14:textId="77777777" w:rsidR="00702564" w:rsidRPr="00FE06A2" w:rsidRDefault="00702564" w:rsidP="00702564">
      <w:pPr>
        <w:pStyle w:val="Liststycke"/>
        <w:numPr>
          <w:ilvl w:val="0"/>
          <w:numId w:val="30"/>
        </w:numPr>
        <w:contextualSpacing/>
        <w:rPr>
          <w:lang w:val="en-US"/>
        </w:rPr>
      </w:pPr>
      <w:r w:rsidRPr="00FE06A2">
        <w:rPr>
          <w:lang w:val="en-US"/>
        </w:rPr>
        <w:t>Bruno A1, Tacconelli S, Patrignani P.” Variability in the response to non-steroidal anti-inflammatory drugs: mechanisms and perspectives”.  Basic Clin Pharmacol Toxicol. 2014 Jan;114(1):56-63.</w:t>
      </w:r>
    </w:p>
    <w:p w14:paraId="7321ACB0" w14:textId="77777777" w:rsidR="00702564" w:rsidRPr="00FE06A2" w:rsidRDefault="00702564" w:rsidP="00702564">
      <w:pPr>
        <w:pStyle w:val="Liststycke"/>
        <w:numPr>
          <w:ilvl w:val="0"/>
          <w:numId w:val="30"/>
        </w:numPr>
        <w:contextualSpacing/>
        <w:rPr>
          <w:lang w:val="en-US"/>
        </w:rPr>
      </w:pPr>
      <w:r w:rsidRPr="00FE06A2">
        <w:rPr>
          <w:lang w:val="en-US"/>
        </w:rPr>
        <w:t>Anglin R, Yuan Y et al. “Risk of upper gastrointestinal bleeding with selective serotonin reuptake inhibitors with or without concurrent nonsteroidal anti-inflammatory use: a systematic review and meta-analysis.” Am J Gastroenterol. 2014 Jun;109(6):811-9.</w:t>
      </w:r>
    </w:p>
    <w:p w14:paraId="6DEACC1A" w14:textId="77777777" w:rsidR="00702564" w:rsidRPr="00FE06A2" w:rsidRDefault="00702564" w:rsidP="00702564">
      <w:pPr>
        <w:pStyle w:val="Liststycke"/>
        <w:numPr>
          <w:ilvl w:val="0"/>
          <w:numId w:val="30"/>
        </w:numPr>
        <w:contextualSpacing/>
        <w:rPr>
          <w:lang w:val="en-GB"/>
        </w:rPr>
      </w:pPr>
      <w:r w:rsidRPr="00FE06A2">
        <w:rPr>
          <w:lang w:val="en-US"/>
        </w:rPr>
        <w:t>Coxib and traditional NSAID Trialists' (CNT) Collaboration, Bhala N, Emberson J, Merhi A, et al. “Vascular and upper gastrointestinal effects of non-steroidal anti-inflammatory drugs: meta-analyses of individual participant data from randomised trials.” Lancet. 2013 Aug 31;382(9894):769-79.</w:t>
      </w:r>
    </w:p>
    <w:p w14:paraId="63A4FE80" w14:textId="77777777" w:rsidR="00702564" w:rsidRPr="00FE06A2" w:rsidRDefault="00702564" w:rsidP="00702564">
      <w:pPr>
        <w:pStyle w:val="Liststycke"/>
        <w:numPr>
          <w:ilvl w:val="0"/>
          <w:numId w:val="30"/>
        </w:numPr>
        <w:contextualSpacing/>
      </w:pPr>
      <w:r w:rsidRPr="00FE06A2">
        <w:t>Läkemedelsverket. “Hypertension och hjärtsvikt förorsakad av NSAID-preparat”. Nyheter, 29 juli 2002.</w:t>
      </w:r>
    </w:p>
    <w:p w14:paraId="4BC4547C" w14:textId="77777777" w:rsidR="00702564" w:rsidRPr="00FE06A2" w:rsidRDefault="00702564" w:rsidP="00702564">
      <w:pPr>
        <w:pStyle w:val="Liststycke"/>
        <w:numPr>
          <w:ilvl w:val="0"/>
          <w:numId w:val="30"/>
        </w:numPr>
        <w:contextualSpacing/>
      </w:pPr>
      <w:r w:rsidRPr="00FE06A2">
        <w:t>Socialstyrelsen. Indikatorer för god läkemedelsterapi hos äldre. 2017</w:t>
      </w:r>
    </w:p>
    <w:p w14:paraId="45E9E6AC" w14:textId="77777777" w:rsidR="00702564" w:rsidRPr="0071138D" w:rsidRDefault="00702564" w:rsidP="00702564"/>
    <w:p w14:paraId="39433538" w14:textId="77777777" w:rsidR="00702564" w:rsidRPr="0071138D" w:rsidRDefault="00702564" w:rsidP="00702564">
      <w:pPr>
        <w:pStyle w:val="Rubrik2"/>
      </w:pPr>
      <w:r w:rsidRPr="0071138D">
        <w:t>Svaga opioider</w:t>
      </w:r>
    </w:p>
    <w:p w14:paraId="625D6BED" w14:textId="4253F734" w:rsidR="00702564" w:rsidRDefault="00702564" w:rsidP="00702564">
      <w:pPr>
        <w:rPr>
          <w:sz w:val="24"/>
          <w:szCs w:val="24"/>
        </w:rPr>
      </w:pPr>
      <w:r w:rsidRPr="000D1B8E">
        <w:rPr>
          <w:sz w:val="24"/>
          <w:szCs w:val="24"/>
        </w:rPr>
        <w:t>Svaga opioider rekommenderas inte längre enligt reklistan men kan ha en plats i terapin på ett utvalt antal patienter. Tidsplan för uppföljning och utvärdering av behandlingseffekten bör beslutas om vid insättning.</w:t>
      </w:r>
    </w:p>
    <w:p w14:paraId="5EA9BF30" w14:textId="77777777" w:rsidR="0095242E" w:rsidRPr="000D1B8E" w:rsidRDefault="0095242E" w:rsidP="00702564">
      <w:pPr>
        <w:rPr>
          <w:sz w:val="24"/>
          <w:szCs w:val="24"/>
        </w:rPr>
      </w:pPr>
    </w:p>
    <w:p w14:paraId="350240FC" w14:textId="77777777" w:rsidR="00702564" w:rsidRDefault="00702564" w:rsidP="00702564">
      <w:pPr>
        <w:rPr>
          <w:rFonts w:eastAsia="Calibri" w:cs="Calibri"/>
          <w:sz w:val="24"/>
          <w:szCs w:val="24"/>
        </w:rPr>
      </w:pPr>
      <w:r w:rsidRPr="00FF2C9D">
        <w:rPr>
          <w:bCs/>
          <w:sz w:val="24"/>
          <w:szCs w:val="24"/>
        </w:rPr>
        <w:t>Paracetamol + kodein</w:t>
      </w:r>
      <w:r w:rsidRPr="000D1B8E">
        <w:rPr>
          <w:sz w:val="24"/>
          <w:szCs w:val="24"/>
        </w:rPr>
        <w:t xml:space="preserve"> (till exempel Panocod) kan användas vid kortvariga smärttillstånd där full dos av paracetamol ej givit tillräcklig analgetisk effekt. Kodeinet kräver metabolisering via CYP2D6 till morfin innan det har effekt. Därför risk för tillvänjning, varför man vid insättande noggrant planerar hur lång tid patienten skall använda medicinen. Det finns både långsamma och ultrasnabba (sällsynt) metaboliserare, vilket gör att effekten av behandling varierar stort mellan individer. Ca 7 – 10 % saknar förmågan att omvandla kodein till morfin, och dessa individer upplever ingen effekt av kodein. </w:t>
      </w:r>
      <w:r>
        <w:rPr>
          <w:sz w:val="24"/>
          <w:szCs w:val="24"/>
        </w:rPr>
        <w:br/>
      </w:r>
      <w:r w:rsidRPr="000D1B8E">
        <w:rPr>
          <w:sz w:val="24"/>
          <w:szCs w:val="24"/>
        </w:rPr>
        <w:t xml:space="preserve">De så kallade ultrasnabba metaboliserarna får högre plasmanivåer av morfin än väntat och har högre risk för morfinrelaterade biverkningar. Kodein interagerar dessutom med många läkemedel. </w:t>
      </w:r>
      <w:r>
        <w:rPr>
          <w:sz w:val="24"/>
          <w:szCs w:val="24"/>
        </w:rPr>
        <w:br/>
      </w:r>
      <w:r w:rsidRPr="000D1B8E">
        <w:rPr>
          <w:sz w:val="24"/>
          <w:szCs w:val="24"/>
        </w:rPr>
        <w:t xml:space="preserve">Vidare kan sänkt njurfunktion medföra ökad koncentration av den aktiva metaboliten, ackumulation samt risk för morfinrelaterade biverkningar. </w:t>
      </w:r>
      <w:r w:rsidRPr="000D1B8E">
        <w:rPr>
          <w:rFonts w:eastAsia="Calibri" w:cs="Calibri"/>
          <w:sz w:val="24"/>
          <w:szCs w:val="24"/>
        </w:rPr>
        <w:t xml:space="preserve">Eftersom det förekommer en stor variabilitet i metabolism mellan olika individer vad gäller kodein, så är det mycket svårt att ge en exakt konvertering mellan kodein och morfin. För vidare läsning om effekt och tolerans med låga doser morfin jämfört med kodein se Bandieri et al 2017. Generellt brukar man dock anse att 10 mg kodein motsvarar 1 mg morfin (se Palliativedrugs.com och Palliative care formulary). Emellertid brukar man inte konvertera direkt, utan man börjar i stället med en låg dos morfin istället oavsett </w:t>
      </w:r>
      <w:r w:rsidRPr="000D1B8E">
        <w:rPr>
          <w:rFonts w:eastAsia="Calibri" w:cs="Calibri"/>
          <w:sz w:val="24"/>
          <w:szCs w:val="24"/>
        </w:rPr>
        <w:lastRenderedPageBreak/>
        <w:t xml:space="preserve">hur mycket kodein patienten hade tidigare, och det brukar vara 5 mg morfin depot 2 gånger om dagen, och sedan kan dosen justeras utifrån symptom varje dag. </w:t>
      </w:r>
    </w:p>
    <w:p w14:paraId="4ABCD73D" w14:textId="77777777" w:rsidR="00702564" w:rsidRPr="000D1B8E" w:rsidRDefault="00702564" w:rsidP="00702564">
      <w:pPr>
        <w:rPr>
          <w:rFonts w:cstheme="minorHAnsi"/>
          <w:sz w:val="24"/>
          <w:szCs w:val="24"/>
        </w:rPr>
      </w:pPr>
    </w:p>
    <w:p w14:paraId="499A0C90" w14:textId="77777777" w:rsidR="00702564" w:rsidRPr="000D1B8E" w:rsidRDefault="00702564" w:rsidP="00702564">
      <w:pPr>
        <w:rPr>
          <w:sz w:val="24"/>
          <w:szCs w:val="24"/>
        </w:rPr>
      </w:pPr>
      <w:r w:rsidRPr="00FF2C9D">
        <w:rPr>
          <w:bCs/>
          <w:sz w:val="24"/>
          <w:szCs w:val="24"/>
        </w:rPr>
        <w:t>Tramadol</w:t>
      </w:r>
      <w:r w:rsidRPr="000D1B8E">
        <w:rPr>
          <w:sz w:val="24"/>
          <w:szCs w:val="24"/>
        </w:rPr>
        <w:t xml:space="preserve"> (Tramadol, Tradolan) är en svag opioid-agonist och hämmar även serotonin- och noradrenalinupptaget. Bör sättas in i låg dos med successiv upptitrering. Ej lämpligt vid nedsatt </w:t>
      </w:r>
      <w:r>
        <w:rPr>
          <w:sz w:val="24"/>
          <w:szCs w:val="24"/>
        </w:rPr>
        <w:br/>
      </w:r>
      <w:r w:rsidRPr="000D1B8E">
        <w:rPr>
          <w:sz w:val="24"/>
          <w:szCs w:val="24"/>
        </w:rPr>
        <w:t xml:space="preserve">lever- och njurfunktion. Ej ovanligt med biverkningar i form av yrsel, förvirring, illamående. </w:t>
      </w:r>
      <w:r>
        <w:rPr>
          <w:sz w:val="24"/>
          <w:szCs w:val="24"/>
        </w:rPr>
        <w:br/>
      </w:r>
      <w:r w:rsidRPr="000D1B8E">
        <w:rPr>
          <w:sz w:val="24"/>
          <w:szCs w:val="24"/>
        </w:rPr>
        <w:t xml:space="preserve">Interagerar med warfarin. Kan kombineras med paracetamol och NSAID. </w:t>
      </w:r>
      <w:r>
        <w:rPr>
          <w:sz w:val="24"/>
          <w:szCs w:val="24"/>
        </w:rPr>
        <w:br/>
      </w:r>
      <w:r w:rsidRPr="000D1B8E">
        <w:rPr>
          <w:sz w:val="24"/>
          <w:szCs w:val="24"/>
        </w:rPr>
        <w:t xml:space="preserve">Finns i retard-form. Missbruksrisk. </w:t>
      </w:r>
    </w:p>
    <w:p w14:paraId="35E0BC24" w14:textId="77777777" w:rsidR="00702564" w:rsidRDefault="00702564" w:rsidP="00702564">
      <w:pPr>
        <w:rPr>
          <w:rFonts w:cstheme="minorHAnsi"/>
        </w:rPr>
      </w:pPr>
    </w:p>
    <w:p w14:paraId="099E8407" w14:textId="77777777" w:rsidR="00702564" w:rsidRPr="000D1B8E" w:rsidRDefault="00702564" w:rsidP="00702564">
      <w:pPr>
        <w:rPr>
          <w:b/>
          <w:sz w:val="24"/>
          <w:szCs w:val="24"/>
        </w:rPr>
      </w:pPr>
      <w:r w:rsidRPr="000D1B8E">
        <w:rPr>
          <w:b/>
          <w:sz w:val="24"/>
          <w:szCs w:val="24"/>
        </w:rPr>
        <w:t xml:space="preserve">Till äldre (≥75år): </w:t>
      </w:r>
    </w:p>
    <w:p w14:paraId="213BB6F1" w14:textId="12879D3E" w:rsidR="00702564" w:rsidRPr="000D1B8E" w:rsidRDefault="00702564" w:rsidP="00702564">
      <w:pPr>
        <w:rPr>
          <w:sz w:val="24"/>
          <w:szCs w:val="24"/>
        </w:rPr>
      </w:pPr>
      <w:r w:rsidRPr="000D1B8E">
        <w:rPr>
          <w:sz w:val="24"/>
          <w:szCs w:val="24"/>
        </w:rPr>
        <w:t>Till äldre patienter är tramadol och kodein potentiellt olämpliga läkemedel. Tramadol ger en ökad risk hos äldre för biverkningar såsom illamående, trötthet, yrsel och förvirring. Tramadol ger även ökad risk för serotonergt syndrom vid samtidig behandling med andra preparat som påverkar serotonin, tex SSRI-preparat. Kodein ger, utöver biverkningsrisk, stora interinviduella skillnader i effektutfall pga. genetiska skillnader att omvandla kodein till morfin. Till äldre ska således svaga opioider undvikas och smärttrappan är, eftersom många ej tolererar NSAID preparat, följande:</w:t>
      </w:r>
    </w:p>
    <w:p w14:paraId="0AE61073" w14:textId="77777777" w:rsidR="00702564" w:rsidRPr="000D1B8E" w:rsidRDefault="00702564" w:rsidP="00702564">
      <w:pPr>
        <w:pStyle w:val="Liststycke"/>
        <w:numPr>
          <w:ilvl w:val="0"/>
          <w:numId w:val="31"/>
        </w:numPr>
        <w:contextualSpacing/>
        <w:rPr>
          <w:sz w:val="24"/>
          <w:szCs w:val="24"/>
        </w:rPr>
      </w:pPr>
      <w:r w:rsidRPr="000D1B8E">
        <w:rPr>
          <w:sz w:val="24"/>
          <w:szCs w:val="24"/>
        </w:rPr>
        <w:t>Paracetamol</w:t>
      </w:r>
    </w:p>
    <w:p w14:paraId="3711B789" w14:textId="77777777" w:rsidR="00702564" w:rsidRPr="000D1B8E" w:rsidRDefault="00702564" w:rsidP="00702564">
      <w:pPr>
        <w:pStyle w:val="Liststycke"/>
        <w:numPr>
          <w:ilvl w:val="0"/>
          <w:numId w:val="31"/>
        </w:numPr>
        <w:contextualSpacing/>
        <w:rPr>
          <w:sz w:val="24"/>
          <w:szCs w:val="24"/>
        </w:rPr>
      </w:pPr>
      <w:r w:rsidRPr="000D1B8E">
        <w:rPr>
          <w:sz w:val="24"/>
          <w:szCs w:val="24"/>
        </w:rPr>
        <w:t>Morfin. Morfin ges då oftast i form av långverkande morfin (Dolcontin) i låg dos tillsammans med laxantia. Vid nedsatt njurfunktion kan längre doseringsintervall vara ett alternativ eller byte av opioid. Följ upp och utvärdera regelbundet.</w:t>
      </w:r>
    </w:p>
    <w:p w14:paraId="3DBADF9B" w14:textId="77777777" w:rsidR="00702564" w:rsidRPr="000D1B8E" w:rsidRDefault="00702564" w:rsidP="00702564">
      <w:pPr>
        <w:pStyle w:val="Rubrik2"/>
      </w:pPr>
      <w:r w:rsidRPr="000D1B8E">
        <w:t>Referens</w:t>
      </w:r>
    </w:p>
    <w:p w14:paraId="4521192C" w14:textId="77777777" w:rsidR="00702564" w:rsidRPr="00644CB4" w:rsidRDefault="00702564" w:rsidP="00702564">
      <w:pPr>
        <w:rPr>
          <w:rFonts w:eastAsia="Calibri" w:cs="Calibri"/>
          <w:sz w:val="24"/>
          <w:szCs w:val="24"/>
          <w:lang w:val="en-US"/>
        </w:rPr>
      </w:pPr>
      <w:r w:rsidRPr="00644CB4">
        <w:rPr>
          <w:rFonts w:eastAsia="Calibri" w:cs="Calibri"/>
          <w:sz w:val="24"/>
          <w:szCs w:val="24"/>
          <w:lang w:val="en-US"/>
        </w:rPr>
        <w:t>Bandieri E, et al; Early Strong Opioid Treatment Study (ESOT) Investigators. Randomized Trial of Low-Dose Morphine Versus Weak Opioids in Moderate Cancer Pain. J Clin Oncol. 2016 Feb 10;34(5):436-42. doi: 10.1200/JCO.2015.61.0733. Epub 2015 Dec 7. Erratum in: J Clin Oncol. 2017 May 20;35(15):1753. PMID: 26644526.</w:t>
      </w:r>
    </w:p>
    <w:p w14:paraId="21CF7AFD" w14:textId="77777777" w:rsidR="00702564" w:rsidRPr="00644CB4" w:rsidRDefault="00702564" w:rsidP="00702564">
      <w:pPr>
        <w:rPr>
          <w:rFonts w:eastAsia="Calibri" w:cs="Calibri"/>
          <w:sz w:val="24"/>
          <w:szCs w:val="24"/>
          <w:lang w:val="en-US"/>
        </w:rPr>
      </w:pPr>
    </w:p>
    <w:p w14:paraId="2FADF2C2" w14:textId="77777777" w:rsidR="00702564" w:rsidRPr="00644CB4" w:rsidRDefault="00702564" w:rsidP="00702564">
      <w:pPr>
        <w:rPr>
          <w:rFonts w:eastAsia="Calibri" w:cs="Calibri"/>
          <w:sz w:val="24"/>
          <w:szCs w:val="24"/>
        </w:rPr>
      </w:pPr>
      <w:r w:rsidRPr="00644CB4">
        <w:rPr>
          <w:rFonts w:eastAsia="Calibri" w:cs="Calibri"/>
          <w:sz w:val="24"/>
          <w:szCs w:val="24"/>
          <w:lang w:val="en-US"/>
        </w:rPr>
        <w:t>Palliative care formulary 7th edition,</w:t>
      </w:r>
      <w:r>
        <w:rPr>
          <w:rFonts w:eastAsia="Calibri" w:cs="Calibri"/>
          <w:sz w:val="24"/>
          <w:szCs w:val="24"/>
          <w:lang w:val="en-US"/>
        </w:rPr>
        <w:t xml:space="preserve"> </w:t>
      </w:r>
      <w:r w:rsidRPr="00644CB4">
        <w:rPr>
          <w:rFonts w:eastAsia="Calibri" w:cs="Calibri"/>
          <w:sz w:val="24"/>
          <w:szCs w:val="24"/>
          <w:lang w:val="en-US"/>
        </w:rPr>
        <w:t xml:space="preserve">(Wilcock A, Howard P, Charlesworth S) Pharmaceutical Press 2020. </w:t>
      </w:r>
      <w:r w:rsidRPr="00644CB4">
        <w:rPr>
          <w:rFonts w:eastAsia="Calibri" w:cs="Calibri"/>
          <w:sz w:val="24"/>
          <w:szCs w:val="24"/>
        </w:rPr>
        <w:t>ISBN 9780857113689</w:t>
      </w:r>
    </w:p>
    <w:p w14:paraId="3F46D4D1" w14:textId="77777777" w:rsidR="00702564" w:rsidRPr="00CB71BA" w:rsidRDefault="00702564" w:rsidP="00702564">
      <w:r w:rsidRPr="009956C5">
        <w:rPr>
          <w:rFonts w:cstheme="minorHAnsi"/>
        </w:rPr>
        <w:br/>
      </w:r>
    </w:p>
    <w:p w14:paraId="1B5F35B0" w14:textId="77777777" w:rsidR="00702564" w:rsidRPr="00D377B6" w:rsidRDefault="00702564" w:rsidP="00702564">
      <w:pPr>
        <w:pBdr>
          <w:top w:val="single" w:sz="4" w:space="1" w:color="auto"/>
          <w:left w:val="single" w:sz="4" w:space="4" w:color="auto"/>
          <w:bottom w:val="single" w:sz="4" w:space="1" w:color="auto"/>
          <w:right w:val="single" w:sz="4" w:space="4" w:color="auto"/>
        </w:pBdr>
        <w:rPr>
          <w:b/>
          <w:sz w:val="24"/>
          <w:szCs w:val="24"/>
        </w:rPr>
      </w:pPr>
      <w:hyperlink r:id="rId194" w:history="1">
        <w:r w:rsidRPr="00D377B6">
          <w:rPr>
            <w:rStyle w:val="Hyperlnk"/>
            <w:b/>
            <w:sz w:val="24"/>
            <w:szCs w:val="24"/>
          </w:rPr>
          <w:t>Läkemedelskommitténs mål</w:t>
        </w:r>
      </w:hyperlink>
      <w:r w:rsidRPr="00D377B6">
        <w:rPr>
          <w:b/>
          <w:sz w:val="24"/>
          <w:szCs w:val="24"/>
        </w:rPr>
        <w:t>:</w:t>
      </w:r>
    </w:p>
    <w:p w14:paraId="2E9B59A9" w14:textId="77777777" w:rsidR="00702564" w:rsidRPr="00644CB4" w:rsidRDefault="00702564" w:rsidP="00702564">
      <w:pPr>
        <w:pBdr>
          <w:top w:val="single" w:sz="4" w:space="1" w:color="auto"/>
          <w:left w:val="single" w:sz="4" w:space="4" w:color="auto"/>
          <w:bottom w:val="single" w:sz="4" w:space="1" w:color="auto"/>
          <w:right w:val="single" w:sz="4" w:space="4" w:color="auto"/>
        </w:pBdr>
        <w:rPr>
          <w:sz w:val="24"/>
          <w:szCs w:val="24"/>
        </w:rPr>
      </w:pPr>
      <w:r w:rsidRPr="00644CB4">
        <w:rPr>
          <w:sz w:val="24"/>
          <w:szCs w:val="24"/>
        </w:rPr>
        <w:t xml:space="preserve">Minskad användning av tramadol hos patienter 75 år och äldre </w:t>
      </w:r>
    </w:p>
    <w:p w14:paraId="18CB6F21" w14:textId="77777777" w:rsidR="00702564" w:rsidRPr="0071138D" w:rsidRDefault="00702564" w:rsidP="00702564">
      <w:pPr>
        <w:pBdr>
          <w:top w:val="single" w:sz="4" w:space="1" w:color="auto"/>
          <w:left w:val="single" w:sz="4" w:space="4" w:color="auto"/>
          <w:bottom w:val="single" w:sz="4" w:space="1" w:color="auto"/>
          <w:right w:val="single" w:sz="4" w:space="4" w:color="auto"/>
        </w:pBdr>
      </w:pPr>
      <w:r w:rsidRPr="00644CB4">
        <w:rPr>
          <w:sz w:val="24"/>
          <w:szCs w:val="24"/>
        </w:rPr>
        <w:t>Minskad användning av kodein hos patienter 75 år och äldre</w:t>
      </w:r>
    </w:p>
    <w:p w14:paraId="4F730A72" w14:textId="77777777" w:rsidR="00702564" w:rsidRDefault="00702564" w:rsidP="00702564">
      <w:pPr>
        <w:tabs>
          <w:tab w:val="clear" w:pos="284"/>
        </w:tabs>
        <w:spacing w:after="120" w:line="260" w:lineRule="atLeast"/>
        <w:rPr>
          <w:rFonts w:asciiTheme="majorHAnsi" w:eastAsiaTheme="majorEastAsia" w:hAnsiTheme="majorHAnsi"/>
          <w:b/>
          <w:bCs/>
          <w:sz w:val="28"/>
          <w:szCs w:val="26"/>
        </w:rPr>
      </w:pPr>
      <w:r>
        <w:br w:type="page"/>
      </w:r>
    </w:p>
    <w:p w14:paraId="0B649FDE" w14:textId="77777777" w:rsidR="00702564" w:rsidRPr="0071138D" w:rsidRDefault="00702564" w:rsidP="00702564">
      <w:pPr>
        <w:pStyle w:val="Rubrik2"/>
      </w:pPr>
      <w:r w:rsidRPr="0071138D">
        <w:lastRenderedPageBreak/>
        <w:t>Starka opioider</w:t>
      </w:r>
    </w:p>
    <w:p w14:paraId="2E55C311" w14:textId="77777777" w:rsidR="00702564" w:rsidRPr="000D1B8E" w:rsidRDefault="00702564" w:rsidP="00702564">
      <w:pPr>
        <w:rPr>
          <w:sz w:val="24"/>
          <w:szCs w:val="24"/>
        </w:rPr>
      </w:pPr>
      <w:r w:rsidRPr="000D1B8E">
        <w:rPr>
          <w:sz w:val="24"/>
          <w:szCs w:val="24"/>
        </w:rPr>
        <w:t>Opioider har sitt huvudsakliga användningsområde vid malign smärta och vid akuta svåra smärttillstånd, eftersom tillvänjningsrisk och missbruk förekommer. Vid svåra benigna smärtor, efter noggrann smärtanalys, kännedom om patienten och uppföljningsplan, har de ibland också sin plats, men det finns studier som visar på sänkt livskvalité vid långvarig opioidbehandling. Vid användning av starka opioider är det vanligt med biverkningar i form av förstoppning, illamående och trötthet/sedering (se Opioidbiverkningar nedan). Samtliga opioider bör ges med försiktighet vid njur- och leversvikt. Långtidsverkande preparat kan kombineras med lämpligt kortverkande preparat för behandling av genombrottssmärta. Vilket preparat som väljs avgörs av om patienten kan ta något peroralt eller ej och hur snabbt tillslag som krävs.</w:t>
      </w:r>
      <w:r>
        <w:rPr>
          <w:sz w:val="24"/>
          <w:szCs w:val="24"/>
        </w:rPr>
        <w:t xml:space="preserve"> </w:t>
      </w:r>
      <w:r w:rsidRPr="000D1B8E">
        <w:rPr>
          <w:sz w:val="24"/>
          <w:szCs w:val="24"/>
        </w:rPr>
        <w:t>För Konverteringstabell för starka opioider, se nedan.</w:t>
      </w:r>
    </w:p>
    <w:p w14:paraId="2B293E97" w14:textId="77777777" w:rsidR="00702564" w:rsidRPr="000D1B8E" w:rsidRDefault="00702564" w:rsidP="00702564">
      <w:pPr>
        <w:rPr>
          <w:sz w:val="24"/>
          <w:szCs w:val="24"/>
        </w:rPr>
      </w:pPr>
    </w:p>
    <w:p w14:paraId="6852F168" w14:textId="77777777" w:rsidR="00702564" w:rsidRPr="000D1B8E" w:rsidRDefault="00702564" w:rsidP="00702564">
      <w:pPr>
        <w:rPr>
          <w:sz w:val="24"/>
          <w:szCs w:val="24"/>
        </w:rPr>
      </w:pPr>
      <w:r w:rsidRPr="000D1B8E">
        <w:rPr>
          <w:b/>
          <w:bCs/>
          <w:sz w:val="24"/>
          <w:szCs w:val="24"/>
        </w:rPr>
        <w:t>Morfin</w:t>
      </w:r>
      <w:r w:rsidRPr="000D1B8E">
        <w:rPr>
          <w:sz w:val="24"/>
          <w:szCs w:val="24"/>
        </w:rPr>
        <w:t xml:space="preserve"> </w:t>
      </w:r>
      <w:r w:rsidRPr="000D1B8E">
        <w:rPr>
          <w:sz w:val="24"/>
          <w:szCs w:val="24"/>
        </w:rPr>
        <w:br/>
        <w:t xml:space="preserve">Morfin är förstahandsvalet och bör om möjligt användas per oralt för patienter som kan ta tabletter och har en fungerande mag-tarmkanal. Biotillgängligheten kan variera mellan 15-65% vilket gör att en individuell dosanpassning krävs. Maxeffekt ses efter ca 1 timme och effekten kvarstår i cirka 4 timmar. Finns i alla beredningsformer och går att få som supp och som extempore-beredning. Morfin metaboliseras i levern och de aktiva metaboliterna utsöndras huvudsakligen renalt. Vid njursvikt kan dessa ackumuleras och det kan medföra överdoseringsbiverkningar. Om parenteral administration är nödvändigt är ekvipotent dos till peroral dos ca 1:2 (se konvertingstabell nedan). Det är dock olämpligt att använda större volymer än 1,5ml sc vilket gör att om patienten behöver högre dos än morfin 15mg sc (styrkan 10mg/ml=1,5ml) kan andra alternativ användas som morfin 20mg/ml eller hydromorfon (hydromorfon är ca 5 gånger starkare än morfin; se konverteringstabell för starka opioider). </w:t>
      </w:r>
      <w:r>
        <w:rPr>
          <w:sz w:val="24"/>
          <w:szCs w:val="24"/>
        </w:rPr>
        <w:br/>
      </w:r>
      <w:r w:rsidRPr="000D1B8E">
        <w:rPr>
          <w:sz w:val="24"/>
          <w:szCs w:val="24"/>
        </w:rPr>
        <w:t xml:space="preserve">Morfin eller andra opioider kan även användas som kontinuerlig sc infusion via en pump for palliativa patienter. Indikationen för sc pump bedöms av palliativ medicinläkare. Depotberedningen (Dolcontin) är förstahandsvalet vid cancersmärta och i de undantagsfall av långvarig icke-malign smärta där behandling med opioider är befogad. Man kan börja med låg dos t ex 5-10 mg x 2 vilken kan ökas efter behov. </w:t>
      </w:r>
    </w:p>
    <w:p w14:paraId="510418B8" w14:textId="77777777" w:rsidR="00702564" w:rsidRPr="000D1B8E" w:rsidRDefault="00702564" w:rsidP="00702564">
      <w:pPr>
        <w:rPr>
          <w:sz w:val="24"/>
          <w:szCs w:val="24"/>
        </w:rPr>
      </w:pPr>
    </w:p>
    <w:p w14:paraId="253520F0" w14:textId="77777777" w:rsidR="00702564" w:rsidRPr="000D1B8E" w:rsidRDefault="00702564" w:rsidP="00702564">
      <w:pPr>
        <w:rPr>
          <w:sz w:val="24"/>
          <w:szCs w:val="24"/>
        </w:rPr>
      </w:pPr>
      <w:r w:rsidRPr="00141664">
        <w:rPr>
          <w:b/>
          <w:bCs/>
          <w:sz w:val="24"/>
          <w:szCs w:val="24"/>
        </w:rPr>
        <w:t>Till äldre</w:t>
      </w:r>
      <w:r w:rsidRPr="00141664">
        <w:rPr>
          <w:b/>
          <w:sz w:val="24"/>
          <w:szCs w:val="24"/>
        </w:rPr>
        <w:t xml:space="preserve"> (≥75år)</w:t>
      </w:r>
      <w:r w:rsidRPr="00141664">
        <w:rPr>
          <w:b/>
          <w:bCs/>
          <w:sz w:val="24"/>
          <w:szCs w:val="24"/>
        </w:rPr>
        <w:t>:</w:t>
      </w:r>
      <w:r w:rsidRPr="00141664">
        <w:rPr>
          <w:sz w:val="24"/>
          <w:szCs w:val="24"/>
        </w:rPr>
        <w:t xml:space="preserve"> Alla patienter 75 år och över rekommenderas reducerade doser. Man kan t ex inleda med Dolcontin 5 mg 1x2 och vid behov lägga till kortverkande morfintabletter, Morfin 5mg en halv tablett 4-6 gånger per dygn. Liksom tidigare behövs försiktighet vid njur- och leversvikt (se tabell nedan)!</w:t>
      </w:r>
    </w:p>
    <w:p w14:paraId="023D65B7" w14:textId="77777777" w:rsidR="00702564" w:rsidRDefault="00702564" w:rsidP="00702564">
      <w:pPr>
        <w:tabs>
          <w:tab w:val="clear" w:pos="284"/>
        </w:tabs>
        <w:spacing w:after="120" w:line="260" w:lineRule="atLeast"/>
        <w:rPr>
          <w:sz w:val="24"/>
          <w:szCs w:val="24"/>
        </w:rPr>
      </w:pPr>
    </w:p>
    <w:p w14:paraId="0873DEBF" w14:textId="77777777" w:rsidR="00702564" w:rsidRPr="000D1B8E" w:rsidRDefault="00702564" w:rsidP="00702564">
      <w:pPr>
        <w:rPr>
          <w:b/>
          <w:bCs/>
          <w:sz w:val="24"/>
          <w:szCs w:val="24"/>
        </w:rPr>
      </w:pPr>
      <w:r w:rsidRPr="000D1B8E">
        <w:rPr>
          <w:b/>
          <w:bCs/>
          <w:sz w:val="24"/>
          <w:szCs w:val="24"/>
        </w:rPr>
        <w:t>Oxikodon</w:t>
      </w:r>
    </w:p>
    <w:p w14:paraId="603500E1" w14:textId="77777777" w:rsidR="00702564" w:rsidRPr="000D1B8E" w:rsidRDefault="00702564" w:rsidP="00702564">
      <w:pPr>
        <w:rPr>
          <w:sz w:val="24"/>
          <w:szCs w:val="24"/>
        </w:rPr>
      </w:pPr>
      <w:r w:rsidRPr="000D1B8E">
        <w:rPr>
          <w:sz w:val="24"/>
          <w:szCs w:val="24"/>
        </w:rPr>
        <w:t xml:space="preserve">Oxikodon har inga direkta fördelar jämfört med morfin. Det kan vara ett alternativ om morfin ej fungerar på grund av biverkningar eller vid restnotering av morfin. Finns som kortverkande form som </w:t>
      </w:r>
      <w:r w:rsidRPr="00141664">
        <w:rPr>
          <w:sz w:val="24"/>
          <w:szCs w:val="24"/>
        </w:rPr>
        <w:t xml:space="preserve">kan tas vid smärtgenombrott samt som oral lösning. Oxikodon har högre biotillgänglighet jämfört med morfin, 60-80%. Smärtlindrande effekt fås i cirka 4 timmar. Vid byte mellan peroralt morfin och oxikodon räknar man med att oxikodon är ca 1.5 – 2 gånger mer potent jämfört med morfin, med vid parenteral administrering är morfin och oxikodon mer ekvivalenta (se tabell). Även oxikodon ges med försiktighet vid nedsatt njurfunktion, men risken för ackumulering är </w:t>
      </w:r>
      <w:r w:rsidRPr="00141664">
        <w:rPr>
          <w:sz w:val="24"/>
          <w:szCs w:val="24"/>
        </w:rPr>
        <w:lastRenderedPageBreak/>
        <w:t>något lägre jämfört</w:t>
      </w:r>
      <w:r w:rsidRPr="000D1B8E">
        <w:rPr>
          <w:sz w:val="24"/>
          <w:szCs w:val="24"/>
        </w:rPr>
        <w:t xml:space="preserve"> med morfin. Precis som morfin metaboliseras oxikodon i levern och metaboliterna utsöndras renalt.  </w:t>
      </w:r>
    </w:p>
    <w:p w14:paraId="6C6FB11C" w14:textId="77777777" w:rsidR="00702564" w:rsidRPr="000D1B8E" w:rsidRDefault="00702564" w:rsidP="00702564">
      <w:pPr>
        <w:rPr>
          <w:sz w:val="24"/>
          <w:szCs w:val="24"/>
        </w:rPr>
      </w:pPr>
    </w:p>
    <w:p w14:paraId="13EA79FB" w14:textId="77777777" w:rsidR="00702564" w:rsidRDefault="00702564" w:rsidP="00702564">
      <w:pPr>
        <w:rPr>
          <w:sz w:val="24"/>
          <w:szCs w:val="24"/>
        </w:rPr>
      </w:pPr>
      <w:r w:rsidRPr="000D1B8E">
        <w:rPr>
          <w:sz w:val="24"/>
          <w:szCs w:val="24"/>
        </w:rPr>
        <w:t>Vid postoperativ smärta och behov av stark smärtlindring rekommenderas oxikodon på grund av dess bättre biotillgänglighet och dess mindre interindividuella skillnad i effekt. De flesta patienter får således postoperativt en bra smärtstillning av 5 – 10 mg x 2. Oftast är det tillräckligt att behandla postoperativ smärta med oxikodon i max 2-4 veckor. Om patienten behöver längre förskrivning av opioider efter den tidsperioden kan man med fördel byta preparat till morfin (Dolcontin) eftersom detta preparat i jämförelser har visat sig ha lägre risk för tillvänjning/beroende.</w:t>
      </w:r>
      <w:r>
        <w:rPr>
          <w:sz w:val="24"/>
          <w:szCs w:val="24"/>
        </w:rPr>
        <w:t xml:space="preserve"> </w:t>
      </w:r>
      <w:r w:rsidRPr="000D1B8E">
        <w:rPr>
          <w:sz w:val="24"/>
          <w:szCs w:val="24"/>
        </w:rPr>
        <w:t xml:space="preserve">Att beakta vid insättning och receptförskrivning är att produktnamnen för snabbverkande respektive depotform är lika och att det finns en förväxlingsrisk.  </w:t>
      </w:r>
    </w:p>
    <w:p w14:paraId="255660EF" w14:textId="77777777" w:rsidR="00702564" w:rsidRDefault="00702564" w:rsidP="00702564">
      <w:pPr>
        <w:tabs>
          <w:tab w:val="clear" w:pos="284"/>
        </w:tabs>
        <w:spacing w:after="120" w:line="260" w:lineRule="atLeast"/>
        <w:rPr>
          <w:sz w:val="24"/>
          <w:szCs w:val="24"/>
        </w:rPr>
      </w:pPr>
    </w:p>
    <w:p w14:paraId="7DD186FD" w14:textId="77777777" w:rsidR="00702564" w:rsidRPr="000D1B8E" w:rsidRDefault="00702564" w:rsidP="00702564">
      <w:pPr>
        <w:rPr>
          <w:b/>
          <w:bCs/>
          <w:sz w:val="24"/>
          <w:szCs w:val="24"/>
        </w:rPr>
      </w:pPr>
      <w:r w:rsidRPr="000D1B8E">
        <w:rPr>
          <w:b/>
          <w:bCs/>
          <w:sz w:val="24"/>
          <w:szCs w:val="24"/>
        </w:rPr>
        <w:t>Hydromorfon</w:t>
      </w:r>
    </w:p>
    <w:p w14:paraId="6A3493C4" w14:textId="77777777" w:rsidR="00702564" w:rsidRPr="000D1B8E" w:rsidRDefault="00702564" w:rsidP="00702564">
      <w:pPr>
        <w:rPr>
          <w:sz w:val="24"/>
          <w:szCs w:val="24"/>
        </w:rPr>
      </w:pPr>
      <w:r w:rsidRPr="000D1B8E">
        <w:rPr>
          <w:sz w:val="24"/>
          <w:szCs w:val="24"/>
        </w:rPr>
        <w:t xml:space="preserve">Hydromorfon är cirka 5 gånger mer potent än morfin vid parenteral tillförsel. Vid höga opioiddoser kan hydromorfon parenteralt därför vara ett alternativ om man behöver ge vid behovsdoser eftersom den högre potensen leder till mindre volym läkemedel. Det är olämpligt att använda större volymer än ungefär 1,5ml subkutant. Hydromorfon är att betrakta som ett specialistpreparat. </w:t>
      </w:r>
      <w:r w:rsidRPr="000D1B8E">
        <w:rPr>
          <w:sz w:val="24"/>
          <w:szCs w:val="24"/>
        </w:rPr>
        <w:br/>
      </w:r>
    </w:p>
    <w:p w14:paraId="7E15A9C8" w14:textId="77777777" w:rsidR="00702564" w:rsidRPr="000D1B8E" w:rsidRDefault="00702564" w:rsidP="00702564">
      <w:pPr>
        <w:rPr>
          <w:b/>
          <w:bCs/>
          <w:sz w:val="24"/>
          <w:szCs w:val="24"/>
        </w:rPr>
      </w:pPr>
      <w:r w:rsidRPr="000D1B8E">
        <w:rPr>
          <w:b/>
          <w:bCs/>
          <w:sz w:val="24"/>
          <w:szCs w:val="24"/>
        </w:rPr>
        <w:t>Fentanyl</w:t>
      </w:r>
    </w:p>
    <w:p w14:paraId="201F46DC" w14:textId="77777777" w:rsidR="00702564" w:rsidRPr="00960351" w:rsidRDefault="00702564" w:rsidP="00702564">
      <w:pPr>
        <w:rPr>
          <w:sz w:val="24"/>
          <w:szCs w:val="24"/>
        </w:rPr>
      </w:pPr>
      <w:r w:rsidRPr="000D1B8E">
        <w:rPr>
          <w:sz w:val="24"/>
          <w:szCs w:val="24"/>
        </w:rPr>
        <w:t>Fentanyl är en syntetisk mycket potent opioid och är oftast olämplig till opioidnaiva patienter. Vanligaste beredningsformen är depotplåster vilket skall bytas var tredje dag. Ett plåster med styrka 12ug/tim</w:t>
      </w:r>
      <w:r>
        <w:rPr>
          <w:sz w:val="24"/>
          <w:szCs w:val="24"/>
        </w:rPr>
        <w:t>mar</w:t>
      </w:r>
      <w:r w:rsidRPr="000D1B8E">
        <w:rPr>
          <w:sz w:val="24"/>
          <w:szCs w:val="24"/>
        </w:rPr>
        <w:t xml:space="preserve"> motsvarar 30-40 mg peroralt morfin per dygn (för mer info se avsnittet Smärtplåster och konverteringstabell nedan). Lämpligt vid stabil smärtsituation där patienten har svårt att ta tabletter, dåligt fun</w:t>
      </w:r>
      <w:r>
        <w:rPr>
          <w:sz w:val="24"/>
          <w:szCs w:val="24"/>
        </w:rPr>
        <w:t>g</w:t>
      </w:r>
      <w:r w:rsidRPr="000D1B8E">
        <w:rPr>
          <w:sz w:val="24"/>
          <w:szCs w:val="24"/>
        </w:rPr>
        <w:t xml:space="preserve">erande tarm (kort tarm eller ileustillstånd) och om opioidbehandling ger svår förstoppning trots förebyggande behandling med cilloxoral och makrogol. Vid första applicering av plåster tar det minst 12 timmar till effekt och full effekt vilken kan utvärderas först efter ett dygn. </w:t>
      </w:r>
      <w:r>
        <w:rPr>
          <w:sz w:val="24"/>
          <w:szCs w:val="24"/>
        </w:rPr>
        <w:br/>
      </w:r>
      <w:r w:rsidRPr="000D1B8E">
        <w:rPr>
          <w:sz w:val="24"/>
          <w:szCs w:val="24"/>
        </w:rPr>
        <w:t xml:space="preserve">Detta gör fentanylplåster olämpliga vid akuta smärtor. Pga. dess potens har fentanylplåster heller ingen plats i behandlingen av benign smärta (Läkemedelsverkets behandlingsrekommendation smärta, 2017). Fentanyl finns även som sublingual form (Abstral) vilket ibland kan vara ett alternativ som extrados vid pågående behandling med fentanylplåster. Detta är dock att betrakta som ett specialistpreparat. </w:t>
      </w:r>
      <w:r>
        <w:rPr>
          <w:sz w:val="24"/>
          <w:szCs w:val="24"/>
        </w:rPr>
        <w:br/>
      </w:r>
      <w:r w:rsidRPr="000D1B8E">
        <w:rPr>
          <w:sz w:val="24"/>
          <w:szCs w:val="24"/>
        </w:rPr>
        <w:t xml:space="preserve">Det är mycket viktigt att titrera Abstraldosen för att komma till en effektiv dos för patienten. </w:t>
      </w:r>
      <w:r>
        <w:rPr>
          <w:sz w:val="24"/>
          <w:szCs w:val="24"/>
        </w:rPr>
        <w:br/>
      </w:r>
      <w:r w:rsidRPr="000D1B8E">
        <w:rPr>
          <w:sz w:val="24"/>
          <w:szCs w:val="24"/>
        </w:rPr>
        <w:t xml:space="preserve">Effektiv dos kan variera mycket mellan olika individer. Se Fass för titrering av Abstral. </w:t>
      </w:r>
      <w:r>
        <w:rPr>
          <w:sz w:val="24"/>
          <w:szCs w:val="24"/>
        </w:rPr>
        <w:br/>
      </w:r>
    </w:p>
    <w:p w14:paraId="6AEE1A4B" w14:textId="77777777" w:rsidR="00702564" w:rsidRPr="000D1B8E" w:rsidRDefault="00702564" w:rsidP="00702564">
      <w:pPr>
        <w:rPr>
          <w:b/>
          <w:bCs/>
          <w:sz w:val="24"/>
          <w:szCs w:val="24"/>
        </w:rPr>
      </w:pPr>
      <w:r w:rsidRPr="000D1B8E">
        <w:rPr>
          <w:b/>
          <w:bCs/>
          <w:sz w:val="24"/>
          <w:szCs w:val="24"/>
        </w:rPr>
        <w:t>Tapentadol</w:t>
      </w:r>
    </w:p>
    <w:p w14:paraId="2FEDC2CD" w14:textId="77A80D97" w:rsidR="00702564" w:rsidRPr="000D1B8E" w:rsidRDefault="00702564" w:rsidP="00702564">
      <w:pPr>
        <w:rPr>
          <w:sz w:val="24"/>
          <w:szCs w:val="24"/>
        </w:rPr>
      </w:pPr>
      <w:r w:rsidRPr="000D1B8E">
        <w:rPr>
          <w:sz w:val="24"/>
          <w:szCs w:val="24"/>
        </w:rPr>
        <w:t xml:space="preserve">Tapentadol har effekt både via stimulering av my-receptorn och via hämning av noradrenalinupptaget. Skall endast användas till svår långvarig smärta där patienterna inte tolererat morfin eller oxikodon (enligt TLVs begränsade förmån för subvention). </w:t>
      </w:r>
    </w:p>
    <w:p w14:paraId="4F56ECC4" w14:textId="77777777" w:rsidR="00702564" w:rsidRPr="000D1B8E" w:rsidRDefault="00702564" w:rsidP="00702564">
      <w:pPr>
        <w:rPr>
          <w:sz w:val="24"/>
          <w:szCs w:val="24"/>
        </w:rPr>
      </w:pPr>
      <w:r w:rsidRPr="000D1B8E">
        <w:rPr>
          <w:sz w:val="24"/>
          <w:szCs w:val="24"/>
        </w:rPr>
        <w:t xml:space="preserve">Tapentadol är mer effektiv mot vissa typer neuropatisk smärta jämförd med andra opioider, särskilt ryggsmärta med neuropatisk komponent, perifer neuropati efter kemoterapi och diabetesneuropati </w:t>
      </w:r>
      <w:r>
        <w:rPr>
          <w:sz w:val="24"/>
          <w:szCs w:val="24"/>
        </w:rPr>
        <w:br/>
      </w:r>
      <w:r w:rsidRPr="000D1B8E">
        <w:rPr>
          <w:sz w:val="24"/>
          <w:szCs w:val="24"/>
        </w:rPr>
        <w:t xml:space="preserve">(se Deeks et al. 2018). </w:t>
      </w:r>
    </w:p>
    <w:p w14:paraId="54C6012E" w14:textId="77777777" w:rsidR="00702564" w:rsidRPr="000D1B8E" w:rsidRDefault="00702564" w:rsidP="00702564">
      <w:pPr>
        <w:rPr>
          <w:sz w:val="24"/>
          <w:szCs w:val="24"/>
        </w:rPr>
      </w:pPr>
    </w:p>
    <w:p w14:paraId="4B2823B7" w14:textId="77777777" w:rsidR="00702564" w:rsidRDefault="00702564" w:rsidP="00702564">
      <w:pPr>
        <w:rPr>
          <w:rFonts w:eastAsia="Arial" w:cs="Arial"/>
          <w:sz w:val="24"/>
          <w:szCs w:val="24"/>
        </w:rPr>
      </w:pPr>
      <w:r w:rsidRPr="000D1B8E">
        <w:rPr>
          <w:rFonts w:eastAsia="Arial" w:cs="Arial"/>
          <w:sz w:val="24"/>
          <w:szCs w:val="24"/>
          <w:lang w:val="en-US"/>
        </w:rPr>
        <w:lastRenderedPageBreak/>
        <w:t xml:space="preserve">Deeks, Emma D. “Tapentadol Prolonged Release: A Review in Pain Management.” </w:t>
      </w:r>
      <w:r w:rsidRPr="000D1B8E">
        <w:rPr>
          <w:rFonts w:eastAsia="Arial" w:cs="Arial"/>
          <w:i/>
          <w:iCs/>
          <w:sz w:val="24"/>
          <w:szCs w:val="24"/>
        </w:rPr>
        <w:t>Drugs</w:t>
      </w:r>
      <w:r w:rsidRPr="000D1B8E">
        <w:rPr>
          <w:rFonts w:eastAsia="Arial" w:cs="Arial"/>
          <w:sz w:val="24"/>
          <w:szCs w:val="24"/>
        </w:rPr>
        <w:t xml:space="preserve"> vol. 78,17 (2018): 1805-1816. </w:t>
      </w:r>
    </w:p>
    <w:p w14:paraId="3D23B9F3" w14:textId="77777777" w:rsidR="007B6699" w:rsidRDefault="007B6699" w:rsidP="007B6699">
      <w:pPr>
        <w:tabs>
          <w:tab w:val="clear" w:pos="284"/>
        </w:tabs>
        <w:spacing w:after="120" w:line="260" w:lineRule="atLeast"/>
        <w:rPr>
          <w:rFonts w:eastAsia="Arial" w:cs="Arial"/>
          <w:sz w:val="24"/>
          <w:szCs w:val="24"/>
        </w:rPr>
      </w:pPr>
    </w:p>
    <w:p w14:paraId="30D631E2" w14:textId="77777777" w:rsidR="007B6699" w:rsidRDefault="007B6699" w:rsidP="007B6699">
      <w:pPr>
        <w:tabs>
          <w:tab w:val="clear" w:pos="284"/>
        </w:tabs>
        <w:spacing w:after="120" w:line="260" w:lineRule="atLeast"/>
        <w:rPr>
          <w:rFonts w:eastAsia="Arial" w:cs="Arial"/>
          <w:sz w:val="24"/>
          <w:szCs w:val="24"/>
        </w:rPr>
      </w:pPr>
    </w:p>
    <w:p w14:paraId="5C311374" w14:textId="592EB02F" w:rsidR="00702564" w:rsidRPr="0095242E" w:rsidRDefault="00702564" w:rsidP="0095242E">
      <w:pPr>
        <w:tabs>
          <w:tab w:val="clear" w:pos="284"/>
        </w:tabs>
        <w:spacing w:after="120" w:line="260" w:lineRule="atLeast"/>
        <w:rPr>
          <w:rFonts w:eastAsia="Arial" w:cs="Arial"/>
          <w:sz w:val="24"/>
          <w:szCs w:val="24"/>
        </w:rPr>
      </w:pPr>
      <w:r w:rsidRPr="000D1B8E">
        <w:rPr>
          <w:b/>
          <w:bCs/>
          <w:sz w:val="24"/>
          <w:szCs w:val="24"/>
        </w:rPr>
        <w:t>Buprenorfin</w:t>
      </w:r>
      <w:r w:rsidR="0095242E">
        <w:rPr>
          <w:rFonts w:eastAsia="Arial" w:cs="Arial"/>
          <w:sz w:val="24"/>
          <w:szCs w:val="24"/>
        </w:rPr>
        <w:t xml:space="preserve"> </w:t>
      </w:r>
      <w:r w:rsidR="0095242E">
        <w:rPr>
          <w:rFonts w:eastAsia="Arial" w:cs="Arial"/>
          <w:sz w:val="24"/>
          <w:szCs w:val="24"/>
        </w:rPr>
        <w:br/>
      </w:r>
      <w:r w:rsidRPr="000D1B8E">
        <w:rPr>
          <w:sz w:val="24"/>
          <w:szCs w:val="24"/>
        </w:rPr>
        <w:t>Buprenorfin är en opioid med partiell my-agonistisk effekt. Substansen är 30-40 gånger per potent än morfin och metaboliseras i levern till inaktiva metaboliter. Buprenorfin finns som resoriblett (Temgesiq och generika) för sublingualt bruk samt i transdermal beredning (se Smärtplåster nedan). Plåstren används ffa vid icke-malign smärta. Plåstret byts var 7:e dag och det tar tre dygn innan full effekt nås vid en dosjustering. Plåstret är därmed inte lämpligt vid akut smärta.</w:t>
      </w:r>
    </w:p>
    <w:p w14:paraId="61C43B08" w14:textId="77777777" w:rsidR="00702564" w:rsidRDefault="00702564" w:rsidP="00702564">
      <w:pPr>
        <w:tabs>
          <w:tab w:val="clear" w:pos="284"/>
        </w:tabs>
        <w:spacing w:after="120" w:line="260" w:lineRule="atLeast"/>
        <w:rPr>
          <w:sz w:val="24"/>
          <w:szCs w:val="24"/>
        </w:rPr>
      </w:pPr>
    </w:p>
    <w:p w14:paraId="2D3719DA" w14:textId="3CDC4782" w:rsidR="00702564" w:rsidRPr="0095242E" w:rsidRDefault="00702564" w:rsidP="00702564">
      <w:pPr>
        <w:rPr>
          <w:b/>
          <w:bCs/>
          <w:sz w:val="24"/>
          <w:szCs w:val="24"/>
        </w:rPr>
      </w:pPr>
      <w:r w:rsidRPr="000D1B8E">
        <w:rPr>
          <w:b/>
          <w:bCs/>
          <w:sz w:val="24"/>
          <w:szCs w:val="24"/>
        </w:rPr>
        <w:t>Metadon</w:t>
      </w:r>
      <w:r w:rsidR="0095242E">
        <w:rPr>
          <w:b/>
          <w:bCs/>
          <w:sz w:val="24"/>
          <w:szCs w:val="24"/>
        </w:rPr>
        <w:t xml:space="preserve"> </w:t>
      </w:r>
      <w:r w:rsidR="0095242E">
        <w:rPr>
          <w:b/>
          <w:bCs/>
          <w:sz w:val="24"/>
          <w:szCs w:val="24"/>
        </w:rPr>
        <w:br/>
      </w:r>
      <w:r w:rsidRPr="000D1B8E">
        <w:rPr>
          <w:sz w:val="24"/>
          <w:szCs w:val="24"/>
        </w:rPr>
        <w:t xml:space="preserve">Metadon är en syntetisk opioid som verkar på såväl my- </w:t>
      </w:r>
      <w:r>
        <w:rPr>
          <w:sz w:val="24"/>
          <w:szCs w:val="24"/>
        </w:rPr>
        <w:t>som</w:t>
      </w:r>
      <w:r w:rsidRPr="000D1B8E">
        <w:rPr>
          <w:sz w:val="24"/>
          <w:szCs w:val="24"/>
        </w:rPr>
        <w:t xml:space="preserve"> deltaopioidreceptorerna och blockerar NMDA-receptorn. Metadon hämmar också serotonin och noradrenalinåterupptaget vilket är gynnsamt vid neuropatisk smärta. Biotillgängligheten är hög, 80% efter peroral tillförsel. Metadonbehandling kan övervägas till patienter med cancersmärta där pågående opioidbehandling inte ger tillräcklig smärtlindring. pga. komplicerad farmakokinetik med viss oförutsägbarhet och interindividuell metabolism med risk för biverkningar är detta ett specialistpreparat. Patient med välinställd behandling kan dock skötas i primärvård.</w:t>
      </w:r>
    </w:p>
    <w:p w14:paraId="35E79397" w14:textId="77777777" w:rsidR="00702564" w:rsidRPr="000D1B8E" w:rsidRDefault="00702564" w:rsidP="00702564">
      <w:pPr>
        <w:rPr>
          <w:sz w:val="24"/>
          <w:szCs w:val="24"/>
        </w:rPr>
      </w:pPr>
    </w:p>
    <w:p w14:paraId="1015E811" w14:textId="77777777" w:rsidR="00702564" w:rsidRPr="000D1B8E" w:rsidRDefault="00702564" w:rsidP="00702564">
      <w:pPr>
        <w:rPr>
          <w:b/>
          <w:bCs/>
          <w:sz w:val="24"/>
          <w:szCs w:val="24"/>
        </w:rPr>
      </w:pPr>
      <w:r w:rsidRPr="000D1B8E">
        <w:rPr>
          <w:b/>
          <w:bCs/>
          <w:sz w:val="24"/>
          <w:szCs w:val="24"/>
        </w:rPr>
        <w:t>Ketobemidon</w:t>
      </w:r>
    </w:p>
    <w:p w14:paraId="33749058" w14:textId="77777777" w:rsidR="00702564" w:rsidRPr="000D1B8E" w:rsidRDefault="00702564" w:rsidP="00702564">
      <w:pPr>
        <w:rPr>
          <w:sz w:val="24"/>
          <w:szCs w:val="24"/>
        </w:rPr>
      </w:pPr>
      <w:r w:rsidRPr="000D1B8E">
        <w:rPr>
          <w:sz w:val="24"/>
          <w:szCs w:val="24"/>
        </w:rPr>
        <w:t xml:space="preserve">Ketogan används ibland istället för morfin vid nedsatt njurfunktion men då oxikodon kan användas vid lätt till måttlig njurfunktionsnedsättning rekommenderas oxikodon istället, där finns också fler olika beredningsformer. Ketobemidon är en opioid med stor risk för beroende och detta problem verkar främst uppkomma vid intermittent parenteral administrering. </w:t>
      </w:r>
    </w:p>
    <w:p w14:paraId="19D25457" w14:textId="77777777" w:rsidR="00702564" w:rsidRPr="000D1B8E" w:rsidRDefault="00702564" w:rsidP="00702564">
      <w:pPr>
        <w:rPr>
          <w:b/>
          <w:bCs/>
          <w:sz w:val="24"/>
          <w:szCs w:val="24"/>
        </w:rPr>
      </w:pPr>
    </w:p>
    <w:p w14:paraId="34FA5550" w14:textId="77777777" w:rsidR="00702564" w:rsidRPr="000D1B8E" w:rsidRDefault="00702564" w:rsidP="00702564">
      <w:pPr>
        <w:rPr>
          <w:b/>
          <w:bCs/>
          <w:sz w:val="24"/>
          <w:szCs w:val="24"/>
        </w:rPr>
      </w:pPr>
      <w:r w:rsidRPr="000D1B8E">
        <w:rPr>
          <w:b/>
          <w:bCs/>
          <w:sz w:val="24"/>
          <w:szCs w:val="24"/>
        </w:rPr>
        <w:t>Risker med plåster</w:t>
      </w:r>
    </w:p>
    <w:p w14:paraId="02A7B163" w14:textId="77777777" w:rsidR="00702564" w:rsidRDefault="00702564" w:rsidP="00702564">
      <w:pPr>
        <w:rPr>
          <w:sz w:val="24"/>
          <w:szCs w:val="24"/>
        </w:rPr>
      </w:pPr>
      <w:r w:rsidRPr="000D1B8E">
        <w:rPr>
          <w:sz w:val="24"/>
          <w:szCs w:val="24"/>
        </w:rPr>
        <w:t xml:space="preserve">I arsenalen för att behandla olika smärttillstånd finns två olika smärtplåster innehållande opioider; buprenorfin eller fentanyl (se ovan). Dessa sätts på huden och finns i flera fabrikat och doseringar. </w:t>
      </w:r>
      <w:r>
        <w:rPr>
          <w:sz w:val="24"/>
          <w:szCs w:val="24"/>
        </w:rPr>
        <w:br/>
      </w:r>
      <w:r w:rsidRPr="000D1B8E">
        <w:rPr>
          <w:sz w:val="24"/>
          <w:szCs w:val="24"/>
        </w:rPr>
        <w:t xml:space="preserve">Rätt hanterade kan de vara alternativ när tabletter ej är lämpliga, men det finns också flera nackdelar med att använda plåster. Därför rekommenderas per orala beredningar i första hand. Behandling med plåster är t ex mer svårstyrd än perorala beredningar genom att upptaget kan påverkas av varm hud, ikterus, bastubad och feber vilket i värsta fall kan leda till oavsiktliga överdoseringar (FASS). </w:t>
      </w:r>
      <w:r>
        <w:rPr>
          <w:sz w:val="24"/>
          <w:szCs w:val="24"/>
        </w:rPr>
        <w:br/>
      </w:r>
      <w:r w:rsidRPr="000D1B8E">
        <w:rPr>
          <w:sz w:val="24"/>
          <w:szCs w:val="24"/>
        </w:rPr>
        <w:t xml:space="preserve">En annan nackdel är risken för felbehandling eftersom plåstren är små och oansenliga och ofta sitter på ryggen. Plåsterna kan missas att tas bort när nya appliceras vilket kan ge överdosering, omvänt kan plåsterbytet/behandlingen missas, plåster kan ramla av pga dålig vidhäftning och patienten kan få abstinensbesvär. Rutiner såsom datummärkning och genomgång av huden vid byte, krävs för att minska risken för ovanstående. Vid undersökning med magnetkamera ska fentanylplåster tas bort då de innehåller metaller och kan orsaka brännskador. I övrigt interagerar både buprenorfin och fentanyl med flera substanser ffa sådana som hämmar CYP3A4 enzymer (svampmedel, erytromycin, klaritromycin t ex). Interaktionen innebär oftast risk för förhöjda plasmanivåer med sedering och andningsdepression som följd. (FASS). Man bör vidare komma ihåg att även använda plåster fortfarande innehåller aktiv substans vilket kan innebära risker om de </w:t>
      </w:r>
      <w:r w:rsidRPr="000D1B8E">
        <w:rPr>
          <w:sz w:val="24"/>
          <w:szCs w:val="24"/>
        </w:rPr>
        <w:lastRenderedPageBreak/>
        <w:t xml:space="preserve">använda plåstren hanteras på fel sätt. Det förekommer både avsiktligt användande av plåster i missbrukssyfte och oavsiktliga förgiftningstillbud av familjemedlemmar och husdjur. Det föreligger dessutom en risk för miljöpåverkan om plåster hamnar i naturen. Därför är det mycket viktigt att plåster viks ihop och lämnas till apotek efter användandet samt att man särskilt tänker på plåster vid nära kontakt med till exempel anhöriga.  </w:t>
      </w:r>
      <w:r>
        <w:rPr>
          <w:sz w:val="24"/>
          <w:szCs w:val="24"/>
        </w:rPr>
        <w:br/>
      </w:r>
      <w:r w:rsidRPr="000D1B8E">
        <w:rPr>
          <w:sz w:val="24"/>
          <w:szCs w:val="24"/>
        </w:rPr>
        <w:t xml:space="preserve">(Mediacin </w:t>
      </w:r>
      <w:hyperlink r:id="rId195" w:history="1">
        <w:r w:rsidRPr="00743810">
          <w:rPr>
            <w:rStyle w:val="Hyperlnk"/>
            <w:sz w:val="24"/>
            <w:szCs w:val="24"/>
          </w:rPr>
          <w:t>https://www.vll.se/VLL/Filer/Mediacin%2010-16.pdf</w:t>
        </w:r>
      </w:hyperlink>
      <w:r w:rsidRPr="000D1B8E">
        <w:rPr>
          <w:sz w:val="24"/>
          <w:szCs w:val="24"/>
        </w:rPr>
        <w:t>)</w:t>
      </w:r>
    </w:p>
    <w:p w14:paraId="5ED97326" w14:textId="77777777" w:rsidR="007B6699" w:rsidRDefault="007B6699" w:rsidP="007B6699">
      <w:pPr>
        <w:tabs>
          <w:tab w:val="clear" w:pos="284"/>
        </w:tabs>
        <w:spacing w:after="120" w:line="260" w:lineRule="atLeast"/>
        <w:rPr>
          <w:sz w:val="24"/>
          <w:szCs w:val="24"/>
        </w:rPr>
      </w:pPr>
    </w:p>
    <w:p w14:paraId="7CB47FC2" w14:textId="01A9817E" w:rsidR="00702564" w:rsidRPr="007B6699" w:rsidRDefault="00702564" w:rsidP="007B6699">
      <w:pPr>
        <w:tabs>
          <w:tab w:val="clear" w:pos="284"/>
        </w:tabs>
        <w:spacing w:after="120" w:line="260" w:lineRule="atLeast"/>
        <w:rPr>
          <w:rFonts w:asciiTheme="majorHAnsi" w:hAnsiTheme="majorHAnsi"/>
          <w:sz w:val="24"/>
          <w:szCs w:val="24"/>
        </w:rPr>
      </w:pPr>
      <w:r w:rsidRPr="007B6699">
        <w:rPr>
          <w:rFonts w:asciiTheme="majorHAnsi" w:hAnsiTheme="majorHAnsi"/>
          <w:b/>
          <w:bCs/>
          <w:sz w:val="24"/>
          <w:szCs w:val="24"/>
        </w:rPr>
        <w:t>Opioidbiverkningar</w:t>
      </w:r>
    </w:p>
    <w:p w14:paraId="3396208D" w14:textId="77777777" w:rsidR="00702564" w:rsidRDefault="00702564" w:rsidP="00702564">
      <w:pPr>
        <w:rPr>
          <w:sz w:val="24"/>
          <w:szCs w:val="24"/>
        </w:rPr>
      </w:pPr>
      <w:r w:rsidRPr="000D1B8E">
        <w:rPr>
          <w:sz w:val="24"/>
          <w:szCs w:val="24"/>
        </w:rPr>
        <w:t xml:space="preserve">Vid användning av starka opioider är det vanligt med biverkningar i form av förstoppning, illamående och trötthet/sedering. Även hallucinationer kan förekomma vid behandlingsstart. Illamåendet är ofta övergående medan förstoppningstendensen brukar kvarstå och ska ALLTID förebyggas. Andningsdepression är sällan ett problem om man vid start ligger hellre lågt än högt i dos. </w:t>
      </w:r>
      <w:r>
        <w:rPr>
          <w:sz w:val="24"/>
          <w:szCs w:val="24"/>
        </w:rPr>
        <w:br/>
      </w:r>
      <w:r w:rsidRPr="000D1B8E">
        <w:rPr>
          <w:sz w:val="24"/>
          <w:szCs w:val="24"/>
        </w:rPr>
        <w:t xml:space="preserve">Dock kan det vara värt att tänka på att en åtgärd som snabbt minskar smärta t.ex. fixering av fraktur kan leda till att den opioiddos som patienten tidigare tålt plötsligt blir för hög. En opioidbiverkan som är dåligt känd är opioidinducerad hyperalgesi som innebär en opioidorsakad ökad smärta som kan bli till synes behandlingsresistent. Ofta har då höga doser opioid använts mot en smärta som inte är helt opiodkänslig. Misstänks detta, diskutera med smärtläkare eller palliativ specialist. </w:t>
      </w:r>
    </w:p>
    <w:p w14:paraId="216B8A6E" w14:textId="77777777" w:rsidR="00702564" w:rsidRPr="007B6699" w:rsidRDefault="00702564" w:rsidP="00702564">
      <w:pPr>
        <w:pStyle w:val="Rubrik4"/>
        <w:rPr>
          <w:rFonts w:asciiTheme="minorHAnsi" w:hAnsiTheme="minorHAnsi"/>
          <w:sz w:val="24"/>
          <w:szCs w:val="24"/>
        </w:rPr>
      </w:pPr>
      <w:r w:rsidRPr="007B6699">
        <w:rPr>
          <w:rFonts w:asciiTheme="minorHAnsi" w:hAnsiTheme="minorHAnsi"/>
          <w:sz w:val="24"/>
          <w:szCs w:val="24"/>
        </w:rPr>
        <w:t xml:space="preserve">Obstipation </w:t>
      </w:r>
    </w:p>
    <w:p w14:paraId="35AA6332" w14:textId="77777777" w:rsidR="00702564" w:rsidRPr="000D1B8E" w:rsidRDefault="00702564" w:rsidP="00702564">
      <w:pPr>
        <w:rPr>
          <w:sz w:val="24"/>
          <w:szCs w:val="24"/>
        </w:rPr>
      </w:pPr>
      <w:r w:rsidRPr="000D1B8E">
        <w:rPr>
          <w:sz w:val="24"/>
          <w:szCs w:val="24"/>
        </w:rPr>
        <w:t xml:space="preserve">Förstoppning är en nästan alltid förekommande opioidbiverkan och skall ALLTID förebyggas och motverkas. Om opioiddosen ändras kan dosen laxermedel behöva justeras. Försök att optimera den laxerande behandlingen i första hand innan byte till annan opioid, vid god effekt men med förstoppning. </w:t>
      </w:r>
      <w:r>
        <w:rPr>
          <w:sz w:val="24"/>
          <w:szCs w:val="24"/>
        </w:rPr>
        <w:br/>
      </w:r>
      <w:r w:rsidRPr="000D1B8E">
        <w:rPr>
          <w:sz w:val="24"/>
          <w:szCs w:val="24"/>
        </w:rPr>
        <w:t xml:space="preserve">Laxermedel med olika verkningsmekanismer kan användas och ingen väsentlig effektskillnad har kunnat visas mellan olika grupper, men bulkmedel bör undvikas. I första hand väljs osmotiskt verkande laxermedel såsom laktulos eller makrogol och/eller motorikstimulerande medel såsom natriumpikosulfat (tex Cilaxoraldroppar). Tidigare sades att de motorikstimulerande läkemedlen bör undvikas som långtidsbehandlning pga risk för vanebildning men det finns ingen forskning som stöder att så skulle vara fallet. Ytterligare tillägg kan göras i form av kontaktlaxativ (t ex Dulcolax). </w:t>
      </w:r>
      <w:r>
        <w:rPr>
          <w:sz w:val="24"/>
          <w:szCs w:val="24"/>
        </w:rPr>
        <w:br/>
      </w:r>
      <w:r w:rsidRPr="000D1B8E">
        <w:rPr>
          <w:sz w:val="24"/>
          <w:szCs w:val="24"/>
        </w:rPr>
        <w:t xml:space="preserve">Om ovanstående inte har effekt kan hämning av lokala opioidreceptorer i tarmen provas. Metylnaltrexonbromid (Relistor) finns i injektionsform och om det är verksamt har det en snabbt insättande effekt. Kombinationspreparatet oxikodon och naloxon i tablett (t ex Targiniq) är endast subventionerat till patienter som redan behandlas med oxikodon och vilka trots behandling med laxantia besväras av obstipation. Naloxontillsatsen gör att oxikodons lokala effekt i tarmen begränsas. Den lokala effekten av naloxon i tarmen vid peroral tillförsel är beroende av metabolismen i levern; är denna nedsatt finns det en risk att naloxonet hamnar systemiskt istället och kan förorsaka smärtgenombrott genom att häva den systemiska opioideffekten. Naloxegol (Moventig) är även denna en perifert verkande opioidreceptorantagonist i tablettform och kan tas dagligen. Priset är högt och den kliniska erfarenheten begränsad och preparatet bör ses som specialistpreparat. Varken naloxegol eller metylnaltrexonbromid hjälper mot andra faktorer som </w:t>
      </w:r>
      <w:r w:rsidRPr="000D1B8E">
        <w:rPr>
          <w:sz w:val="24"/>
          <w:szCs w:val="24"/>
        </w:rPr>
        <w:lastRenderedPageBreak/>
        <w:t xml:space="preserve">ofta bidrar till förstoppning såsom intorkning, begränsad rörelseförmåga, antihistaminer, diuretika, kost, osv.  </w:t>
      </w:r>
    </w:p>
    <w:p w14:paraId="64AC48B5" w14:textId="77777777" w:rsidR="00702564" w:rsidRPr="007B6699" w:rsidRDefault="00702564" w:rsidP="00702564">
      <w:pPr>
        <w:pStyle w:val="Rubrik4"/>
        <w:rPr>
          <w:rFonts w:ascii="Garamond" w:hAnsi="Garamond"/>
          <w:sz w:val="24"/>
          <w:szCs w:val="24"/>
        </w:rPr>
      </w:pPr>
      <w:r w:rsidRPr="007B6699">
        <w:rPr>
          <w:rFonts w:ascii="Garamond" w:hAnsi="Garamond"/>
          <w:sz w:val="24"/>
          <w:szCs w:val="24"/>
        </w:rPr>
        <w:t xml:space="preserve">Illamående </w:t>
      </w:r>
    </w:p>
    <w:p w14:paraId="406E35E6" w14:textId="77777777" w:rsidR="00702564" w:rsidRPr="000D1B8E" w:rsidRDefault="00702564" w:rsidP="00702564">
      <w:pPr>
        <w:rPr>
          <w:b/>
          <w:bCs/>
          <w:i/>
          <w:iCs/>
          <w:sz w:val="24"/>
          <w:szCs w:val="24"/>
        </w:rPr>
      </w:pPr>
      <w:r w:rsidRPr="000D1B8E">
        <w:rPr>
          <w:sz w:val="24"/>
          <w:szCs w:val="24"/>
        </w:rPr>
        <w:t xml:space="preserve">Vid opioidbehandlingens start drabbas många av illamående, vilket oftast är övergående inom en till två veckor. Antihistamin (Postafen) kan ofta vara tillräckligt annars kan exempelvis metoklopramid (Primperan) eller haloperidol (Haldol) i låg dos användas vid behov. </w:t>
      </w:r>
    </w:p>
    <w:p w14:paraId="5F1692D7" w14:textId="77777777" w:rsidR="00702564" w:rsidRPr="007B6699" w:rsidRDefault="00702564" w:rsidP="00702564">
      <w:pPr>
        <w:pStyle w:val="Rubrik4"/>
        <w:rPr>
          <w:rFonts w:ascii="Garamond" w:hAnsi="Garamond"/>
          <w:sz w:val="24"/>
          <w:szCs w:val="24"/>
        </w:rPr>
      </w:pPr>
      <w:r w:rsidRPr="007B6699">
        <w:rPr>
          <w:rFonts w:ascii="Garamond" w:hAnsi="Garamond"/>
          <w:sz w:val="24"/>
          <w:szCs w:val="24"/>
        </w:rPr>
        <w:t>Hallucinationer</w:t>
      </w:r>
    </w:p>
    <w:p w14:paraId="000C3D97" w14:textId="77777777" w:rsidR="00702564" w:rsidRPr="000D1B8E" w:rsidRDefault="00702564" w:rsidP="00702564">
      <w:pPr>
        <w:rPr>
          <w:sz w:val="24"/>
          <w:szCs w:val="24"/>
        </w:rPr>
      </w:pPr>
      <w:r w:rsidRPr="000D1B8E">
        <w:rPr>
          <w:sz w:val="24"/>
          <w:szCs w:val="24"/>
        </w:rPr>
        <w:t>Hallucinationer till följd av behandlingsstart med opioid kan förekomma och behandlas med haloperidol (Haldol) 1mg x 2 (reducerad dos och försiktighet till äldre), vilket kan sättas ut när patienten nått optimal dos för smärtlindring.</w:t>
      </w:r>
    </w:p>
    <w:p w14:paraId="23862C77" w14:textId="77777777" w:rsidR="0095242E" w:rsidRDefault="0095242E" w:rsidP="00702564">
      <w:pPr>
        <w:rPr>
          <w:b/>
          <w:bCs/>
          <w:sz w:val="24"/>
          <w:szCs w:val="24"/>
        </w:rPr>
      </w:pPr>
    </w:p>
    <w:p w14:paraId="70A38A84" w14:textId="69B01799" w:rsidR="00702564" w:rsidRPr="000D1B8E" w:rsidRDefault="00702564" w:rsidP="00702564">
      <w:pPr>
        <w:rPr>
          <w:b/>
          <w:bCs/>
          <w:sz w:val="24"/>
          <w:szCs w:val="24"/>
        </w:rPr>
      </w:pPr>
      <w:r w:rsidRPr="000D1B8E">
        <w:rPr>
          <w:b/>
          <w:bCs/>
          <w:sz w:val="24"/>
          <w:szCs w:val="24"/>
        </w:rPr>
        <w:t>Till äldre (≥75 år):</w:t>
      </w:r>
    </w:p>
    <w:p w14:paraId="4D05E0CA" w14:textId="77777777" w:rsidR="00702564" w:rsidRPr="000D1B8E" w:rsidRDefault="00702564" w:rsidP="00702564">
      <w:pPr>
        <w:rPr>
          <w:sz w:val="24"/>
          <w:szCs w:val="24"/>
        </w:rPr>
      </w:pPr>
      <w:r w:rsidRPr="000D1B8E">
        <w:rPr>
          <w:sz w:val="24"/>
          <w:szCs w:val="24"/>
        </w:rPr>
        <w:t xml:space="preserve">Vid morfinbehandling av äldre patienter och av patienter med nedsatt lever- och njurfunktion ska stor försiktighet iakttagas och den initialt lämpliga dosen kan behöva reduceras (se FASS). </w:t>
      </w:r>
    </w:p>
    <w:p w14:paraId="758D9027" w14:textId="77777777" w:rsidR="00702564" w:rsidRPr="000D1B8E" w:rsidRDefault="00702564" w:rsidP="00702564">
      <w:pPr>
        <w:rPr>
          <w:rFonts w:cstheme="minorHAnsi"/>
          <w:sz w:val="24"/>
          <w:szCs w:val="24"/>
        </w:rPr>
      </w:pPr>
      <w:r w:rsidRPr="000D1B8E">
        <w:rPr>
          <w:sz w:val="24"/>
          <w:szCs w:val="24"/>
        </w:rPr>
        <w:t>Försiktighet med metoklopramid (Primeran) och haloperidol (Haldol).</w:t>
      </w:r>
      <w:r>
        <w:rPr>
          <w:sz w:val="24"/>
          <w:szCs w:val="24"/>
        </w:rPr>
        <w:br/>
      </w:r>
    </w:p>
    <w:p w14:paraId="277E3B81" w14:textId="27EA8822" w:rsidR="00702564" w:rsidRDefault="00702564" w:rsidP="0095242E">
      <w:pPr>
        <w:spacing w:after="120"/>
        <w:rPr>
          <w:sz w:val="24"/>
          <w:szCs w:val="24"/>
        </w:rPr>
      </w:pPr>
      <w:r w:rsidRPr="007B6699">
        <w:rPr>
          <w:rStyle w:val="Rubrik4Char"/>
          <w:sz w:val="24"/>
          <w:szCs w:val="24"/>
        </w:rPr>
        <w:t>Konvertering mellan starka opioider</w:t>
      </w:r>
      <w:r w:rsidRPr="009E1865">
        <w:rPr>
          <w:rStyle w:val="Rubrik4Char"/>
        </w:rPr>
        <w:br/>
      </w:r>
      <w:r w:rsidRPr="000D1B8E">
        <w:rPr>
          <w:sz w:val="24"/>
          <w:szCs w:val="24"/>
        </w:rPr>
        <w:t xml:space="preserve">Konverteringstabellen grundar sig på klinisk erfarenhet och information i FASS. Ekvipotensförhållandet skiljer sig dock något i litteraturen. Tabellen kan användas som vägledning för att underlätta till exempel vid byte av opioid eller beredningsform samt vid extra dosering. </w:t>
      </w:r>
      <w:r>
        <w:rPr>
          <w:sz w:val="24"/>
          <w:szCs w:val="24"/>
        </w:rPr>
        <w:br/>
      </w:r>
      <w:r w:rsidRPr="000D1B8E">
        <w:rPr>
          <w:sz w:val="24"/>
          <w:szCs w:val="24"/>
        </w:rPr>
        <w:t>Orsaker till byte kan till exempel vara praktiska problem, otillräcklig analgetisk effekt trots ökad dos av opioid eller biverkningar. Effekten av olika opioider kan variera mellan olika individer, på grund av genetisk polymorfism, vilket gör att vissa individer får bra effekt av en opioid men inte av andra. Individuell dostitrering är alltid nödvändig och försiktighet bör särskilt tas vid behandling med höga doser och efter långvarig behandling. Observera att toleransutveckling sker över tid och att korstoleransen för preparaten skiljer sig åt. Dessutom kan olika individer få varierande biotillgänglighet och effekt av samma preparat. Hänsyn kan också behöva tas till lever- och njurfunktion (se tabell nedan) samt till eventuella läkemedelsinteraktioner.</w:t>
      </w:r>
      <w:r w:rsidR="0095242E">
        <w:rPr>
          <w:sz w:val="24"/>
          <w:szCs w:val="24"/>
        </w:rPr>
        <w:t xml:space="preserve"> </w:t>
      </w:r>
      <w:r w:rsidR="0095242E">
        <w:rPr>
          <w:sz w:val="24"/>
          <w:szCs w:val="24"/>
        </w:rPr>
        <w:br/>
      </w:r>
      <w:r w:rsidRPr="000D1B8E">
        <w:rPr>
          <w:sz w:val="24"/>
          <w:szCs w:val="24"/>
        </w:rPr>
        <w:t>Beräknad dos av den nya opioiden bör därför reduceras till 50-75% av ekvianalgetisk dos för att sedan efter behov dostitrera upp. Gör bytet abrupt utan nedtrappning av den föregående opioiden.</w:t>
      </w:r>
      <w:r w:rsidR="0095242E">
        <w:rPr>
          <w:sz w:val="24"/>
          <w:szCs w:val="24"/>
        </w:rPr>
        <w:t xml:space="preserve"> </w:t>
      </w:r>
      <w:r w:rsidR="0095242E">
        <w:rPr>
          <w:sz w:val="24"/>
          <w:szCs w:val="24"/>
        </w:rPr>
        <w:br/>
      </w:r>
      <w:r w:rsidRPr="000D1B8E">
        <w:rPr>
          <w:sz w:val="24"/>
          <w:szCs w:val="24"/>
        </w:rPr>
        <w:t>Extradosen beräknas till ca 1/6 av dygnsdosen, vid mycket höga opioiddoser kan 1/10 räcka.</w:t>
      </w:r>
      <w:r w:rsidR="0095242E">
        <w:rPr>
          <w:sz w:val="24"/>
          <w:szCs w:val="24"/>
        </w:rPr>
        <w:t xml:space="preserve"> </w:t>
      </w:r>
      <w:r w:rsidR="0095242E">
        <w:rPr>
          <w:sz w:val="24"/>
          <w:szCs w:val="24"/>
        </w:rPr>
        <w:br/>
      </w:r>
      <w:r w:rsidRPr="000D1B8E">
        <w:rPr>
          <w:sz w:val="24"/>
          <w:szCs w:val="24"/>
        </w:rPr>
        <w:t xml:space="preserve">Om hög dos används måste försiktighet tas med ekvivalenser. </w:t>
      </w:r>
      <w:r w:rsidR="0095242E">
        <w:rPr>
          <w:sz w:val="24"/>
          <w:szCs w:val="24"/>
        </w:rPr>
        <w:br/>
      </w:r>
      <w:r w:rsidRPr="000D1B8E">
        <w:rPr>
          <w:sz w:val="24"/>
          <w:szCs w:val="24"/>
        </w:rPr>
        <w:t xml:space="preserve">För läkemedel som är rena my-agonister (morfin, oxikodon, hydromorfon och fentanyl) går det bra att konvertera mellan de olika preparaten. För de läkemedel som inte är rena my-agonister (tapentadol, kodein, tramadol och buprenorfin) behövs mer försiktighet på grund av risk för opioidöverdosering, </w:t>
      </w:r>
      <w:r>
        <w:rPr>
          <w:sz w:val="24"/>
          <w:szCs w:val="24"/>
        </w:rPr>
        <w:br/>
      </w:r>
      <w:r w:rsidRPr="000D1B8E">
        <w:rPr>
          <w:sz w:val="24"/>
          <w:szCs w:val="24"/>
        </w:rPr>
        <w:t xml:space="preserve">ffa hos äldre patienter. När byte från tramadol till annan opioid är aktuellt bör tramadol trappas ned för att undvika utsättningssymtom på grund av dess serotonerga effekt. Även om man byter till tapentadol kan utsättningssymtom förekomma, därför att tapentadol saknar serotonerga effekt </w:t>
      </w:r>
      <w:r>
        <w:rPr>
          <w:sz w:val="24"/>
          <w:szCs w:val="24"/>
        </w:rPr>
        <w:br/>
      </w:r>
      <w:r w:rsidRPr="000D1B8E">
        <w:rPr>
          <w:sz w:val="24"/>
          <w:szCs w:val="24"/>
        </w:rPr>
        <w:t xml:space="preserve">(bara my- opioidreceptoragonist och noradrenalinåterupptagshämmare). </w:t>
      </w:r>
      <w:r w:rsidR="0095242E">
        <w:rPr>
          <w:sz w:val="24"/>
          <w:szCs w:val="24"/>
        </w:rPr>
        <w:br/>
      </w:r>
      <w:r w:rsidRPr="000D1B8E">
        <w:rPr>
          <w:sz w:val="24"/>
          <w:szCs w:val="24"/>
        </w:rPr>
        <w:t>För konvertering från kodein till morfin se avsnitt om svaga opioider ovan.</w:t>
      </w:r>
    </w:p>
    <w:p w14:paraId="30BD7D2F" w14:textId="77777777" w:rsidR="00702564" w:rsidRDefault="00702564" w:rsidP="00702564">
      <w:pPr>
        <w:tabs>
          <w:tab w:val="clear" w:pos="284"/>
        </w:tabs>
        <w:spacing w:after="120" w:line="260" w:lineRule="atLeast"/>
        <w:rPr>
          <w:sz w:val="24"/>
          <w:szCs w:val="24"/>
        </w:rPr>
      </w:pPr>
      <w:r>
        <w:rPr>
          <w:sz w:val="24"/>
          <w:szCs w:val="24"/>
        </w:rPr>
        <w:br w:type="page"/>
      </w:r>
    </w:p>
    <w:p w14:paraId="70784C30" w14:textId="77777777" w:rsidR="00702564" w:rsidRPr="00C626CC" w:rsidRDefault="00702564" w:rsidP="00702564">
      <w:pPr>
        <w:rPr>
          <w:rFonts w:asciiTheme="majorHAnsi" w:hAnsiTheme="majorHAnsi"/>
          <w:sz w:val="24"/>
          <w:szCs w:val="24"/>
        </w:rPr>
      </w:pPr>
      <w:r w:rsidRPr="00C626CC">
        <w:rPr>
          <w:rFonts w:asciiTheme="majorHAnsi" w:hAnsiTheme="majorHAnsi"/>
          <w:b/>
          <w:sz w:val="24"/>
          <w:szCs w:val="24"/>
        </w:rPr>
        <w:lastRenderedPageBreak/>
        <w:t xml:space="preserve">Konverteringstabell för starka opioider </w:t>
      </w:r>
    </w:p>
    <w:p w14:paraId="520FBEA7" w14:textId="77777777" w:rsidR="00702564" w:rsidRDefault="00702564" w:rsidP="00702564">
      <w:pPr>
        <w:rPr>
          <w:sz w:val="24"/>
          <w:szCs w:val="24"/>
        </w:rPr>
      </w:pPr>
      <w:r>
        <w:rPr>
          <w:sz w:val="24"/>
          <w:szCs w:val="24"/>
        </w:rPr>
        <w:t xml:space="preserve">Se Konverteringsguide för opioider på 1177 vårdpersonal </w:t>
      </w:r>
    </w:p>
    <w:p w14:paraId="4111F831" w14:textId="77777777" w:rsidR="00702564" w:rsidRPr="000D1B8E" w:rsidRDefault="00702564" w:rsidP="00702564">
      <w:pPr>
        <w:rPr>
          <w:sz w:val="24"/>
          <w:szCs w:val="24"/>
        </w:rPr>
      </w:pPr>
      <w:hyperlink r:id="rId196" w:history="1">
        <w:r w:rsidRPr="000A498B">
          <w:rPr>
            <w:rStyle w:val="Hyperlnk"/>
            <w:sz w:val="24"/>
            <w:szCs w:val="24"/>
          </w:rPr>
          <w:t>konverteringsguide-opioider-2023.pdf</w:t>
        </w:r>
      </w:hyperlink>
      <w:r>
        <w:rPr>
          <w:sz w:val="24"/>
          <w:szCs w:val="24"/>
        </w:rPr>
        <w:br/>
      </w:r>
      <w:r w:rsidRPr="000D1B8E">
        <w:rPr>
          <w:sz w:val="24"/>
          <w:szCs w:val="24"/>
        </w:rPr>
        <w:t>Tabellen är en vägledning vid byte av opioid eller beredningsform samt vid extra dosering.</w:t>
      </w:r>
      <w:r w:rsidRPr="000D1B8E">
        <w:rPr>
          <w:rFonts w:cstheme="minorHAnsi"/>
          <w:sz w:val="24"/>
          <w:szCs w:val="24"/>
        </w:rPr>
        <w:t xml:space="preserve"> </w:t>
      </w:r>
      <w:r w:rsidRPr="000D1B8E">
        <w:rPr>
          <w:sz w:val="24"/>
          <w:szCs w:val="24"/>
        </w:rPr>
        <w:t>Konverteringstabellen är baserad på klinisk erfarenhet och information i FASS. Utarbetad av Carlo Mucchiano, överläkare och Anna Wallén, sjuksköterska på Smärtenheten Höglandssjukhuset 575 81 Eksjö. Efter version uppdaterad januari 2021</w:t>
      </w:r>
      <w:r w:rsidRPr="000D1B8E">
        <w:rPr>
          <w:sz w:val="24"/>
          <w:szCs w:val="24"/>
        </w:rPr>
        <w:tab/>
        <w:t xml:space="preserve"> </w:t>
      </w:r>
      <w:r w:rsidRPr="000D1B8E">
        <w:rPr>
          <w:sz w:val="24"/>
          <w:szCs w:val="24"/>
        </w:rPr>
        <w:tab/>
        <w:t xml:space="preserve"> </w:t>
      </w:r>
      <w:r w:rsidRPr="000D1B8E">
        <w:rPr>
          <w:sz w:val="24"/>
          <w:szCs w:val="24"/>
        </w:rPr>
        <w:tab/>
        <w:t xml:space="preserve"> </w:t>
      </w:r>
      <w:r w:rsidRPr="000D1B8E">
        <w:rPr>
          <w:sz w:val="24"/>
          <w:szCs w:val="24"/>
        </w:rPr>
        <w:tab/>
        <w:t xml:space="preserve"> </w:t>
      </w:r>
      <w:r w:rsidRPr="000D1B8E">
        <w:rPr>
          <w:sz w:val="24"/>
          <w:szCs w:val="24"/>
        </w:rPr>
        <w:tab/>
        <w:t xml:space="preserve"> </w:t>
      </w:r>
      <w:r w:rsidRPr="000D1B8E">
        <w:rPr>
          <w:sz w:val="24"/>
          <w:szCs w:val="24"/>
        </w:rPr>
        <w:tab/>
      </w:r>
    </w:p>
    <w:p w14:paraId="696B3C60" w14:textId="77777777" w:rsidR="00702564" w:rsidRDefault="00702564" w:rsidP="00702564">
      <w:pPr>
        <w:rPr>
          <w:rFonts w:ascii="Corbel" w:hAnsi="Corbel"/>
          <w:b/>
          <w:bCs/>
          <w:sz w:val="24"/>
          <w:szCs w:val="24"/>
        </w:rPr>
      </w:pPr>
      <w:r w:rsidRPr="00C60195">
        <w:rPr>
          <w:rFonts w:ascii="Corbel" w:hAnsi="Corbel"/>
          <w:b/>
          <w:bCs/>
          <w:sz w:val="24"/>
          <w:szCs w:val="24"/>
        </w:rPr>
        <w:t>Dosjustering vid nedsatt njur- eller leverfunktion</w:t>
      </w:r>
    </w:p>
    <w:p w14:paraId="51F82124" w14:textId="77777777" w:rsidR="00702564" w:rsidRDefault="00702564" w:rsidP="00702564">
      <w:pPr>
        <w:rPr>
          <w:rStyle w:val="Hyperlnk"/>
          <w:sz w:val="24"/>
          <w:szCs w:val="24"/>
        </w:rPr>
      </w:pPr>
      <w:r w:rsidRPr="000D1B8E">
        <w:rPr>
          <w:sz w:val="24"/>
          <w:szCs w:val="24"/>
        </w:rPr>
        <w:t xml:space="preserve">Uppskattning av nödvändig dosjustering vid olika grad av njur- eller leverfunktionsnedsättning. Observera att individuell bedömning behövs. </w:t>
      </w:r>
      <w:r w:rsidRPr="002C59E1">
        <w:rPr>
          <w:sz w:val="24"/>
          <w:szCs w:val="24"/>
        </w:rPr>
        <w:t>Se tabell</w:t>
      </w:r>
    </w:p>
    <w:p w14:paraId="371C3BFE" w14:textId="77777777" w:rsidR="00702564" w:rsidRDefault="00702564" w:rsidP="00702564">
      <w:pPr>
        <w:rPr>
          <w:rStyle w:val="Hyperlnk"/>
          <w:sz w:val="24"/>
          <w:szCs w:val="24"/>
        </w:rPr>
      </w:pPr>
    </w:p>
    <w:p w14:paraId="513657EA" w14:textId="77777777" w:rsidR="00702564" w:rsidRDefault="00702564" w:rsidP="00702564">
      <w:pPr>
        <w:rPr>
          <w:rStyle w:val="Hyperlnk"/>
          <w:sz w:val="24"/>
          <w:szCs w:val="24"/>
        </w:rPr>
      </w:pPr>
      <w:r>
        <w:rPr>
          <w:noProof/>
        </w:rPr>
        <w:drawing>
          <wp:inline distT="0" distB="0" distL="0" distR="0" wp14:anchorId="383239A5" wp14:editId="36A5022D">
            <wp:extent cx="5020128" cy="2951975"/>
            <wp:effectExtent l="0" t="0" r="0" b="1270"/>
            <wp:docPr id="1637814312" name="Bildobjekt 1637814312"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14312" name="Bildobjekt 1637814312" descr="En bild som visar text, skärmbild, Teckensnitt, nummer&#10;&#10;AI-genererat innehåll kan vara felaktigt."/>
                    <pic:cNvPicPr/>
                  </pic:nvPicPr>
                  <pic:blipFill>
                    <a:blip r:embed="rId197"/>
                    <a:stretch>
                      <a:fillRect/>
                    </a:stretch>
                  </pic:blipFill>
                  <pic:spPr>
                    <a:xfrm>
                      <a:off x="0" y="0"/>
                      <a:ext cx="5029206" cy="2957313"/>
                    </a:xfrm>
                    <a:prstGeom prst="rect">
                      <a:avLst/>
                    </a:prstGeom>
                  </pic:spPr>
                </pic:pic>
              </a:graphicData>
            </a:graphic>
          </wp:inline>
        </w:drawing>
      </w:r>
    </w:p>
    <w:p w14:paraId="2CD78147" w14:textId="77777777" w:rsidR="00702564" w:rsidRDefault="00702564" w:rsidP="00702564">
      <w:pPr>
        <w:rPr>
          <w:rStyle w:val="Hyperlnk"/>
          <w:sz w:val="24"/>
          <w:szCs w:val="24"/>
        </w:rPr>
      </w:pPr>
    </w:p>
    <w:p w14:paraId="62874F64" w14:textId="77777777" w:rsidR="00702564" w:rsidRDefault="00702564" w:rsidP="00702564">
      <w:pPr>
        <w:rPr>
          <w:rStyle w:val="Hyperlnk"/>
          <w:sz w:val="24"/>
          <w:szCs w:val="24"/>
        </w:rPr>
      </w:pPr>
      <w:r>
        <w:rPr>
          <w:noProof/>
        </w:rPr>
        <w:lastRenderedPageBreak/>
        <w:drawing>
          <wp:inline distT="0" distB="0" distL="0" distR="0" wp14:anchorId="424A1ED1" wp14:editId="735149A4">
            <wp:extent cx="5539839" cy="3432298"/>
            <wp:effectExtent l="0" t="0" r="3810" b="0"/>
            <wp:docPr id="1632602553" name="Bildobjekt 1632602553" descr="En bild som visar text, nummer, Teckensnitt,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02553" name="Bildobjekt 1632602553" descr="En bild som visar text, nummer, Teckensnitt, skärmbild&#10;&#10;AI-genererat innehåll kan vara felaktigt."/>
                    <pic:cNvPicPr/>
                  </pic:nvPicPr>
                  <pic:blipFill>
                    <a:blip r:embed="rId198"/>
                    <a:stretch>
                      <a:fillRect/>
                    </a:stretch>
                  </pic:blipFill>
                  <pic:spPr>
                    <a:xfrm>
                      <a:off x="0" y="0"/>
                      <a:ext cx="5553730" cy="3440904"/>
                    </a:xfrm>
                    <a:prstGeom prst="rect">
                      <a:avLst/>
                    </a:prstGeom>
                  </pic:spPr>
                </pic:pic>
              </a:graphicData>
            </a:graphic>
          </wp:inline>
        </w:drawing>
      </w:r>
    </w:p>
    <w:p w14:paraId="7BFD9DEB" w14:textId="77777777" w:rsidR="00702564" w:rsidRDefault="00702564" w:rsidP="00702564">
      <w:pPr>
        <w:rPr>
          <w:rStyle w:val="Hyperlnk"/>
          <w:sz w:val="24"/>
          <w:szCs w:val="24"/>
        </w:rPr>
      </w:pPr>
    </w:p>
    <w:p w14:paraId="4BA04478" w14:textId="77777777" w:rsidR="00702564" w:rsidRDefault="00702564" w:rsidP="00702564">
      <w:pPr>
        <w:rPr>
          <w:rStyle w:val="Hyperlnk"/>
          <w:sz w:val="24"/>
          <w:szCs w:val="24"/>
        </w:rPr>
      </w:pPr>
      <w:r>
        <w:rPr>
          <w:noProof/>
        </w:rPr>
        <w:drawing>
          <wp:inline distT="0" distB="0" distL="0" distR="0" wp14:anchorId="2E9EE17F" wp14:editId="10831BDB">
            <wp:extent cx="5397335" cy="2259389"/>
            <wp:effectExtent l="0" t="0" r="0" b="7620"/>
            <wp:docPr id="1422915149" name="Bildobjekt 1422915149"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915149" name="Bildobjekt 1422915149" descr="En bild som visar text, skärmbild, Teckensnitt, nummer&#10;&#10;AI-genererat innehåll kan vara felaktigt."/>
                    <pic:cNvPicPr/>
                  </pic:nvPicPr>
                  <pic:blipFill>
                    <a:blip r:embed="rId199"/>
                    <a:stretch>
                      <a:fillRect/>
                    </a:stretch>
                  </pic:blipFill>
                  <pic:spPr>
                    <a:xfrm>
                      <a:off x="0" y="0"/>
                      <a:ext cx="5421599" cy="2269546"/>
                    </a:xfrm>
                    <a:prstGeom prst="rect">
                      <a:avLst/>
                    </a:prstGeom>
                  </pic:spPr>
                </pic:pic>
              </a:graphicData>
            </a:graphic>
          </wp:inline>
        </w:drawing>
      </w:r>
    </w:p>
    <w:p w14:paraId="5E6F926C" w14:textId="77777777" w:rsidR="00702564" w:rsidRPr="000D1B8E" w:rsidRDefault="00702564" w:rsidP="00702564">
      <w:pPr>
        <w:rPr>
          <w:b/>
          <w:bCs/>
          <w:sz w:val="24"/>
          <w:szCs w:val="24"/>
        </w:rPr>
      </w:pPr>
      <w:r w:rsidRPr="000D1B8E">
        <w:rPr>
          <w:b/>
          <w:bCs/>
          <w:sz w:val="24"/>
          <w:szCs w:val="24"/>
        </w:rPr>
        <w:t>Utsättning av opioider</w:t>
      </w:r>
    </w:p>
    <w:p w14:paraId="79512979" w14:textId="77777777" w:rsidR="00702564" w:rsidRDefault="00702564" w:rsidP="00702564">
      <w:pPr>
        <w:rPr>
          <w:sz w:val="24"/>
          <w:szCs w:val="24"/>
        </w:rPr>
      </w:pPr>
      <w:r w:rsidRPr="000D1B8E">
        <w:rPr>
          <w:sz w:val="24"/>
          <w:szCs w:val="24"/>
        </w:rPr>
        <w:t xml:space="preserve">När en längre tids (över cirka 4 veckor) behandling med opioider ska avslutas blir ofta en nedtrappning aktuell då övergående utsättnings- eller abstinenssymptom kan förekomma, </w:t>
      </w:r>
      <w:r>
        <w:rPr>
          <w:sz w:val="24"/>
          <w:szCs w:val="24"/>
        </w:rPr>
        <w:br/>
      </w:r>
      <w:r w:rsidRPr="000D1B8E">
        <w:rPr>
          <w:sz w:val="24"/>
          <w:szCs w:val="24"/>
        </w:rPr>
        <w:t xml:space="preserve">se Fas-ut (NCS Cross/växla/extern applikation). Dessa kan visa sig som ångest, olust och nedstämdhet, eller fysiskt i form av skakighet, svettningar, rinnsnuva, myrkrypningar i benen, diarré, influensaliknande symptom och hjärtklappning. Vid ett utvecklat beroende finns ofta ett samtidigt begär efter läkemedlet. </w:t>
      </w:r>
      <w:r>
        <w:rPr>
          <w:sz w:val="24"/>
          <w:szCs w:val="24"/>
        </w:rPr>
        <w:br/>
      </w:r>
      <w:r w:rsidRPr="000D1B8E">
        <w:rPr>
          <w:sz w:val="24"/>
          <w:szCs w:val="24"/>
        </w:rPr>
        <w:t>Risken för dessa symptom ökar med högre dosering och längre behandlingstid samt individuella faktorer påverkar.</w:t>
      </w:r>
    </w:p>
    <w:p w14:paraId="39B10AE8" w14:textId="77777777" w:rsidR="00702564" w:rsidRDefault="00702564" w:rsidP="00702564">
      <w:pPr>
        <w:tabs>
          <w:tab w:val="clear" w:pos="284"/>
        </w:tabs>
        <w:spacing w:after="120" w:line="260" w:lineRule="atLeast"/>
        <w:rPr>
          <w:sz w:val="24"/>
          <w:szCs w:val="24"/>
        </w:rPr>
      </w:pPr>
      <w:r>
        <w:rPr>
          <w:sz w:val="24"/>
          <w:szCs w:val="24"/>
        </w:rPr>
        <w:br w:type="page"/>
      </w:r>
    </w:p>
    <w:p w14:paraId="57FC3B2D" w14:textId="77777777" w:rsidR="00702564" w:rsidRDefault="00702564" w:rsidP="00702564">
      <w:pPr>
        <w:spacing w:after="120"/>
        <w:rPr>
          <w:sz w:val="24"/>
          <w:szCs w:val="24"/>
        </w:rPr>
      </w:pPr>
      <w:r w:rsidRPr="0060387E">
        <w:rPr>
          <w:rStyle w:val="Rubrik2Char"/>
        </w:rPr>
        <w:lastRenderedPageBreak/>
        <w:t>Cannabinoider</w:t>
      </w:r>
      <w:r w:rsidRPr="0060387E">
        <w:rPr>
          <w:rStyle w:val="Rubrik2Char"/>
        </w:rPr>
        <w:br/>
      </w:r>
      <w:r w:rsidRPr="000D1B8E">
        <w:rPr>
          <w:sz w:val="24"/>
          <w:szCs w:val="24"/>
        </w:rPr>
        <w:t xml:space="preserve">Kunskapen vad gäller effekt och säkerhet för cannabinoider är begränsad och medicinsk användning rekommenderas inte. Risk finns för biverkningar (till exempel hallucinationer), interaktioner och abstinens. Dessutom är kvaliteten på tillverkningen bristfällig och varierande. </w:t>
      </w:r>
      <w:r>
        <w:rPr>
          <w:sz w:val="24"/>
          <w:szCs w:val="24"/>
        </w:rPr>
        <w:br/>
      </w:r>
      <w:r w:rsidRPr="000D1B8E">
        <w:rPr>
          <w:sz w:val="24"/>
          <w:szCs w:val="24"/>
        </w:rPr>
        <w:t>THC omfattas av narkotikalagstiftningen och cannabidiol (CBD) av läkemedelslagstiftningen.</w:t>
      </w:r>
      <w:r w:rsidRPr="000D1B8E">
        <w:rPr>
          <w:rFonts w:cstheme="minorHAnsi"/>
          <w:sz w:val="24"/>
          <w:szCs w:val="24"/>
        </w:rPr>
        <w:br/>
      </w:r>
      <w:r>
        <w:rPr>
          <w:sz w:val="24"/>
          <w:szCs w:val="24"/>
        </w:rPr>
        <w:t xml:space="preserve">Se </w:t>
      </w:r>
      <w:hyperlink r:id="rId200" w:history="1">
        <w:r>
          <w:rPr>
            <w:rStyle w:val="Hyperlnk"/>
          </w:rPr>
          <w:t>Cannabidiol – CBD | Läkemedelsverket (lakemedelsverket.se)</w:t>
        </w:r>
      </w:hyperlink>
      <w:r>
        <w:rPr>
          <w:sz w:val="24"/>
          <w:szCs w:val="24"/>
        </w:rPr>
        <w:t xml:space="preserve"> (2023-09-19)</w:t>
      </w:r>
    </w:p>
    <w:p w14:paraId="0276FF79" w14:textId="77777777" w:rsidR="00702564" w:rsidRPr="0071138D" w:rsidRDefault="00702564" w:rsidP="00702564">
      <w:pPr>
        <w:pStyle w:val="Rubrik2"/>
      </w:pPr>
      <w:r w:rsidRPr="0071138D">
        <w:t xml:space="preserve">Neuropatisk och nociplastisk smärta  </w:t>
      </w:r>
    </w:p>
    <w:p w14:paraId="2A337B6E" w14:textId="77777777" w:rsidR="00702564" w:rsidRPr="000D1B8E" w:rsidRDefault="00702564" w:rsidP="00702564">
      <w:pPr>
        <w:rPr>
          <w:sz w:val="24"/>
          <w:szCs w:val="24"/>
        </w:rPr>
      </w:pPr>
      <w:r w:rsidRPr="000D1B8E">
        <w:rPr>
          <w:sz w:val="24"/>
          <w:szCs w:val="24"/>
        </w:rPr>
        <w:t>Orsakerna till neuropatisk smärta är multipla och inkluderar bland annat diabetes mellitus, postherpes neuralgi och efter stroke. Vid central sensitisering, numera kallat nociplastisk smärta, förekommer en störd smärtmodulering vilket är särskilt uttalad vid fibromyalgi.</w:t>
      </w:r>
      <w:r w:rsidRPr="00960351">
        <w:rPr>
          <w:sz w:val="24"/>
          <w:szCs w:val="24"/>
          <w:vertAlign w:val="superscript"/>
        </w:rPr>
        <w:t>1</w:t>
      </w:r>
    </w:p>
    <w:p w14:paraId="141306D4" w14:textId="77777777" w:rsidR="00702564" w:rsidRPr="000D1B8E" w:rsidRDefault="00702564" w:rsidP="00702564">
      <w:pPr>
        <w:rPr>
          <w:sz w:val="24"/>
          <w:szCs w:val="24"/>
        </w:rPr>
      </w:pPr>
      <w:r w:rsidRPr="000D1B8E">
        <w:rPr>
          <w:sz w:val="24"/>
          <w:szCs w:val="24"/>
        </w:rPr>
        <w:t>Behandlingen av neuropatisk och nociplastisk smärta är likartad men skiljer sig något. Den inkluderar antidepressiva läkemedel såsom amitriptylin, duloxetin och venlafaxin, samt epileptiska läkemedel såsom gabapentin.</w:t>
      </w:r>
      <w:r w:rsidRPr="00960351">
        <w:rPr>
          <w:sz w:val="24"/>
          <w:szCs w:val="24"/>
          <w:vertAlign w:val="superscript"/>
        </w:rPr>
        <w:t>1, 2</w:t>
      </w:r>
      <w:r>
        <w:rPr>
          <w:sz w:val="24"/>
          <w:szCs w:val="24"/>
        </w:rPr>
        <w:t xml:space="preserve"> </w:t>
      </w:r>
      <w:r w:rsidRPr="000D1B8E">
        <w:rPr>
          <w:sz w:val="24"/>
          <w:szCs w:val="24"/>
        </w:rPr>
        <w:t>För perifer neuropatisk smärta, kan gabapentin användas.</w:t>
      </w:r>
      <w:r w:rsidRPr="00960351">
        <w:rPr>
          <w:sz w:val="24"/>
          <w:szCs w:val="24"/>
          <w:vertAlign w:val="superscript"/>
        </w:rPr>
        <w:t>1, 3</w:t>
      </w:r>
      <w:r>
        <w:rPr>
          <w:sz w:val="24"/>
          <w:szCs w:val="24"/>
        </w:rPr>
        <w:t xml:space="preserve"> </w:t>
      </w:r>
      <w:r w:rsidRPr="000D1B8E">
        <w:rPr>
          <w:sz w:val="24"/>
          <w:szCs w:val="24"/>
        </w:rPr>
        <w:t>Dostitreringen kan ta lång tid och ett behandlingsförsök behöver ofta fortsätta i minst 2 månader.</w:t>
      </w:r>
      <w:r w:rsidRPr="00960351">
        <w:rPr>
          <w:sz w:val="24"/>
          <w:szCs w:val="24"/>
          <w:vertAlign w:val="superscript"/>
        </w:rPr>
        <w:t>3</w:t>
      </w:r>
      <w:r w:rsidRPr="000D1B8E">
        <w:rPr>
          <w:sz w:val="24"/>
          <w:szCs w:val="24"/>
        </w:rPr>
        <w:t xml:space="preserve"> Biverkningar inkluderar yrsel och dåsighet och det kan finnas viss risk för beroendeutveckling.</w:t>
      </w:r>
      <w:r w:rsidRPr="00960351">
        <w:rPr>
          <w:sz w:val="24"/>
          <w:szCs w:val="24"/>
          <w:vertAlign w:val="superscript"/>
        </w:rPr>
        <w:t>1, 3</w:t>
      </w:r>
    </w:p>
    <w:p w14:paraId="38F9B1A8" w14:textId="77777777" w:rsidR="00702564" w:rsidRPr="000D1B8E" w:rsidRDefault="00702564" w:rsidP="00702564">
      <w:pPr>
        <w:rPr>
          <w:sz w:val="24"/>
          <w:szCs w:val="24"/>
        </w:rPr>
      </w:pPr>
      <w:r w:rsidRPr="000D1B8E">
        <w:rPr>
          <w:sz w:val="24"/>
          <w:szCs w:val="24"/>
        </w:rPr>
        <w:t xml:space="preserve">Vid nociplastisk smärta, såsom fibromyalgi, är patientutbildning om tillståndet och träningsövningar från fysioterapeut viktiga delar av behandlingen. </w:t>
      </w:r>
    </w:p>
    <w:p w14:paraId="5E214E2D" w14:textId="77777777" w:rsidR="00702564" w:rsidRPr="002C59E1" w:rsidRDefault="00702564" w:rsidP="00702564">
      <w:pPr>
        <w:rPr>
          <w:sz w:val="24"/>
          <w:szCs w:val="24"/>
        </w:rPr>
      </w:pPr>
      <w:r w:rsidRPr="000D1B8E">
        <w:rPr>
          <w:sz w:val="24"/>
          <w:szCs w:val="24"/>
        </w:rPr>
        <w:t xml:space="preserve">Farmakologiskt tillhör tricyckliska antidepressiva, som </w:t>
      </w:r>
      <w:r w:rsidRPr="00B34843">
        <w:rPr>
          <w:bCs/>
          <w:sz w:val="24"/>
          <w:szCs w:val="24"/>
        </w:rPr>
        <w:t>amitriptylin</w:t>
      </w:r>
      <w:r w:rsidRPr="000D1B8E">
        <w:rPr>
          <w:sz w:val="24"/>
          <w:szCs w:val="24"/>
        </w:rPr>
        <w:t>, förstahandsval.</w:t>
      </w:r>
      <w:r w:rsidRPr="00960351">
        <w:rPr>
          <w:sz w:val="24"/>
          <w:szCs w:val="24"/>
          <w:vertAlign w:val="superscript"/>
        </w:rPr>
        <w:t>1, 2</w:t>
      </w:r>
      <w:r>
        <w:rPr>
          <w:sz w:val="24"/>
          <w:szCs w:val="24"/>
        </w:rPr>
        <w:t xml:space="preserve"> </w:t>
      </w:r>
      <w:r>
        <w:rPr>
          <w:sz w:val="24"/>
          <w:szCs w:val="24"/>
        </w:rPr>
        <w:br/>
      </w:r>
      <w:r w:rsidRPr="000D1B8E">
        <w:rPr>
          <w:sz w:val="24"/>
          <w:szCs w:val="24"/>
        </w:rPr>
        <w:t xml:space="preserve">Doseringen är annorlunda än vid depression och en vanlig startdos är 10mg och bör tas till natten då den också kan ha gynnsam effekt på sömnen. Många får effekt redan efter 10-20mg men dosen kan ökas till en maximal dos på 80mg. Det finns individuella skillnader i metaboliseringen vilket gör att doseringen behöver individualiseras med långsamma doshöjningar. Försiktighet vid förskrivning till äldre och hjärtsjuka patienter. Dåsighet, muntorrhet och andra antikolinerga biverkningar är vanliga förekommande och kan </w:t>
      </w:r>
      <w:r w:rsidRPr="002C59E1">
        <w:rPr>
          <w:sz w:val="24"/>
          <w:szCs w:val="24"/>
        </w:rPr>
        <w:t>begränsa möjligheterna till dosökning.</w:t>
      </w:r>
      <w:r w:rsidRPr="002C59E1">
        <w:rPr>
          <w:sz w:val="24"/>
          <w:szCs w:val="24"/>
          <w:vertAlign w:val="superscript"/>
        </w:rPr>
        <w:t>1, 4</w:t>
      </w:r>
      <w:r w:rsidRPr="002C59E1">
        <w:rPr>
          <w:sz w:val="24"/>
          <w:szCs w:val="24"/>
        </w:rPr>
        <w:t xml:space="preserve"> Om den initiala terapin vid fibromyalgi inte har tillräcklig effekt vid utvärdering efter 1-3 månader kan andra preparat provas. </w:t>
      </w:r>
    </w:p>
    <w:p w14:paraId="3EC0ED83" w14:textId="77777777" w:rsidR="00702564" w:rsidRPr="002C59E1" w:rsidRDefault="00702564" w:rsidP="00702564">
      <w:pPr>
        <w:rPr>
          <w:sz w:val="24"/>
          <w:szCs w:val="24"/>
        </w:rPr>
      </w:pPr>
      <w:r w:rsidRPr="00B34843">
        <w:rPr>
          <w:bCs/>
          <w:sz w:val="24"/>
          <w:szCs w:val="24"/>
        </w:rPr>
        <w:t>Duloxetin</w:t>
      </w:r>
      <w:r w:rsidRPr="002C59E1">
        <w:rPr>
          <w:sz w:val="24"/>
          <w:szCs w:val="24"/>
        </w:rPr>
        <w:t xml:space="preserve"> har i meta-analyser visats ha viss effekt.</w:t>
      </w:r>
      <w:r w:rsidRPr="002C59E1">
        <w:rPr>
          <w:sz w:val="24"/>
          <w:szCs w:val="24"/>
          <w:vertAlign w:val="superscript"/>
        </w:rPr>
        <w:t xml:space="preserve">2, 7 </w:t>
      </w:r>
      <w:r w:rsidRPr="002C59E1">
        <w:rPr>
          <w:sz w:val="24"/>
          <w:szCs w:val="24"/>
        </w:rPr>
        <w:t>Vanlig startdos är 20-30mg på morgonen med dosökning till rekommenderad slutdos på 60mg.</w:t>
      </w:r>
    </w:p>
    <w:p w14:paraId="0A649A47" w14:textId="77777777" w:rsidR="00702564" w:rsidRDefault="00702564" w:rsidP="00702564">
      <w:pPr>
        <w:rPr>
          <w:sz w:val="24"/>
          <w:szCs w:val="24"/>
        </w:rPr>
      </w:pPr>
      <w:r w:rsidRPr="002C59E1">
        <w:rPr>
          <w:sz w:val="24"/>
          <w:szCs w:val="24"/>
        </w:rPr>
        <w:t xml:space="preserve">Även </w:t>
      </w:r>
      <w:r w:rsidRPr="00B34843">
        <w:rPr>
          <w:bCs/>
          <w:sz w:val="24"/>
          <w:szCs w:val="24"/>
        </w:rPr>
        <w:t>pregabalin</w:t>
      </w:r>
      <w:r w:rsidRPr="002C59E1">
        <w:rPr>
          <w:b/>
          <w:sz w:val="24"/>
          <w:szCs w:val="24"/>
        </w:rPr>
        <w:t xml:space="preserve"> </w:t>
      </w:r>
      <w:r w:rsidRPr="002C59E1">
        <w:rPr>
          <w:sz w:val="24"/>
          <w:szCs w:val="24"/>
        </w:rPr>
        <w:t>har viss evidens för användning hos patienter med fibromyalgi.</w:t>
      </w:r>
      <w:r w:rsidRPr="002C59E1">
        <w:rPr>
          <w:sz w:val="24"/>
          <w:szCs w:val="24"/>
          <w:vertAlign w:val="superscript"/>
        </w:rPr>
        <w:t>6, 7</w:t>
      </w:r>
      <w:r w:rsidRPr="002C59E1">
        <w:rPr>
          <w:sz w:val="24"/>
          <w:szCs w:val="24"/>
        </w:rPr>
        <w:t xml:space="preserve"> </w:t>
      </w:r>
      <w:r>
        <w:rPr>
          <w:sz w:val="24"/>
          <w:szCs w:val="24"/>
        </w:rPr>
        <w:br/>
      </w:r>
      <w:r w:rsidRPr="002C59E1">
        <w:rPr>
          <w:sz w:val="24"/>
          <w:szCs w:val="24"/>
        </w:rPr>
        <w:t xml:space="preserve">Preparatet är dock numera narkotikaklassat. Observera att de olika preparaten har stor prisvariation och ej är utbytbara på apotek på grund av epilepsiindikation. Terapigruppen har därför valt att rekommendera generikapreparatet </w:t>
      </w:r>
      <w:r w:rsidRPr="00B34843">
        <w:rPr>
          <w:bCs/>
          <w:sz w:val="24"/>
          <w:szCs w:val="24"/>
        </w:rPr>
        <w:t>Pregabalin Orion</w:t>
      </w:r>
      <w:r w:rsidRPr="002C59E1">
        <w:rPr>
          <w:sz w:val="24"/>
          <w:szCs w:val="24"/>
        </w:rPr>
        <w:t xml:space="preserve"> efter bedömning av pris, leveranssäkerhet och produktbredd.</w:t>
      </w:r>
      <w:r w:rsidRPr="000D1B8E">
        <w:rPr>
          <w:sz w:val="24"/>
          <w:szCs w:val="24"/>
        </w:rPr>
        <w:t xml:space="preserve"> Välj därför vid förskrivning i första hand rekommenderat preparat.</w:t>
      </w:r>
    </w:p>
    <w:p w14:paraId="507F478B" w14:textId="77777777" w:rsidR="00702564" w:rsidRDefault="00702564" w:rsidP="00702564">
      <w:pPr>
        <w:tabs>
          <w:tab w:val="clear" w:pos="284"/>
        </w:tabs>
        <w:spacing w:after="120" w:line="260" w:lineRule="atLeast"/>
        <w:rPr>
          <w:sz w:val="24"/>
          <w:szCs w:val="24"/>
        </w:rPr>
      </w:pPr>
      <w:r>
        <w:rPr>
          <w:sz w:val="24"/>
          <w:szCs w:val="24"/>
        </w:rPr>
        <w:br w:type="page"/>
      </w:r>
    </w:p>
    <w:p w14:paraId="3DE890B7" w14:textId="77777777" w:rsidR="00702564" w:rsidRPr="008A792B" w:rsidRDefault="00702564" w:rsidP="00702564">
      <w:pPr>
        <w:pStyle w:val="Rubrik2"/>
      </w:pPr>
      <w:r w:rsidRPr="008A792B">
        <w:lastRenderedPageBreak/>
        <w:t>Referenser</w:t>
      </w:r>
    </w:p>
    <w:p w14:paraId="1E048191" w14:textId="77777777" w:rsidR="00702564" w:rsidRPr="00644CB4" w:rsidRDefault="00702564" w:rsidP="00702564">
      <w:pPr>
        <w:pStyle w:val="Liststycke"/>
        <w:numPr>
          <w:ilvl w:val="0"/>
          <w:numId w:val="32"/>
        </w:numPr>
        <w:contextualSpacing/>
        <w:rPr>
          <w:sz w:val="24"/>
          <w:szCs w:val="24"/>
          <w:lang w:val="en-US"/>
        </w:rPr>
      </w:pPr>
      <w:r w:rsidRPr="00644CB4">
        <w:rPr>
          <w:sz w:val="24"/>
          <w:szCs w:val="24"/>
        </w:rPr>
        <w:t xml:space="preserve">Läkemedelsbehandling av långvarig smärta hos barn och vuxna – behandlingsrekommendation. </w:t>
      </w:r>
      <w:r w:rsidRPr="00644CB4">
        <w:rPr>
          <w:sz w:val="24"/>
          <w:szCs w:val="24"/>
          <w:lang w:val="en-US"/>
        </w:rPr>
        <w:t>Information från Läkemedelsverket 2017;28(3):23–53.</w:t>
      </w:r>
    </w:p>
    <w:p w14:paraId="2DEB5D49" w14:textId="77777777" w:rsidR="00702564" w:rsidRPr="00644CB4" w:rsidRDefault="00702564" w:rsidP="00702564">
      <w:pPr>
        <w:pStyle w:val="Liststycke"/>
        <w:rPr>
          <w:sz w:val="24"/>
          <w:szCs w:val="24"/>
        </w:rPr>
      </w:pPr>
      <w:hyperlink r:id="rId201" w:history="1">
        <w:r w:rsidRPr="00644CB4">
          <w:rPr>
            <w:rStyle w:val="Hyperlnk"/>
            <w:sz w:val="24"/>
            <w:szCs w:val="24"/>
          </w:rPr>
          <w:t>Läkemedel vid långvarig smärta hos barn och vuxna – behandlings</w:t>
        </w:r>
        <w:r w:rsidRPr="00644CB4">
          <w:rPr>
            <w:rStyle w:val="Hyperlnk"/>
            <w:sz w:val="24"/>
            <w:szCs w:val="24"/>
          </w:rPr>
          <w:softHyphen/>
          <w:t>rekommendation | Läkemedelsverket (lakemedelsverket.se)</w:t>
        </w:r>
      </w:hyperlink>
    </w:p>
    <w:p w14:paraId="3966898B" w14:textId="77777777" w:rsidR="00702564" w:rsidRPr="00644CB4" w:rsidRDefault="00702564" w:rsidP="00702564">
      <w:pPr>
        <w:pStyle w:val="Liststycke"/>
        <w:numPr>
          <w:ilvl w:val="0"/>
          <w:numId w:val="32"/>
        </w:numPr>
        <w:contextualSpacing/>
        <w:rPr>
          <w:sz w:val="24"/>
          <w:szCs w:val="24"/>
          <w:lang w:val="en-GB"/>
        </w:rPr>
      </w:pPr>
      <w:r w:rsidRPr="00644CB4">
        <w:rPr>
          <w:sz w:val="24"/>
          <w:szCs w:val="24"/>
          <w:lang w:val="en-US"/>
        </w:rPr>
        <w:t>Clauw DJ Fibromyalgia: A clinical review JAMA. 2014;311(15):1547.</w:t>
      </w:r>
    </w:p>
    <w:p w14:paraId="2DB77309" w14:textId="77777777" w:rsidR="00702564" w:rsidRPr="00644CB4" w:rsidRDefault="00702564" w:rsidP="00702564">
      <w:pPr>
        <w:pStyle w:val="Liststycke"/>
        <w:numPr>
          <w:ilvl w:val="0"/>
          <w:numId w:val="32"/>
        </w:numPr>
        <w:contextualSpacing/>
        <w:rPr>
          <w:sz w:val="24"/>
          <w:szCs w:val="24"/>
          <w:lang w:val="en-US"/>
        </w:rPr>
      </w:pPr>
      <w:r w:rsidRPr="00644CB4">
        <w:rPr>
          <w:sz w:val="24"/>
          <w:szCs w:val="24"/>
          <w:lang w:val="en-US"/>
        </w:rPr>
        <w:t xml:space="preserve">O'Connor AB, Dworkin RH  Treatment of neuropathic pain: an overview of recent guidelines. </w:t>
      </w:r>
      <w:r w:rsidRPr="00644CB4">
        <w:rPr>
          <w:sz w:val="24"/>
          <w:szCs w:val="24"/>
        </w:rPr>
        <w:t>Am J Med. 2009;122(10 Suppl):S22</w:t>
      </w:r>
    </w:p>
    <w:p w14:paraId="71C4FC6E" w14:textId="77777777" w:rsidR="00702564" w:rsidRPr="00644CB4" w:rsidRDefault="00702564" w:rsidP="00702564">
      <w:pPr>
        <w:pStyle w:val="Liststycke"/>
        <w:numPr>
          <w:ilvl w:val="0"/>
          <w:numId w:val="32"/>
        </w:numPr>
        <w:contextualSpacing/>
        <w:rPr>
          <w:sz w:val="24"/>
          <w:szCs w:val="24"/>
          <w:lang w:val="en-US"/>
        </w:rPr>
      </w:pPr>
      <w:r w:rsidRPr="00644CB4">
        <w:rPr>
          <w:sz w:val="24"/>
          <w:szCs w:val="24"/>
        </w:rPr>
        <w:t xml:space="preserve">Socialstyrelsen. Indikatorer för god läkemedelsterapi hos äldre. </w:t>
      </w:r>
      <w:r w:rsidRPr="00644CB4">
        <w:rPr>
          <w:sz w:val="24"/>
          <w:szCs w:val="24"/>
          <w:lang w:val="en-US"/>
        </w:rPr>
        <w:t xml:space="preserve">2017. </w:t>
      </w:r>
      <w:hyperlink r:id="rId202" w:history="1">
        <w:r w:rsidRPr="00644CB4">
          <w:rPr>
            <w:rStyle w:val="Hyperlnk"/>
            <w:sz w:val="24"/>
            <w:szCs w:val="24"/>
            <w:lang w:val="en-US"/>
          </w:rPr>
          <w:t>http://www.socialstyrelsen.se/Lists/Artikelkatalog/Attachments/20644/2017-6-7.pdf</w:t>
        </w:r>
      </w:hyperlink>
    </w:p>
    <w:p w14:paraId="2D14F1D6" w14:textId="77777777" w:rsidR="00702564" w:rsidRPr="00644CB4" w:rsidRDefault="00702564" w:rsidP="00702564">
      <w:pPr>
        <w:pStyle w:val="Liststycke"/>
        <w:numPr>
          <w:ilvl w:val="0"/>
          <w:numId w:val="32"/>
        </w:numPr>
        <w:contextualSpacing/>
        <w:rPr>
          <w:sz w:val="24"/>
          <w:szCs w:val="24"/>
          <w:lang w:val="en-US"/>
        </w:rPr>
      </w:pPr>
      <w:r w:rsidRPr="00644CB4">
        <w:rPr>
          <w:sz w:val="24"/>
          <w:szCs w:val="24"/>
          <w:lang w:val="en-US"/>
        </w:rPr>
        <w:t>Lunn MP, Hughes RA, Wiffen PJ Duloxetine for treating painful neuropathy, chronic pain or fibromyalgia.  Cochrane Database Syst Rev. 2014</w:t>
      </w:r>
    </w:p>
    <w:p w14:paraId="178E6B8C" w14:textId="77777777" w:rsidR="00702564" w:rsidRDefault="00702564" w:rsidP="00702564">
      <w:pPr>
        <w:pStyle w:val="Liststycke"/>
        <w:numPr>
          <w:ilvl w:val="0"/>
          <w:numId w:val="32"/>
        </w:numPr>
        <w:contextualSpacing/>
        <w:rPr>
          <w:sz w:val="24"/>
          <w:szCs w:val="24"/>
          <w:lang w:val="en-US"/>
        </w:rPr>
      </w:pPr>
      <w:r w:rsidRPr="00644CB4">
        <w:rPr>
          <w:sz w:val="24"/>
          <w:szCs w:val="24"/>
          <w:lang w:val="en-US"/>
        </w:rPr>
        <w:t xml:space="preserve">Derry S et al, Pregabalin for pain in fibromyalgia in adults, Cochrane Database Syst Rev. 2016;9:CD011790. </w:t>
      </w:r>
    </w:p>
    <w:p w14:paraId="4DC0944E" w14:textId="77777777" w:rsidR="00702564" w:rsidRPr="002C59E1" w:rsidRDefault="00702564" w:rsidP="00702564">
      <w:pPr>
        <w:pStyle w:val="Liststycke"/>
        <w:numPr>
          <w:ilvl w:val="0"/>
          <w:numId w:val="32"/>
        </w:numPr>
        <w:contextualSpacing/>
        <w:rPr>
          <w:sz w:val="24"/>
          <w:szCs w:val="24"/>
          <w:lang w:val="en-US"/>
        </w:rPr>
      </w:pPr>
      <w:r w:rsidRPr="002C59E1">
        <w:rPr>
          <w:sz w:val="24"/>
          <w:szCs w:val="24"/>
        </w:rPr>
        <w:t xml:space="preserve">SBU. Behandling och rehabilitering vid fibromyalgia. </w:t>
      </w:r>
      <w:r>
        <w:rPr>
          <w:sz w:val="24"/>
          <w:szCs w:val="24"/>
        </w:rPr>
        <w:br/>
      </w:r>
      <w:r w:rsidRPr="002C59E1">
        <w:rPr>
          <w:sz w:val="24"/>
          <w:szCs w:val="24"/>
        </w:rPr>
        <w:t xml:space="preserve">En systematisk översikt och utvärdering av effekter på hälsa; 2021. </w:t>
      </w:r>
      <w:r w:rsidRPr="002C59E1">
        <w:rPr>
          <w:sz w:val="24"/>
          <w:szCs w:val="24"/>
          <w:lang w:val="en-US"/>
        </w:rPr>
        <w:t xml:space="preserve">SBU utvärderar 340. </w:t>
      </w:r>
    </w:p>
    <w:p w14:paraId="700641E2" w14:textId="77777777" w:rsidR="00702564" w:rsidRPr="009132E1" w:rsidRDefault="00702564" w:rsidP="00702564">
      <w:pPr>
        <w:rPr>
          <w:lang w:val="en-US"/>
        </w:rPr>
      </w:pPr>
    </w:p>
    <w:p w14:paraId="3B1A7B3B" w14:textId="77777777" w:rsidR="00702564" w:rsidRPr="00D741AC" w:rsidRDefault="00702564" w:rsidP="00702564">
      <w:pPr>
        <w:pStyle w:val="Rubrik2"/>
      </w:pPr>
      <w:r w:rsidRPr="00D741AC">
        <w:t xml:space="preserve">Cancerrelaterad smärta </w:t>
      </w:r>
    </w:p>
    <w:p w14:paraId="619948F7" w14:textId="0943C13C" w:rsidR="00702564" w:rsidRPr="0095242E" w:rsidRDefault="00702564" w:rsidP="0095242E">
      <w:pPr>
        <w:tabs>
          <w:tab w:val="left" w:pos="1304"/>
        </w:tabs>
        <w:spacing w:after="160" w:line="256" w:lineRule="auto"/>
        <w:rPr>
          <w:b/>
          <w:sz w:val="24"/>
          <w:szCs w:val="24"/>
        </w:rPr>
      </w:pPr>
      <w:r w:rsidRPr="000D1B8E">
        <w:rPr>
          <w:sz w:val="24"/>
          <w:szCs w:val="24"/>
        </w:rPr>
        <w:t>Smärtanalysen skiljer sig inte mycket från smärta med andra orsaker (se ovan). Cancersmärta är dock ofta multifaktoriell varför smärtanalysen måste ta hänsyn till andra faktorer som orsakar smärta såsom psykiska besvär, tex ångest och depression, vilket ofta är underdiagnostiserat. Existentiellt lidande kan förekomma vilket också kan påverka smärttillståndet - tänk på kuratorkontakt. Allt detta samlat påverkar hur patienten svarar på behandling av smärta.</w:t>
      </w:r>
      <w:r w:rsidR="0095242E">
        <w:rPr>
          <w:b/>
          <w:sz w:val="24"/>
          <w:szCs w:val="24"/>
        </w:rPr>
        <w:t xml:space="preserve"> </w:t>
      </w:r>
      <w:r w:rsidR="0095242E">
        <w:rPr>
          <w:b/>
          <w:sz w:val="24"/>
          <w:szCs w:val="24"/>
        </w:rPr>
        <w:br/>
      </w:r>
      <w:r w:rsidRPr="000D1B8E">
        <w:rPr>
          <w:sz w:val="24"/>
          <w:szCs w:val="24"/>
        </w:rPr>
        <w:t xml:space="preserve">Basen i farmakologisk smärtbehandling vid cancersjukdom är opioidpreparat. Ofta behöver man kombinera med preparat med annan verkningsmekanism – tilläggsbehandling – för optimal effekt och minimerande biverkningar. Vid otillräcklig smärtlindring eller oacceptabla biverkningar bör smärtläkare, anestesiolog eller palliativmedicinsk specialist tillfrågas. Se även ”Dosering i livets slutskede” i reklistan. Kontakt kan tas med palliativa enheten för hjälp och råd vid svår smärta hos patienter med allvarliga livshotande sjukdomar. Detta innebär inte bara cancerpatienter, men också till exempel patienter med kroniskt njursviktstadium 4-5, KOL stadium 4-5, patienter med motoneuron sjukdomar, hjärtsvikt stadium 4, eller andra kroniska livshotande sjukdomar. Kontakt tas via remiss, men också via telefon. </w:t>
      </w:r>
    </w:p>
    <w:p w14:paraId="509117B4" w14:textId="77777777" w:rsidR="00702564" w:rsidRPr="007B6699" w:rsidRDefault="00702564" w:rsidP="00702564">
      <w:pPr>
        <w:pStyle w:val="Rubrik4"/>
        <w:rPr>
          <w:sz w:val="24"/>
          <w:szCs w:val="24"/>
        </w:rPr>
      </w:pPr>
      <w:r w:rsidRPr="007B6699">
        <w:rPr>
          <w:sz w:val="24"/>
          <w:szCs w:val="24"/>
        </w:rPr>
        <w:t>Opioidbehandling vid cancersmärta</w:t>
      </w:r>
    </w:p>
    <w:p w14:paraId="69473B6A" w14:textId="77777777" w:rsidR="00702564" w:rsidRPr="000D1B8E" w:rsidRDefault="00702564" w:rsidP="00702564">
      <w:pPr>
        <w:rPr>
          <w:sz w:val="24"/>
          <w:szCs w:val="24"/>
        </w:rPr>
      </w:pPr>
      <w:r w:rsidRPr="000D1B8E">
        <w:rPr>
          <w:sz w:val="24"/>
          <w:szCs w:val="24"/>
        </w:rPr>
        <w:t>(Se avsnitt Opioider och Konverteringstabell för starka opioider ovan)</w:t>
      </w:r>
    </w:p>
    <w:p w14:paraId="6CBF4857" w14:textId="77777777" w:rsidR="00702564" w:rsidRDefault="00702564" w:rsidP="00702564">
      <w:pPr>
        <w:rPr>
          <w:sz w:val="24"/>
          <w:szCs w:val="24"/>
        </w:rPr>
      </w:pPr>
      <w:r w:rsidRPr="000D1B8E">
        <w:rPr>
          <w:sz w:val="24"/>
          <w:szCs w:val="24"/>
        </w:rPr>
        <w:t xml:space="preserve">Svaga opioider rekommenderas som regel inte då de har jämförbara biverkningar med starka opioider och dessutom har ett dostak. Förstahandspreparat är </w:t>
      </w:r>
      <w:r w:rsidRPr="00B34843">
        <w:rPr>
          <w:bCs/>
          <w:sz w:val="24"/>
          <w:szCs w:val="24"/>
        </w:rPr>
        <w:t>morfin</w:t>
      </w:r>
      <w:r w:rsidRPr="000D1B8E">
        <w:rPr>
          <w:sz w:val="24"/>
          <w:szCs w:val="24"/>
        </w:rPr>
        <w:t xml:space="preserve"> p.g.a. priset och den goda dokumentationen. </w:t>
      </w:r>
    </w:p>
    <w:p w14:paraId="014734F5" w14:textId="77777777" w:rsidR="00702564" w:rsidRDefault="00702564" w:rsidP="00702564">
      <w:pPr>
        <w:tabs>
          <w:tab w:val="clear" w:pos="284"/>
        </w:tabs>
        <w:spacing w:after="120" w:line="260" w:lineRule="atLeast"/>
        <w:rPr>
          <w:sz w:val="24"/>
          <w:szCs w:val="24"/>
        </w:rPr>
      </w:pPr>
      <w:r>
        <w:rPr>
          <w:sz w:val="24"/>
          <w:szCs w:val="24"/>
        </w:rPr>
        <w:br w:type="page"/>
      </w:r>
    </w:p>
    <w:p w14:paraId="23C75E84" w14:textId="77777777" w:rsidR="00702564" w:rsidRPr="007B6699" w:rsidRDefault="00702564" w:rsidP="00702564">
      <w:pPr>
        <w:rPr>
          <w:rStyle w:val="Rubrik4Char"/>
          <w:sz w:val="24"/>
          <w:szCs w:val="24"/>
        </w:rPr>
      </w:pPr>
      <w:r w:rsidRPr="007B6699">
        <w:rPr>
          <w:rStyle w:val="Rubrik4Char"/>
          <w:sz w:val="24"/>
          <w:szCs w:val="24"/>
        </w:rPr>
        <w:lastRenderedPageBreak/>
        <w:t>Tilläggsbehandling</w:t>
      </w:r>
    </w:p>
    <w:p w14:paraId="3281BAAF" w14:textId="77777777" w:rsidR="00702564" w:rsidRPr="000D1B8E" w:rsidRDefault="00702564" w:rsidP="00702564">
      <w:pPr>
        <w:rPr>
          <w:sz w:val="24"/>
          <w:szCs w:val="24"/>
        </w:rPr>
      </w:pPr>
      <w:r w:rsidRPr="00B34843">
        <w:rPr>
          <w:bCs/>
          <w:sz w:val="24"/>
          <w:szCs w:val="24"/>
        </w:rPr>
        <w:t>Paracetamol</w:t>
      </w:r>
      <w:r w:rsidRPr="000D1B8E">
        <w:rPr>
          <w:sz w:val="24"/>
          <w:szCs w:val="24"/>
        </w:rPr>
        <w:t xml:space="preserve"> kan ha sin plats i behandling av cancerrelaterad smärta även om patienten står på höga opioiddoser. Om patienten har stått på paracetamol innan opioid introducerades och haft effekt talar det för att det kan ha en fortsatt effekt. Utvärdera och omvärdera!</w:t>
      </w:r>
    </w:p>
    <w:p w14:paraId="35E38A8D" w14:textId="77777777" w:rsidR="00702564" w:rsidRDefault="00702564" w:rsidP="00702564">
      <w:pPr>
        <w:rPr>
          <w:sz w:val="24"/>
          <w:szCs w:val="24"/>
        </w:rPr>
      </w:pPr>
      <w:r w:rsidRPr="000D1B8E">
        <w:rPr>
          <w:sz w:val="24"/>
          <w:szCs w:val="24"/>
        </w:rPr>
        <w:t xml:space="preserve">Ibland har patienten nytta av paracetamol vid behov vid annan smärta än den direkt cancerrelaterade t.ex. huvudvärk eller tandvärk. Levermetastasering per se är inget hinder för paracetamol om leverfunktionen är bra. </w:t>
      </w:r>
    </w:p>
    <w:p w14:paraId="7547238A" w14:textId="77777777" w:rsidR="00702564" w:rsidRPr="007B6699" w:rsidRDefault="00702564" w:rsidP="00702564">
      <w:pPr>
        <w:pStyle w:val="Rubrik4"/>
        <w:rPr>
          <w:rFonts w:cs="Times New Roman"/>
          <w:sz w:val="24"/>
          <w:szCs w:val="24"/>
        </w:rPr>
      </w:pPr>
      <w:r w:rsidRPr="007B6699">
        <w:rPr>
          <w:sz w:val="24"/>
          <w:szCs w:val="24"/>
        </w:rPr>
        <w:t>NSAID/COX-hämmare</w:t>
      </w:r>
    </w:p>
    <w:p w14:paraId="452B6543" w14:textId="77777777" w:rsidR="00702564" w:rsidRPr="000D1B8E" w:rsidRDefault="00702564" w:rsidP="00702564">
      <w:pPr>
        <w:rPr>
          <w:sz w:val="24"/>
          <w:szCs w:val="24"/>
        </w:rPr>
      </w:pPr>
      <w:r w:rsidRPr="000D1B8E">
        <w:rPr>
          <w:sz w:val="24"/>
          <w:szCs w:val="24"/>
        </w:rPr>
        <w:t xml:space="preserve">Finns en inflammatorisk komponent i smärtan t.ex. vid smärtande skelettmetastaser, eller smärta från spänd leverkapsel har ofta dessa preparat mycket god effekt. Utöver behandlingsrekommendationer för NSAID (se avsnitt för NSAID ovan) kan det vid cancer finnas indikation för att använda även andra preparat såsom Toradol (ketorolak) och Dynastat (parecoxib) (respektera TLVs begränsade förmån för subvention). Toradol är en icke selektiv cox-hämmare som kan användas sc eller iv 15-30 mg 2-3 gånger per dag. Preparatet är starkare än andra NSAID, risk för magskada (använd PPI preventivt) vid användning längre än 2 dagar. I en palliativ situation kan det vara lämpligt att fortsätta behandling längre än 2 dagar för att prioritera smärtlindring. Förutom att fungera på akut smärta kan den användas för att testa om en smärta svarar på NSAID för att då övergå till en underhållsbehandling med NSAID peroralt. </w:t>
      </w:r>
    </w:p>
    <w:p w14:paraId="2CD88632" w14:textId="77777777" w:rsidR="00702564" w:rsidRPr="000D1B8E" w:rsidRDefault="00702564" w:rsidP="00702564">
      <w:pPr>
        <w:rPr>
          <w:rFonts w:cstheme="minorHAnsi"/>
          <w:b/>
          <w:sz w:val="24"/>
          <w:szCs w:val="24"/>
        </w:rPr>
      </w:pPr>
      <w:r w:rsidRPr="000D1B8E">
        <w:rPr>
          <w:sz w:val="24"/>
          <w:szCs w:val="24"/>
        </w:rPr>
        <w:t xml:space="preserve">Om risk för magskada är hög kan Dynastat 20-40 mg iv 1-2 gånger per dag vara ett alternativ. </w:t>
      </w:r>
      <w:r>
        <w:rPr>
          <w:sz w:val="24"/>
          <w:szCs w:val="24"/>
        </w:rPr>
        <w:br/>
      </w:r>
      <w:r w:rsidRPr="000D1B8E">
        <w:rPr>
          <w:sz w:val="24"/>
          <w:szCs w:val="24"/>
        </w:rPr>
        <w:t>Dynastat är ekvipotent med Toradol. Det är en selektiv cox-2 hämmare som har lägre risk för blödning.  Toradol kan administreras sc, iv eller im. Toradol har ingen indikation för sc adm men används ofta för dessa patienter ”off-label ”.</w:t>
      </w:r>
      <w:r>
        <w:rPr>
          <w:sz w:val="24"/>
          <w:szCs w:val="24"/>
        </w:rPr>
        <w:t xml:space="preserve"> </w:t>
      </w:r>
      <w:r w:rsidRPr="000D1B8E">
        <w:rPr>
          <w:sz w:val="24"/>
          <w:szCs w:val="24"/>
        </w:rPr>
        <w:t>Använd inte i samma nål som andra läkemedel pga. vävnadsretande.</w:t>
      </w:r>
    </w:p>
    <w:p w14:paraId="09A0F140" w14:textId="77777777" w:rsidR="00702564" w:rsidRPr="007B6699" w:rsidRDefault="00702564" w:rsidP="00702564">
      <w:pPr>
        <w:pStyle w:val="Rubrik4"/>
        <w:rPr>
          <w:sz w:val="24"/>
          <w:szCs w:val="24"/>
        </w:rPr>
      </w:pPr>
      <w:r w:rsidRPr="007B6699">
        <w:rPr>
          <w:sz w:val="24"/>
          <w:szCs w:val="24"/>
        </w:rPr>
        <w:t>Kortison</w:t>
      </w:r>
    </w:p>
    <w:p w14:paraId="7E53E9DB" w14:textId="77777777" w:rsidR="00702564" w:rsidRDefault="00702564" w:rsidP="00702564">
      <w:pPr>
        <w:rPr>
          <w:sz w:val="24"/>
          <w:szCs w:val="24"/>
        </w:rPr>
      </w:pPr>
      <w:r w:rsidRPr="000D1B8E">
        <w:rPr>
          <w:sz w:val="24"/>
          <w:szCs w:val="24"/>
        </w:rPr>
        <w:t xml:space="preserve">Förutom andra positiva effekter som ökad aptit, uppiggande etc har kortison en tilläggseffekt på viss smärta. Såväl skelettsmärta, leversmärta, huvudvärk p.g.a. ökat intracraniellt tryck och visceral smärta från bukorgan svarar kortison som också har en plats vid i alla fall kortsiktig behandling av neuropatisk smärta. Beakta dock kortisonbiverkningarna där framför allt muskelsvaghet, skör hud och osteoporos är de biverkningar som på sikt kan ställa till det för patienten. Eftersträva alltid uttitrering till lägsta effektiva dos. Kortisoner kan ofta ses som en snabb hjälp mot smärta i avvaktan på att andra mer långsamverkande smärtstillande åtgärder/preparat har effekt. T.ex. strålning eller medel mot neuropatisk smärta. Betapred är det som används mest och peroral dos som nästan alltid är möjlig motsvarar samma dos i injektionsform. Bör tas i en dos på morgonen. Vanlig dos for cancerrelaterad smärta är 4-8 mg per dag. </w:t>
      </w:r>
    </w:p>
    <w:p w14:paraId="743F6CF1" w14:textId="77777777" w:rsidR="00702564" w:rsidRPr="007B6699" w:rsidRDefault="00702564" w:rsidP="00702564">
      <w:pPr>
        <w:pStyle w:val="Rubrik4"/>
        <w:rPr>
          <w:sz w:val="24"/>
          <w:szCs w:val="24"/>
        </w:rPr>
      </w:pPr>
      <w:r w:rsidRPr="007B6699">
        <w:rPr>
          <w:sz w:val="24"/>
          <w:szCs w:val="24"/>
        </w:rPr>
        <w:t>Medel vid visceral smärta</w:t>
      </w:r>
    </w:p>
    <w:p w14:paraId="40435974" w14:textId="77777777" w:rsidR="00702564" w:rsidRDefault="00702564" w:rsidP="00702564">
      <w:pPr>
        <w:rPr>
          <w:sz w:val="24"/>
          <w:szCs w:val="24"/>
        </w:rPr>
      </w:pPr>
      <w:r w:rsidRPr="000D1B8E">
        <w:rPr>
          <w:sz w:val="24"/>
          <w:szCs w:val="24"/>
        </w:rPr>
        <w:t xml:space="preserve">Smärta från kroppens hålorgan svarar inte sällan bara delvis på opioid. Kramp i gallgång och tarm kan lindras väl med Buscopan eller Robinul injektion (finns i kommunala förråd). </w:t>
      </w:r>
    </w:p>
    <w:p w14:paraId="72CB9360" w14:textId="77777777" w:rsidR="00702564" w:rsidRDefault="00702564" w:rsidP="00702564">
      <w:pPr>
        <w:tabs>
          <w:tab w:val="clear" w:pos="284"/>
        </w:tabs>
        <w:spacing w:after="120" w:line="260" w:lineRule="atLeast"/>
        <w:rPr>
          <w:sz w:val="24"/>
          <w:szCs w:val="24"/>
        </w:rPr>
      </w:pPr>
      <w:r>
        <w:rPr>
          <w:sz w:val="24"/>
          <w:szCs w:val="24"/>
        </w:rPr>
        <w:br w:type="page"/>
      </w:r>
    </w:p>
    <w:p w14:paraId="06E1BAB9" w14:textId="77777777" w:rsidR="00702564" w:rsidRPr="007B6699" w:rsidRDefault="00702564" w:rsidP="00702564">
      <w:pPr>
        <w:pStyle w:val="Rubrik4"/>
        <w:rPr>
          <w:sz w:val="24"/>
          <w:szCs w:val="24"/>
        </w:rPr>
      </w:pPr>
      <w:r w:rsidRPr="007B6699">
        <w:rPr>
          <w:sz w:val="24"/>
          <w:szCs w:val="24"/>
        </w:rPr>
        <w:lastRenderedPageBreak/>
        <w:t>Medel vid neuropatisk smärta</w:t>
      </w:r>
    </w:p>
    <w:p w14:paraId="1CC4ED9A" w14:textId="77777777" w:rsidR="00702564" w:rsidRDefault="00702564" w:rsidP="00702564">
      <w:pPr>
        <w:rPr>
          <w:sz w:val="24"/>
          <w:szCs w:val="24"/>
        </w:rPr>
      </w:pPr>
      <w:r w:rsidRPr="000D1B8E">
        <w:rPr>
          <w:sz w:val="24"/>
          <w:szCs w:val="24"/>
        </w:rPr>
        <w:t xml:space="preserve">Det är vanligt med neuropatisk smärta vid cancersjukdom (se avsnitt för neuropatisk smärta ovan). Ofta föreligger det blandsmärta. Om patienten trots ökade doser opioid inte blir smärtfri är det också ofta en vink om att det finns en annan smärtmekanism. Som regel krävs en tids behandling innan effekt ses. </w:t>
      </w:r>
    </w:p>
    <w:p w14:paraId="49DBEEBB" w14:textId="77777777" w:rsidR="00702564" w:rsidRPr="003E422F" w:rsidRDefault="00702564" w:rsidP="00702564">
      <w:pPr>
        <w:pStyle w:val="Rubrik2"/>
      </w:pPr>
      <w:r>
        <w:t>Referenser och v</w:t>
      </w:r>
      <w:r w:rsidRPr="003E422F">
        <w:t>idare läsning</w:t>
      </w:r>
    </w:p>
    <w:p w14:paraId="15626835" w14:textId="77777777" w:rsidR="00702564" w:rsidRPr="0086675D" w:rsidRDefault="00702564" w:rsidP="00702564">
      <w:pPr>
        <w:rPr>
          <w:sz w:val="24"/>
          <w:szCs w:val="24"/>
        </w:rPr>
      </w:pPr>
      <w:r w:rsidRPr="0086675D">
        <w:rPr>
          <w:sz w:val="24"/>
          <w:szCs w:val="24"/>
        </w:rPr>
        <w:t>Läkemedelsboken.se, Smärta, Palliativ vård</w:t>
      </w:r>
    </w:p>
    <w:p w14:paraId="7B447EC9" w14:textId="77777777" w:rsidR="00702564" w:rsidRPr="00644CB4" w:rsidRDefault="00702564" w:rsidP="00702564">
      <w:pPr>
        <w:rPr>
          <w:sz w:val="24"/>
          <w:szCs w:val="24"/>
        </w:rPr>
      </w:pPr>
      <w:r w:rsidRPr="0086675D">
        <w:rPr>
          <w:sz w:val="24"/>
          <w:szCs w:val="24"/>
        </w:rPr>
        <w:t xml:space="preserve">Läkemedelsverket. Smärtlindring i livets slutskede. 2010. </w:t>
      </w:r>
      <w:r>
        <w:rPr>
          <w:sz w:val="24"/>
          <w:szCs w:val="24"/>
        </w:rPr>
        <w:br/>
      </w:r>
      <w:hyperlink r:id="rId203" w:history="1">
        <w:r w:rsidRPr="0086675D">
          <w:rPr>
            <w:rStyle w:val="Hyperlnk"/>
            <w:color w:val="0070C0"/>
            <w:sz w:val="24"/>
            <w:szCs w:val="24"/>
          </w:rPr>
          <w:t>Läkemedel vid smärta i livets slutskede – behandlings</w:t>
        </w:r>
        <w:r w:rsidRPr="0086675D">
          <w:rPr>
            <w:rStyle w:val="Hyperlnk"/>
            <w:color w:val="0070C0"/>
            <w:sz w:val="24"/>
            <w:szCs w:val="24"/>
          </w:rPr>
          <w:softHyphen/>
          <w:t>rekommendation | Läkemedelsverket (lakemedelsverket.se)</w:t>
        </w:r>
      </w:hyperlink>
      <w:r w:rsidRPr="0086675D">
        <w:rPr>
          <w:rStyle w:val="Hyperlnk"/>
          <w:color w:val="0070C0"/>
          <w:sz w:val="24"/>
          <w:szCs w:val="24"/>
        </w:rPr>
        <w:t xml:space="preserve"> </w:t>
      </w:r>
      <w:r w:rsidRPr="0086675D">
        <w:rPr>
          <w:rStyle w:val="Hyperlnk"/>
          <w:color w:val="0070C0"/>
          <w:sz w:val="24"/>
          <w:szCs w:val="24"/>
        </w:rPr>
        <w:br/>
      </w:r>
      <w:r w:rsidRPr="0086675D">
        <w:rPr>
          <w:sz w:val="24"/>
          <w:szCs w:val="24"/>
        </w:rPr>
        <w:t>Rekommenderade läkemedel i Region Blekinge. 2024. Läkemedel vid vård i livets slutskede</w:t>
      </w:r>
      <w:r w:rsidRPr="0086675D">
        <w:rPr>
          <w:sz w:val="24"/>
          <w:szCs w:val="24"/>
        </w:rPr>
        <w:br/>
        <w:t>Kliniskt kunskapsstöd; Smärta, palliativ vård, Nationellt innehåll godkänt 2019-11-27.</w:t>
      </w:r>
    </w:p>
    <w:p w14:paraId="0DC0D471" w14:textId="77777777" w:rsidR="00702564" w:rsidRPr="003E422F" w:rsidRDefault="00702564" w:rsidP="00702564">
      <w:pPr>
        <w:pStyle w:val="Rubrik2"/>
      </w:pPr>
      <w:r>
        <w:t>G</w:t>
      </w:r>
      <w:r w:rsidRPr="003E422F">
        <w:t xml:space="preserve">ikt </w:t>
      </w:r>
    </w:p>
    <w:p w14:paraId="39A2AA6C" w14:textId="77777777" w:rsidR="00702564" w:rsidRPr="00155060" w:rsidRDefault="00702564" w:rsidP="00702564">
      <w:pPr>
        <w:rPr>
          <w:sz w:val="24"/>
          <w:szCs w:val="24"/>
        </w:rPr>
      </w:pPr>
      <w:r w:rsidRPr="00155060">
        <w:rPr>
          <w:sz w:val="24"/>
          <w:szCs w:val="24"/>
        </w:rPr>
        <w:t>Gikt är den vanligaste artritsjukdomen i Sverige (incidens ca 1 - 2%) och är sannolikt kraftigt underdiagnostiserad och underbehandlad. Förhöjda uratnivåer och gikt kan antingen bero på ökad syntes eller på minskad utsöndring av urat. Sekundär gikt är vanligast och orsakas till exempel av livsstilsfaktorer, läkemedelsbehandling eller annan sjukdom. Observera att förhöjt serum-urat ensam utan ledsymptom inte är anledning att påbörja uratsänkande terapi. Gikt är starkt associerad med samsjuklighet för många sjukdomar. I en studie från 2015 fastslås en klart ökad samsjuklighet avseende diabetes, hypertoni, hjärtsvikt, alkoholism, njursjukdom och cancer hos Stockholms alla individer med gikt, kvinnor som män [1]. Utöver ovan nämnda tillstånd sågs också en klart högre förekomst av psoriasis, organtransplantation, förmaksflimmer, stroke och KOL [2]. Flera studier har också påvisat ökad förekomst av cancer vid gikt [3-5]. Biologiskt ter sig sjukdomen lika mellan män och kvinnor med samma mönster av samsjuklighet, men kvinnors giktsjukdom debuterar cirka 8 år senare [6]. Ett starkt samband mellan urat, typ 2-diabetes och det metabola syndromet är känt sedan länge. Urat kan ge upphov till fettinlagring och insulinresistens, vilka är patogenetiska mekanismer vid dessa tillstånd [7] Uratsänkande behandling minskar insulinresistens [8], och viktnedgång sänker signifikant risken för incidentgikt. Både BMI och midjeomfång har visat sig kunna predicera risk för insjuknande i gikt i en studie från Skåne 2019 [9]. Detta har också tydligt visats i den svenska SOS-studien, där effekter av bariatrisk kirurgi (viktminskning) gett en minskning i giktincidens på 40 procent hos patienter med svår fetma [10].</w:t>
      </w:r>
    </w:p>
    <w:p w14:paraId="3070D3FE" w14:textId="77777777" w:rsidR="00702564" w:rsidRPr="00155060" w:rsidRDefault="00702564" w:rsidP="00702564">
      <w:pPr>
        <w:rPr>
          <w:rFonts w:cstheme="minorHAnsi"/>
          <w:b/>
          <w:bCs/>
          <w:sz w:val="24"/>
          <w:szCs w:val="24"/>
        </w:rPr>
      </w:pPr>
    </w:p>
    <w:p w14:paraId="73817A2E" w14:textId="77777777" w:rsidR="00702564" w:rsidRPr="00155060" w:rsidRDefault="00702564" w:rsidP="00702564">
      <w:pPr>
        <w:rPr>
          <w:sz w:val="24"/>
          <w:szCs w:val="24"/>
        </w:rPr>
      </w:pPr>
      <w:r w:rsidRPr="00155060">
        <w:rPr>
          <w:sz w:val="24"/>
          <w:szCs w:val="24"/>
        </w:rPr>
        <w:t xml:space="preserve">Målet med behandlingen är att bota gikten efter bestående uratsänkande terapi. </w:t>
      </w:r>
    </w:p>
    <w:p w14:paraId="49393EC8" w14:textId="77777777" w:rsidR="00702564" w:rsidRDefault="00702564" w:rsidP="00702564">
      <w:pPr>
        <w:rPr>
          <w:sz w:val="24"/>
          <w:szCs w:val="24"/>
        </w:rPr>
      </w:pPr>
      <w:r w:rsidRPr="00155060">
        <w:rPr>
          <w:sz w:val="24"/>
          <w:szCs w:val="24"/>
        </w:rPr>
        <w:t>Behandling består av 4 huvudsakliga linjer; uratsänkande terapi, attackbehandling, livsstilsförändringar och patientinformation [11].</w:t>
      </w:r>
    </w:p>
    <w:p w14:paraId="342A531A" w14:textId="77777777" w:rsidR="00702564" w:rsidRPr="003E422F" w:rsidRDefault="00702564" w:rsidP="00702564">
      <w:pPr>
        <w:pStyle w:val="Rubrik3"/>
      </w:pPr>
      <w:r w:rsidRPr="003E422F">
        <w:t>Attackbehandling</w:t>
      </w:r>
    </w:p>
    <w:p w14:paraId="56C2DB1E" w14:textId="77777777" w:rsidR="00702564" w:rsidRPr="00155060" w:rsidRDefault="00702564" w:rsidP="00702564">
      <w:pPr>
        <w:shd w:val="clear" w:color="auto" w:fill="FFFFFF" w:themeFill="background1"/>
        <w:tabs>
          <w:tab w:val="clear" w:pos="284"/>
        </w:tabs>
        <w:spacing w:after="158" w:line="240" w:lineRule="auto"/>
        <w:rPr>
          <w:rFonts w:eastAsia="Times New Roman" w:cs="Arial"/>
          <w:color w:val="000000" w:themeColor="text1"/>
          <w:sz w:val="24"/>
          <w:szCs w:val="24"/>
          <w:lang w:eastAsia="sv-SE"/>
        </w:rPr>
      </w:pPr>
      <w:r w:rsidRPr="00155060">
        <w:rPr>
          <w:rFonts w:eastAsia="Times New Roman" w:cs="Arial"/>
          <w:color w:val="000000"/>
          <w:spacing w:val="7"/>
          <w:sz w:val="24"/>
          <w:szCs w:val="24"/>
          <w:lang w:eastAsia="sv-SE"/>
        </w:rPr>
        <w:t>Om en akut giktattack inträffar under pågående uratsänkande behandling ska den inte sättas ut, då det kan förvärra attacken. I motsats till vad som tidigare hävdats kan uratsänkande behandling sättas in under pågående giktattack [</w:t>
      </w:r>
      <w:r w:rsidRPr="00155060">
        <w:rPr>
          <w:rFonts w:eastAsia="Times New Roman" w:cs="Arial"/>
          <w:spacing w:val="7"/>
          <w:sz w:val="24"/>
          <w:szCs w:val="24"/>
          <w:lang w:eastAsia="sv-SE"/>
        </w:rPr>
        <w:t>12</w:t>
      </w:r>
      <w:r w:rsidRPr="00155060">
        <w:rPr>
          <w:rFonts w:eastAsia="Times New Roman" w:cs="Arial"/>
          <w:color w:val="000000"/>
          <w:spacing w:val="7"/>
          <w:sz w:val="24"/>
          <w:szCs w:val="24"/>
          <w:lang w:eastAsia="sv-SE"/>
        </w:rPr>
        <w:t>], om patienten samtidigt erhåller adekvat behandling mot den akuta giktattacken.</w:t>
      </w:r>
    </w:p>
    <w:p w14:paraId="0C5D0377" w14:textId="77777777" w:rsidR="00702564" w:rsidRPr="00155060" w:rsidRDefault="00702564" w:rsidP="00702564">
      <w:pPr>
        <w:rPr>
          <w:rFonts w:ascii="Corbel" w:hAnsi="Corbel"/>
          <w:b/>
          <w:sz w:val="24"/>
          <w:szCs w:val="24"/>
        </w:rPr>
      </w:pPr>
      <w:r w:rsidRPr="00155060">
        <w:rPr>
          <w:rFonts w:eastAsia="Calibri" w:cs="Arial"/>
          <w:color w:val="000000"/>
          <w:spacing w:val="7"/>
          <w:sz w:val="24"/>
          <w:szCs w:val="24"/>
        </w:rPr>
        <w:lastRenderedPageBreak/>
        <w:t xml:space="preserve">Vid behandling av en akut giktattack finns tre effektmässigt likvärdiga alternativ: </w:t>
      </w:r>
      <w:r>
        <w:rPr>
          <w:rFonts w:eastAsia="Calibri" w:cs="Arial"/>
          <w:color w:val="000000"/>
          <w:spacing w:val="7"/>
          <w:sz w:val="24"/>
          <w:szCs w:val="24"/>
        </w:rPr>
        <w:br/>
      </w:r>
      <w:r w:rsidRPr="00155060">
        <w:rPr>
          <w:rFonts w:eastAsia="Calibri" w:cs="Arial"/>
          <w:color w:val="000000"/>
          <w:spacing w:val="7"/>
          <w:sz w:val="24"/>
          <w:szCs w:val="24"/>
        </w:rPr>
        <w:t>NSAID/cox-hämmare, kolkicin och kortison.</w:t>
      </w:r>
    </w:p>
    <w:p w14:paraId="675A9F7B" w14:textId="77777777" w:rsidR="00702564" w:rsidRPr="00155060" w:rsidRDefault="00702564" w:rsidP="00702564">
      <w:pPr>
        <w:rPr>
          <w:rFonts w:cstheme="minorHAnsi"/>
          <w:sz w:val="24"/>
          <w:szCs w:val="24"/>
        </w:rPr>
      </w:pPr>
    </w:p>
    <w:p w14:paraId="1AA514D1" w14:textId="77777777" w:rsidR="00702564" w:rsidRPr="00155060" w:rsidRDefault="00702564" w:rsidP="00702564">
      <w:pPr>
        <w:rPr>
          <w:sz w:val="24"/>
          <w:szCs w:val="24"/>
        </w:rPr>
      </w:pPr>
      <w:r w:rsidRPr="00155060">
        <w:rPr>
          <w:sz w:val="24"/>
          <w:szCs w:val="24"/>
        </w:rPr>
        <w:t>Valet kan behöva styras av komorbiditet som hjärtkärlsjukdom, diabetes eller njursvikt till exempel som påverkar hur lämpliga de olika alternativen är.</w:t>
      </w:r>
    </w:p>
    <w:p w14:paraId="4A1C5551" w14:textId="77777777" w:rsidR="00702564" w:rsidRPr="00155060" w:rsidRDefault="00702564" w:rsidP="00702564">
      <w:pPr>
        <w:pStyle w:val="Liststycke"/>
        <w:numPr>
          <w:ilvl w:val="0"/>
          <w:numId w:val="33"/>
        </w:numPr>
        <w:contextualSpacing/>
        <w:rPr>
          <w:sz w:val="24"/>
          <w:szCs w:val="24"/>
        </w:rPr>
      </w:pPr>
      <w:r w:rsidRPr="00155060">
        <w:rPr>
          <w:sz w:val="24"/>
          <w:szCs w:val="24"/>
        </w:rPr>
        <w:t>NSAID.</w:t>
      </w:r>
    </w:p>
    <w:p w14:paraId="3C01D187" w14:textId="77777777" w:rsidR="00702564" w:rsidRPr="00155060" w:rsidRDefault="00702564" w:rsidP="00702564">
      <w:pPr>
        <w:pStyle w:val="Liststycke"/>
        <w:numPr>
          <w:ilvl w:val="0"/>
          <w:numId w:val="33"/>
        </w:numPr>
        <w:contextualSpacing/>
        <w:rPr>
          <w:sz w:val="24"/>
          <w:szCs w:val="24"/>
        </w:rPr>
      </w:pPr>
      <w:r w:rsidRPr="00155060">
        <w:rPr>
          <w:sz w:val="24"/>
          <w:szCs w:val="24"/>
        </w:rPr>
        <w:t>Prednisolon po. 10-30 mg/dag i 3-5 dagar.</w:t>
      </w:r>
    </w:p>
    <w:p w14:paraId="2CCFFE5D" w14:textId="77777777" w:rsidR="00702564" w:rsidRPr="00155060" w:rsidRDefault="00702564" w:rsidP="00702564">
      <w:pPr>
        <w:pStyle w:val="Liststycke"/>
        <w:numPr>
          <w:ilvl w:val="0"/>
          <w:numId w:val="33"/>
        </w:numPr>
        <w:contextualSpacing/>
        <w:rPr>
          <w:sz w:val="24"/>
          <w:szCs w:val="24"/>
        </w:rPr>
      </w:pPr>
      <w:r w:rsidRPr="00155060">
        <w:rPr>
          <w:sz w:val="24"/>
          <w:szCs w:val="24"/>
        </w:rPr>
        <w:t xml:space="preserve">Kolkicin 0.5 mg. Läkemedelsverket rekommenderar totaldos av 6 mg vid akut giktattack. 1 mg först, sedan 0.5 mg efter en timme. Om ytterligare behov finns, efter 12 timmar 0.5 mg varje 8:e timma till totaldos 6 mg/attack. Andra behandlingsalternativ är att ge kolkicin 1 mg x 2 eller 0.5 mg x 2 i 3-5 dagar vid akut giktattack om GFR &gt;50. </w:t>
      </w:r>
    </w:p>
    <w:p w14:paraId="425DF2DA" w14:textId="77777777" w:rsidR="00702564" w:rsidRPr="00155060" w:rsidRDefault="00702564" w:rsidP="00702564">
      <w:pPr>
        <w:pStyle w:val="Liststycke"/>
        <w:rPr>
          <w:sz w:val="24"/>
          <w:szCs w:val="24"/>
        </w:rPr>
      </w:pPr>
      <w:r w:rsidRPr="00155060">
        <w:rPr>
          <w:sz w:val="24"/>
          <w:szCs w:val="24"/>
        </w:rPr>
        <w:t xml:space="preserve">Kolkicindosen ska sänkas om GFR &lt; 50: Om GFR 30-50, kolkicin 0.5 mg x 1. Om GFR 10-30, 0.5 mg varannan dag eller var tredje dag. Om GFR &lt;10: ej kolkicin alls. </w:t>
      </w:r>
    </w:p>
    <w:p w14:paraId="293A7076" w14:textId="77777777" w:rsidR="00702564" w:rsidRPr="00155060" w:rsidRDefault="00702564" w:rsidP="00702564">
      <w:pPr>
        <w:rPr>
          <w:rFonts w:cstheme="minorHAnsi"/>
          <w:sz w:val="24"/>
          <w:szCs w:val="24"/>
        </w:rPr>
      </w:pPr>
    </w:p>
    <w:p w14:paraId="41F91B7C" w14:textId="77777777" w:rsidR="00702564" w:rsidRDefault="00702564" w:rsidP="00702564">
      <w:pPr>
        <w:rPr>
          <w:rFonts w:cstheme="minorHAnsi"/>
        </w:rPr>
      </w:pPr>
      <w:r w:rsidRPr="00155060">
        <w:rPr>
          <w:sz w:val="24"/>
          <w:szCs w:val="24"/>
        </w:rPr>
        <w:t>Intraartikulärt kortison kan rekommenderas i tillägg till övrig behandling.</w:t>
      </w:r>
    </w:p>
    <w:p w14:paraId="0CA03BDE" w14:textId="77777777" w:rsidR="00702564" w:rsidRPr="003E422F" w:rsidRDefault="00702564" w:rsidP="00702564">
      <w:pPr>
        <w:pStyle w:val="Rubrik3"/>
      </w:pPr>
      <w:r w:rsidRPr="003E422F">
        <w:t>Uratsänkande terapi</w:t>
      </w:r>
    </w:p>
    <w:p w14:paraId="7A2562A0" w14:textId="77777777" w:rsidR="00702564" w:rsidRPr="00155060" w:rsidRDefault="00702564" w:rsidP="00702564">
      <w:pPr>
        <w:rPr>
          <w:rFonts w:asciiTheme="minorHAnsi" w:hAnsiTheme="minorHAnsi"/>
          <w:sz w:val="24"/>
          <w:szCs w:val="24"/>
        </w:rPr>
      </w:pPr>
      <w:r w:rsidRPr="00155060">
        <w:rPr>
          <w:rFonts w:asciiTheme="minorHAnsi" w:hAnsiTheme="minorHAnsi"/>
          <w:sz w:val="24"/>
          <w:szCs w:val="24"/>
        </w:rPr>
        <w:t>Förebyggande uratsänkande behandling rekommenderas till majoriteten av patienter med gikt i riktlinjerna från ACR och EULAR [13-15] och inkluderar alla patienter med frekventa attacker, tofi eller förekomst av samsjuklighet eller njursten (uratsten). Nedsatt njurfunktion (ACR) och skelettpåverkan (EULAR) är indikationer för att påbörja uratsänkande behandling redan efter första attacken.</w:t>
      </w:r>
    </w:p>
    <w:p w14:paraId="0745900F" w14:textId="77777777" w:rsidR="00702564" w:rsidRPr="00155060" w:rsidRDefault="00702564" w:rsidP="00702564">
      <w:pPr>
        <w:rPr>
          <w:rFonts w:asciiTheme="minorHAnsi" w:hAnsiTheme="minorHAnsi"/>
          <w:sz w:val="24"/>
          <w:szCs w:val="24"/>
        </w:rPr>
      </w:pPr>
      <w:r w:rsidRPr="00155060">
        <w:rPr>
          <w:rFonts w:asciiTheme="minorHAnsi" w:hAnsiTheme="minorHAnsi"/>
          <w:sz w:val="24"/>
          <w:szCs w:val="24"/>
        </w:rPr>
        <w:t>Målet med behandling av gikt är varaktig symtomfrihet för den enskilda individen, och för att uppnå det behöver man enligt ett flertal studier sänka uratnivån i serum till &lt;</w:t>
      </w:r>
      <w:r w:rsidRPr="00155060">
        <w:rPr>
          <w:rFonts w:ascii="Times New Roman" w:hAnsi="Times New Roman" w:cs="Times New Roman"/>
          <w:sz w:val="24"/>
          <w:szCs w:val="24"/>
        </w:rPr>
        <w:t> </w:t>
      </w:r>
      <w:r w:rsidRPr="00155060">
        <w:rPr>
          <w:rFonts w:asciiTheme="minorHAnsi" w:hAnsiTheme="minorHAnsi"/>
          <w:sz w:val="24"/>
          <w:szCs w:val="24"/>
        </w:rPr>
        <w:t xml:space="preserve">360 </w:t>
      </w:r>
      <w:r w:rsidRPr="00155060">
        <w:rPr>
          <w:rFonts w:asciiTheme="minorHAnsi" w:hAnsiTheme="minorHAnsi" w:cs="Garamond"/>
          <w:sz w:val="24"/>
          <w:szCs w:val="24"/>
        </w:rPr>
        <w:t>µ</w:t>
      </w:r>
      <w:r w:rsidRPr="00155060">
        <w:rPr>
          <w:rFonts w:asciiTheme="minorHAnsi" w:hAnsiTheme="minorHAnsi"/>
          <w:sz w:val="24"/>
          <w:szCs w:val="24"/>
        </w:rPr>
        <w:t>mol/l. Vid f</w:t>
      </w:r>
      <w:r w:rsidRPr="00155060">
        <w:rPr>
          <w:rFonts w:asciiTheme="minorHAnsi" w:hAnsiTheme="minorHAnsi" w:cs="Garamond"/>
          <w:sz w:val="24"/>
          <w:szCs w:val="24"/>
        </w:rPr>
        <w:t>ö</w:t>
      </w:r>
      <w:r w:rsidRPr="00155060">
        <w:rPr>
          <w:rFonts w:asciiTheme="minorHAnsi" w:hAnsiTheme="minorHAnsi"/>
          <w:sz w:val="24"/>
          <w:szCs w:val="24"/>
        </w:rPr>
        <w:t>rekomst av tofi och/eller uratnjursten kan m</w:t>
      </w:r>
      <w:r w:rsidRPr="00155060">
        <w:rPr>
          <w:rFonts w:asciiTheme="minorHAnsi" w:hAnsiTheme="minorHAnsi" w:cs="Garamond"/>
          <w:sz w:val="24"/>
          <w:szCs w:val="24"/>
        </w:rPr>
        <w:t>å</w:t>
      </w:r>
      <w:r w:rsidRPr="00155060">
        <w:rPr>
          <w:rFonts w:asciiTheme="minorHAnsi" w:hAnsiTheme="minorHAnsi"/>
          <w:sz w:val="24"/>
          <w:szCs w:val="24"/>
        </w:rPr>
        <w:t>lniv</w:t>
      </w:r>
      <w:r w:rsidRPr="00155060">
        <w:rPr>
          <w:rFonts w:asciiTheme="minorHAnsi" w:hAnsiTheme="minorHAnsi" w:cs="Garamond"/>
          <w:sz w:val="24"/>
          <w:szCs w:val="24"/>
        </w:rPr>
        <w:t>å</w:t>
      </w:r>
      <w:r w:rsidRPr="00155060">
        <w:rPr>
          <w:rFonts w:asciiTheme="minorHAnsi" w:hAnsiTheme="minorHAnsi"/>
          <w:sz w:val="24"/>
          <w:szCs w:val="24"/>
        </w:rPr>
        <w:t>n s</w:t>
      </w:r>
      <w:r w:rsidRPr="00155060">
        <w:rPr>
          <w:rFonts w:asciiTheme="minorHAnsi" w:hAnsiTheme="minorHAnsi" w:cs="Garamond"/>
          <w:sz w:val="24"/>
          <w:szCs w:val="24"/>
        </w:rPr>
        <w:t>ä</w:t>
      </w:r>
      <w:r w:rsidRPr="00155060">
        <w:rPr>
          <w:rFonts w:asciiTheme="minorHAnsi" w:hAnsiTheme="minorHAnsi"/>
          <w:sz w:val="24"/>
          <w:szCs w:val="24"/>
        </w:rPr>
        <w:t>nkas till &lt;</w:t>
      </w:r>
      <w:r w:rsidRPr="00155060">
        <w:rPr>
          <w:rFonts w:ascii="Times New Roman" w:hAnsi="Times New Roman" w:cs="Times New Roman"/>
          <w:sz w:val="24"/>
          <w:szCs w:val="24"/>
        </w:rPr>
        <w:t> </w:t>
      </w:r>
      <w:r w:rsidRPr="00155060">
        <w:rPr>
          <w:rFonts w:asciiTheme="minorHAnsi" w:hAnsiTheme="minorHAnsi"/>
          <w:sz w:val="24"/>
          <w:szCs w:val="24"/>
        </w:rPr>
        <w:t xml:space="preserve">300 </w:t>
      </w:r>
      <w:r w:rsidRPr="00155060">
        <w:rPr>
          <w:rFonts w:asciiTheme="minorHAnsi" w:hAnsiTheme="minorHAnsi" w:cs="Garamond"/>
          <w:sz w:val="24"/>
          <w:szCs w:val="24"/>
        </w:rPr>
        <w:t>µ</w:t>
      </w:r>
      <w:r w:rsidRPr="00155060">
        <w:rPr>
          <w:rFonts w:asciiTheme="minorHAnsi" w:hAnsiTheme="minorHAnsi"/>
          <w:sz w:val="24"/>
          <w:szCs w:val="24"/>
        </w:rPr>
        <w:t>mol/l. L</w:t>
      </w:r>
      <w:r w:rsidRPr="00155060">
        <w:rPr>
          <w:rFonts w:asciiTheme="minorHAnsi" w:hAnsiTheme="minorHAnsi" w:cs="Garamond"/>
          <w:sz w:val="24"/>
          <w:szCs w:val="24"/>
        </w:rPr>
        <w:t>ä</w:t>
      </w:r>
      <w:r w:rsidRPr="00155060">
        <w:rPr>
          <w:rFonts w:asciiTheme="minorHAnsi" w:hAnsiTheme="minorHAnsi"/>
          <w:sz w:val="24"/>
          <w:szCs w:val="24"/>
        </w:rPr>
        <w:t>kemedelsverket rekommenderar att urats</w:t>
      </w:r>
      <w:r w:rsidRPr="00155060">
        <w:rPr>
          <w:rFonts w:asciiTheme="minorHAnsi" w:hAnsiTheme="minorHAnsi" w:cs="Garamond"/>
          <w:sz w:val="24"/>
          <w:szCs w:val="24"/>
        </w:rPr>
        <w:t>ä</w:t>
      </w:r>
      <w:r w:rsidRPr="00155060">
        <w:rPr>
          <w:rFonts w:asciiTheme="minorHAnsi" w:hAnsiTheme="minorHAnsi"/>
          <w:sz w:val="24"/>
          <w:szCs w:val="24"/>
        </w:rPr>
        <w:t>nkande behandling initieras redan efter en attack om patienten uppfyller ett av flera kriterier, s</w:t>
      </w:r>
      <w:r w:rsidRPr="00155060">
        <w:rPr>
          <w:rFonts w:asciiTheme="minorHAnsi" w:hAnsiTheme="minorHAnsi" w:cs="Garamond"/>
          <w:sz w:val="24"/>
          <w:szCs w:val="24"/>
        </w:rPr>
        <w:t>å</w:t>
      </w:r>
      <w:r w:rsidRPr="00155060">
        <w:rPr>
          <w:rFonts w:asciiTheme="minorHAnsi" w:hAnsiTheme="minorHAnsi"/>
          <w:sz w:val="24"/>
          <w:szCs w:val="24"/>
        </w:rPr>
        <w:t xml:space="preserve">som </w:t>
      </w:r>
      <w:r w:rsidRPr="00155060">
        <w:rPr>
          <w:rFonts w:asciiTheme="minorHAnsi" w:hAnsiTheme="minorHAnsi" w:cs="Garamond"/>
          <w:sz w:val="24"/>
          <w:szCs w:val="24"/>
        </w:rPr>
        <w:t>å</w:t>
      </w:r>
      <w:r w:rsidRPr="00155060">
        <w:rPr>
          <w:rFonts w:asciiTheme="minorHAnsi" w:hAnsiTheme="minorHAnsi"/>
          <w:sz w:val="24"/>
          <w:szCs w:val="24"/>
        </w:rPr>
        <w:t xml:space="preserve">lder under 40 </w:t>
      </w:r>
      <w:r w:rsidRPr="00155060">
        <w:rPr>
          <w:rFonts w:asciiTheme="minorHAnsi" w:hAnsiTheme="minorHAnsi" w:cs="Garamond"/>
          <w:sz w:val="24"/>
          <w:szCs w:val="24"/>
        </w:rPr>
        <w:t>å</w:t>
      </w:r>
      <w:r w:rsidRPr="00155060">
        <w:rPr>
          <w:rFonts w:asciiTheme="minorHAnsi" w:hAnsiTheme="minorHAnsi"/>
          <w:sz w:val="24"/>
          <w:szCs w:val="24"/>
        </w:rPr>
        <w:t>r, urat &gt;</w:t>
      </w:r>
      <w:r w:rsidRPr="00155060">
        <w:rPr>
          <w:rFonts w:ascii="Times New Roman" w:hAnsi="Times New Roman" w:cs="Times New Roman"/>
          <w:sz w:val="24"/>
          <w:szCs w:val="24"/>
        </w:rPr>
        <w:t> </w:t>
      </w:r>
      <w:r w:rsidRPr="00155060">
        <w:rPr>
          <w:rFonts w:asciiTheme="minorHAnsi" w:hAnsiTheme="minorHAnsi"/>
          <w:sz w:val="24"/>
          <w:szCs w:val="24"/>
        </w:rPr>
        <w:t xml:space="preserve">480 </w:t>
      </w:r>
      <w:r w:rsidRPr="00155060">
        <w:rPr>
          <w:rFonts w:asciiTheme="minorHAnsi" w:hAnsiTheme="minorHAnsi" w:cs="Garamond"/>
          <w:sz w:val="24"/>
          <w:szCs w:val="24"/>
        </w:rPr>
        <w:t>µ</w:t>
      </w:r>
      <w:r w:rsidRPr="00155060">
        <w:rPr>
          <w:rFonts w:asciiTheme="minorHAnsi" w:hAnsiTheme="minorHAnsi"/>
          <w:sz w:val="24"/>
          <w:szCs w:val="24"/>
        </w:rPr>
        <w:t>mol/l eller f</w:t>
      </w:r>
      <w:r w:rsidRPr="00155060">
        <w:rPr>
          <w:rFonts w:asciiTheme="minorHAnsi" w:hAnsiTheme="minorHAnsi" w:cs="Garamond"/>
          <w:sz w:val="24"/>
          <w:szCs w:val="24"/>
        </w:rPr>
        <w:t>ö</w:t>
      </w:r>
      <w:r w:rsidRPr="00155060">
        <w:rPr>
          <w:rFonts w:asciiTheme="minorHAnsi" w:hAnsiTheme="minorHAnsi"/>
          <w:sz w:val="24"/>
          <w:szCs w:val="24"/>
        </w:rPr>
        <w:t>rekomst av samsjuklighet [11].</w:t>
      </w:r>
    </w:p>
    <w:p w14:paraId="12B453B6" w14:textId="77777777" w:rsidR="00702564" w:rsidRPr="00155060" w:rsidRDefault="00702564" w:rsidP="00702564">
      <w:pPr>
        <w:rPr>
          <w:rFonts w:asciiTheme="minorHAnsi" w:hAnsiTheme="minorHAnsi"/>
          <w:sz w:val="24"/>
          <w:szCs w:val="24"/>
        </w:rPr>
      </w:pPr>
      <w:r w:rsidRPr="00155060">
        <w:rPr>
          <w:rFonts w:asciiTheme="minorHAnsi" w:hAnsiTheme="minorHAnsi"/>
          <w:sz w:val="24"/>
          <w:szCs w:val="24"/>
        </w:rPr>
        <w:t xml:space="preserve">Under de första 3–6 månaderna med behandling finns en ökad risk för akuta giktattacker. För att minska denna risk rekommenderas låg startdos (100 mg allopurinol/dag), med successiv upptitrering till målnivå. En sådan strategi gör att ganska få patienter får attacker utlösta av påbörjad uratsänkande behandling och att de därför inte behöver profylaktisk behandling [9]. </w:t>
      </w:r>
    </w:p>
    <w:p w14:paraId="2AFC32CD" w14:textId="77777777" w:rsidR="00702564" w:rsidRPr="00155060" w:rsidRDefault="00702564" w:rsidP="00702564">
      <w:pPr>
        <w:rPr>
          <w:rFonts w:asciiTheme="minorHAnsi" w:hAnsiTheme="minorHAnsi" w:cstheme="minorHAnsi"/>
          <w:sz w:val="24"/>
          <w:szCs w:val="24"/>
        </w:rPr>
      </w:pPr>
    </w:p>
    <w:p w14:paraId="2835B977" w14:textId="77777777" w:rsidR="00702564" w:rsidRPr="00155060" w:rsidRDefault="00702564" w:rsidP="00702564">
      <w:pPr>
        <w:rPr>
          <w:rFonts w:asciiTheme="minorHAnsi" w:hAnsiTheme="minorHAnsi"/>
          <w:sz w:val="24"/>
          <w:szCs w:val="24"/>
        </w:rPr>
      </w:pPr>
      <w:r w:rsidRPr="00155060">
        <w:rPr>
          <w:rFonts w:asciiTheme="minorHAnsi" w:hAnsiTheme="minorHAnsi"/>
          <w:sz w:val="24"/>
          <w:szCs w:val="24"/>
        </w:rPr>
        <w:t xml:space="preserve">Giktattackerna kan pågå i 6-12 månader efter urat har sjunkit &lt; 360 eller lägre. Detta är INTE svikt av behandlingen, utan beror på att kroppen mobiliserar urat under pågående uratsyrasänkande terapi och att det blir sannolikt lättare för uratkristallerna att orsaka giktattacker. Det tar också lång tid för giktkristallerna att absorberas. Patientinformation är viktig! Eftersom det tar 1–2 år för tofi att försvinna från vävnaderna bör den slutliga dosen bibehållas minst denna period. Sannolikt behöver behandlingen fortsätta under många år och i en del fall livslångt eftersom grundorsakerna till hyperurikemi (genetiska faktorer) och samsjukligheten kvarstår, möjligen kan lägre dos användas. </w:t>
      </w:r>
      <w:r>
        <w:rPr>
          <w:rFonts w:asciiTheme="minorHAnsi" w:hAnsiTheme="minorHAnsi"/>
          <w:sz w:val="24"/>
          <w:szCs w:val="24"/>
        </w:rPr>
        <w:br/>
      </w:r>
      <w:r w:rsidRPr="00155060">
        <w:rPr>
          <w:rFonts w:asciiTheme="minorHAnsi" w:hAnsiTheme="minorHAnsi"/>
          <w:sz w:val="24"/>
          <w:szCs w:val="24"/>
        </w:rPr>
        <w:t>Detta är dock otillräckligt studerat.</w:t>
      </w:r>
    </w:p>
    <w:p w14:paraId="3018DFA6" w14:textId="77777777" w:rsidR="00702564" w:rsidRDefault="00702564" w:rsidP="00702564">
      <w:pPr>
        <w:tabs>
          <w:tab w:val="clear" w:pos="284"/>
        </w:tabs>
        <w:spacing w:after="120" w:line="260" w:lineRule="atLeast"/>
        <w:rPr>
          <w:rFonts w:asciiTheme="minorHAnsi" w:hAnsiTheme="minorHAnsi"/>
          <w:sz w:val="24"/>
          <w:szCs w:val="24"/>
        </w:rPr>
      </w:pPr>
      <w:r>
        <w:rPr>
          <w:rFonts w:asciiTheme="minorHAnsi" w:hAnsiTheme="minorHAnsi"/>
          <w:sz w:val="24"/>
          <w:szCs w:val="24"/>
        </w:rPr>
        <w:br w:type="page"/>
      </w:r>
    </w:p>
    <w:p w14:paraId="4548BFD7" w14:textId="77777777" w:rsidR="00702564" w:rsidRDefault="00702564" w:rsidP="00702564">
      <w:pPr>
        <w:rPr>
          <w:rFonts w:eastAsia="Times New Roman" w:cs="Arial"/>
          <w:b/>
          <w:bCs/>
          <w:color w:val="000000"/>
          <w:spacing w:val="7"/>
          <w:lang w:eastAsia="sv-SE"/>
        </w:rPr>
      </w:pPr>
      <w:r w:rsidRPr="00155060">
        <w:rPr>
          <w:rFonts w:asciiTheme="minorHAnsi" w:hAnsiTheme="minorHAnsi"/>
          <w:sz w:val="24"/>
          <w:szCs w:val="24"/>
        </w:rPr>
        <w:lastRenderedPageBreak/>
        <w:t>Många patienter med gikt har även kardiovaskulär sjukdom och är i behov av exempelvis ASA och diuretika. Minskning eller utsättning av dessa kan leda till viss uratsänkning, men effekten är blygsam jämfört med den av uratsänkande preparat. Tiazider hör till de läkemedel som har en känd urathöjande effekt, och kan bytas mot till exempel kalciumkanalblockerare. Av angiotensinreceptorblockerare har man visat att losartan har en viss uratsänkande effekt, och av lipidsänkande läkemedel har både atorvastatin och fenofibrat en lätt uratsänkande effekt. Effekten av förändringar av livsstil och dessa läkemedel är dock marginell, varför uratsänkande läkemedel vanligtvis är nödvändiga för att sänka uratnivån under målvärdet.</w:t>
      </w:r>
    </w:p>
    <w:p w14:paraId="12F48176" w14:textId="77777777" w:rsidR="00702564" w:rsidRDefault="00702564" w:rsidP="00702564">
      <w:pPr>
        <w:pStyle w:val="Rubrik4"/>
        <w:rPr>
          <w:lang w:eastAsia="sv-SE"/>
        </w:rPr>
      </w:pPr>
      <w:r w:rsidRPr="001F3ABB">
        <w:rPr>
          <w:lang w:eastAsia="sv-SE"/>
        </w:rPr>
        <w:t>Allopurinol (Allopurinol, Zyloric)</w:t>
      </w:r>
    </w:p>
    <w:p w14:paraId="491743FD" w14:textId="77777777" w:rsidR="00702564" w:rsidRPr="00155060" w:rsidRDefault="00702564" w:rsidP="00702564">
      <w:pPr>
        <w:rPr>
          <w:rFonts w:asciiTheme="minorHAnsi" w:hAnsiTheme="minorHAnsi"/>
          <w:sz w:val="24"/>
          <w:szCs w:val="24"/>
        </w:rPr>
      </w:pPr>
      <w:r w:rsidRPr="00155060">
        <w:rPr>
          <w:rFonts w:asciiTheme="minorHAnsi" w:hAnsiTheme="minorHAnsi"/>
          <w:sz w:val="24"/>
          <w:szCs w:val="24"/>
        </w:rPr>
        <w:t>Allopurinol minskar bildning av urat genom hämning av enzymet xantinoxidas.</w:t>
      </w:r>
    </w:p>
    <w:p w14:paraId="1C981CA0" w14:textId="77777777" w:rsidR="00702564" w:rsidRPr="00155060" w:rsidRDefault="00702564" w:rsidP="00702564">
      <w:pPr>
        <w:rPr>
          <w:rFonts w:asciiTheme="minorHAnsi" w:hAnsiTheme="minorHAnsi"/>
          <w:sz w:val="24"/>
          <w:szCs w:val="24"/>
        </w:rPr>
      </w:pPr>
      <w:r w:rsidRPr="00D377B6">
        <w:t>•</w:t>
      </w:r>
      <w:r w:rsidRPr="003E422F">
        <w:rPr>
          <w:rFonts w:cstheme="minorHAnsi"/>
        </w:rPr>
        <w:tab/>
      </w:r>
      <w:r w:rsidRPr="00155060">
        <w:rPr>
          <w:rFonts w:asciiTheme="minorHAnsi" w:hAnsiTheme="minorHAnsi"/>
          <w:sz w:val="24"/>
          <w:szCs w:val="24"/>
        </w:rPr>
        <w:t>Förstahandsalternativ är allopurinol. För patienterna med normal njurfunktion är startdosen allopurinol 100 mg dagligen, och detta skall upptrappas förslagsvis med en veckas mellanrum till 300 mg eller högre så att uratnivån sjunker till målnivå &lt; 360 µmol/l. Maximal dygnsdos allopurinol är 900 mg/dygn. Om tofi finns är målet för urat &lt;300µmol/l.</w:t>
      </w:r>
      <w:r w:rsidRPr="00155060">
        <w:rPr>
          <w:rFonts w:asciiTheme="minorHAnsi" w:eastAsia="Times New Roman" w:hAnsiTheme="minorHAnsi" w:cs="Arial"/>
          <w:color w:val="000000"/>
          <w:spacing w:val="7"/>
          <w:sz w:val="24"/>
          <w:szCs w:val="24"/>
          <w:lang w:eastAsia="sv-SE"/>
        </w:rPr>
        <w:t xml:space="preserve"> Biverkningar i form av hudutslag f</w:t>
      </w:r>
      <w:r w:rsidRPr="00155060">
        <w:rPr>
          <w:rFonts w:asciiTheme="minorHAnsi" w:eastAsia="Times New Roman" w:hAnsiTheme="minorHAnsi" w:cs="Garamond"/>
          <w:color w:val="000000"/>
          <w:spacing w:val="7"/>
          <w:sz w:val="24"/>
          <w:szCs w:val="24"/>
          <w:lang w:eastAsia="sv-SE"/>
        </w:rPr>
        <w:t>ö</w:t>
      </w:r>
      <w:r w:rsidRPr="00155060">
        <w:rPr>
          <w:rFonts w:asciiTheme="minorHAnsi" w:eastAsia="Times New Roman" w:hAnsiTheme="minorHAnsi" w:cs="Arial"/>
          <w:color w:val="000000"/>
          <w:spacing w:val="7"/>
          <w:sz w:val="24"/>
          <w:szCs w:val="24"/>
          <w:lang w:eastAsia="sv-SE"/>
        </w:rPr>
        <w:t>rekommer enligt Fass hos cirka 4 procent av patienter med normal njurfunktion och hos upp till 15 procent av patienter med nedsatt njurfunktion, men allvarliga hudreaktioner är sällsynta (&lt;</w:t>
      </w:r>
      <w:r w:rsidRPr="00155060">
        <w:rPr>
          <w:rFonts w:ascii="Times New Roman" w:eastAsia="Times New Roman" w:hAnsi="Times New Roman" w:cs="Times New Roman"/>
          <w:color w:val="000000"/>
          <w:spacing w:val="7"/>
          <w:sz w:val="24"/>
          <w:szCs w:val="24"/>
          <w:lang w:eastAsia="sv-SE"/>
        </w:rPr>
        <w:t> </w:t>
      </w:r>
      <w:r w:rsidRPr="00155060">
        <w:rPr>
          <w:rFonts w:asciiTheme="minorHAnsi" w:eastAsia="Times New Roman" w:hAnsiTheme="minorHAnsi" w:cs="Arial"/>
          <w:color w:val="000000"/>
          <w:spacing w:val="7"/>
          <w:sz w:val="24"/>
          <w:szCs w:val="24"/>
          <w:lang w:eastAsia="sv-SE"/>
        </w:rPr>
        <w:t>1/1</w:t>
      </w:r>
      <w:r w:rsidRPr="00155060">
        <w:rPr>
          <w:rFonts w:ascii="Times New Roman" w:eastAsia="Times New Roman" w:hAnsi="Times New Roman" w:cs="Times New Roman"/>
          <w:color w:val="000000"/>
          <w:spacing w:val="7"/>
          <w:sz w:val="24"/>
          <w:szCs w:val="24"/>
          <w:lang w:eastAsia="sv-SE"/>
        </w:rPr>
        <w:t> </w:t>
      </w:r>
      <w:r w:rsidRPr="00155060">
        <w:rPr>
          <w:rFonts w:asciiTheme="minorHAnsi" w:eastAsia="Times New Roman" w:hAnsiTheme="minorHAnsi" w:cs="Arial"/>
          <w:color w:val="000000"/>
          <w:spacing w:val="7"/>
          <w:sz w:val="24"/>
          <w:szCs w:val="24"/>
          <w:lang w:eastAsia="sv-SE"/>
        </w:rPr>
        <w:t>000).</w:t>
      </w:r>
    </w:p>
    <w:p w14:paraId="128EE631" w14:textId="77777777" w:rsidR="00702564" w:rsidRPr="00155060" w:rsidRDefault="00702564" w:rsidP="00702564">
      <w:pPr>
        <w:rPr>
          <w:rFonts w:asciiTheme="minorHAnsi" w:hAnsiTheme="minorHAnsi"/>
          <w:sz w:val="24"/>
          <w:szCs w:val="24"/>
        </w:rPr>
      </w:pPr>
      <w:r w:rsidRPr="00155060">
        <w:rPr>
          <w:rFonts w:asciiTheme="minorHAnsi" w:hAnsiTheme="minorHAnsi"/>
          <w:sz w:val="24"/>
          <w:szCs w:val="24"/>
        </w:rPr>
        <w:t>•</w:t>
      </w:r>
      <w:r w:rsidRPr="00155060">
        <w:rPr>
          <w:rFonts w:asciiTheme="minorHAnsi" w:hAnsiTheme="minorHAnsi" w:cstheme="minorHAnsi"/>
          <w:sz w:val="24"/>
          <w:szCs w:val="24"/>
        </w:rPr>
        <w:tab/>
      </w:r>
      <w:r w:rsidRPr="00155060">
        <w:rPr>
          <w:rFonts w:asciiTheme="minorHAnsi" w:hAnsiTheme="minorHAnsi"/>
          <w:sz w:val="24"/>
          <w:szCs w:val="24"/>
        </w:rPr>
        <w:t>Efter insättningen av allopurinol-behandling kan man ge profylax med NSAID, kolkicin (t.ex. 0.5 mg x 1-2) och/eller Prednisolon t.ex. 5-7,5 mg x 1 i upp till 6 månader för attackprofylax. Patientinformation!</w:t>
      </w:r>
    </w:p>
    <w:p w14:paraId="0F21A4E5" w14:textId="77777777" w:rsidR="00702564" w:rsidRPr="00155060" w:rsidRDefault="00702564" w:rsidP="00702564">
      <w:pPr>
        <w:rPr>
          <w:rFonts w:asciiTheme="minorHAnsi" w:hAnsiTheme="minorHAnsi"/>
          <w:sz w:val="24"/>
          <w:szCs w:val="24"/>
        </w:rPr>
      </w:pPr>
      <w:r w:rsidRPr="00155060">
        <w:rPr>
          <w:rFonts w:asciiTheme="minorHAnsi" w:hAnsiTheme="minorHAnsi"/>
          <w:sz w:val="24"/>
          <w:szCs w:val="24"/>
        </w:rPr>
        <w:t>•</w:t>
      </w:r>
      <w:r w:rsidRPr="00155060">
        <w:rPr>
          <w:rFonts w:asciiTheme="minorHAnsi" w:hAnsiTheme="minorHAnsi" w:cstheme="minorHAnsi"/>
          <w:sz w:val="24"/>
          <w:szCs w:val="24"/>
        </w:rPr>
        <w:tab/>
      </w:r>
      <w:r w:rsidRPr="00155060">
        <w:rPr>
          <w:rFonts w:asciiTheme="minorHAnsi" w:hAnsiTheme="minorHAnsi"/>
          <w:sz w:val="24"/>
          <w:szCs w:val="24"/>
        </w:rPr>
        <w:t>För patienterna med njursvikt, följ rekommendationerna i FASS.</w:t>
      </w:r>
    </w:p>
    <w:p w14:paraId="18BF966C" w14:textId="77777777" w:rsidR="00702564" w:rsidRPr="0071138D" w:rsidRDefault="00702564" w:rsidP="00702564">
      <w:pPr>
        <w:pStyle w:val="Rubrik3"/>
      </w:pPr>
      <w:r w:rsidRPr="0071138D">
        <w:t>Övrig intervention vid gikt</w:t>
      </w:r>
    </w:p>
    <w:p w14:paraId="08FA6DAD" w14:textId="77777777" w:rsidR="00702564" w:rsidRPr="00155060" w:rsidRDefault="00702564" w:rsidP="00702564">
      <w:pPr>
        <w:rPr>
          <w:sz w:val="24"/>
          <w:szCs w:val="24"/>
        </w:rPr>
      </w:pPr>
      <w:r w:rsidRPr="00155060">
        <w:rPr>
          <w:sz w:val="24"/>
          <w:szCs w:val="24"/>
        </w:rPr>
        <w:t>Patientinformation.</w:t>
      </w:r>
    </w:p>
    <w:p w14:paraId="0A4E416B" w14:textId="77777777" w:rsidR="00702564" w:rsidRPr="00155060" w:rsidRDefault="00702564" w:rsidP="00702564">
      <w:pPr>
        <w:rPr>
          <w:sz w:val="24"/>
          <w:szCs w:val="24"/>
        </w:rPr>
      </w:pPr>
      <w:r w:rsidRPr="00155060">
        <w:rPr>
          <w:sz w:val="24"/>
          <w:szCs w:val="24"/>
        </w:rPr>
        <w:t>Livsstilsförändringar, som består av att undvika produkter som orsakar ökad uratproduktion.</w:t>
      </w:r>
    </w:p>
    <w:p w14:paraId="773068DB" w14:textId="77777777" w:rsidR="00702564" w:rsidRPr="00155060" w:rsidRDefault="00702564" w:rsidP="00702564">
      <w:pPr>
        <w:pStyle w:val="Liststycke"/>
        <w:numPr>
          <w:ilvl w:val="0"/>
          <w:numId w:val="34"/>
        </w:numPr>
        <w:contextualSpacing/>
        <w:rPr>
          <w:sz w:val="24"/>
          <w:szCs w:val="24"/>
        </w:rPr>
      </w:pPr>
      <w:r w:rsidRPr="00155060">
        <w:rPr>
          <w:sz w:val="24"/>
          <w:szCs w:val="24"/>
        </w:rPr>
        <w:t>Undvika alkohol, särskilt öl</w:t>
      </w:r>
    </w:p>
    <w:p w14:paraId="1733823C" w14:textId="77777777" w:rsidR="00702564" w:rsidRPr="00155060" w:rsidRDefault="00702564" w:rsidP="00702564">
      <w:pPr>
        <w:pStyle w:val="Liststycke"/>
        <w:numPr>
          <w:ilvl w:val="0"/>
          <w:numId w:val="34"/>
        </w:numPr>
        <w:contextualSpacing/>
        <w:rPr>
          <w:sz w:val="24"/>
          <w:szCs w:val="24"/>
        </w:rPr>
      </w:pPr>
      <w:r w:rsidRPr="00155060">
        <w:rPr>
          <w:sz w:val="24"/>
          <w:szCs w:val="24"/>
        </w:rPr>
        <w:t>Viktnedgång</w:t>
      </w:r>
    </w:p>
    <w:p w14:paraId="2E180832" w14:textId="77777777" w:rsidR="00702564" w:rsidRPr="00155060" w:rsidRDefault="00702564" w:rsidP="00702564">
      <w:pPr>
        <w:pStyle w:val="Liststycke"/>
        <w:numPr>
          <w:ilvl w:val="0"/>
          <w:numId w:val="34"/>
        </w:numPr>
        <w:contextualSpacing/>
        <w:rPr>
          <w:sz w:val="24"/>
          <w:szCs w:val="24"/>
        </w:rPr>
      </w:pPr>
      <w:r w:rsidRPr="00155060">
        <w:rPr>
          <w:sz w:val="24"/>
          <w:szCs w:val="24"/>
        </w:rPr>
        <w:t>Fysisk aktivitet</w:t>
      </w:r>
    </w:p>
    <w:p w14:paraId="6AFF3C2E" w14:textId="77777777" w:rsidR="00702564" w:rsidRPr="00155060" w:rsidRDefault="00702564" w:rsidP="00702564">
      <w:pPr>
        <w:pStyle w:val="Liststycke"/>
        <w:numPr>
          <w:ilvl w:val="0"/>
          <w:numId w:val="34"/>
        </w:numPr>
        <w:contextualSpacing/>
        <w:rPr>
          <w:sz w:val="24"/>
          <w:szCs w:val="24"/>
        </w:rPr>
      </w:pPr>
      <w:r w:rsidRPr="00155060">
        <w:rPr>
          <w:sz w:val="24"/>
          <w:szCs w:val="24"/>
        </w:rPr>
        <w:t>Undvik högintensiv muskelträning</w:t>
      </w:r>
    </w:p>
    <w:p w14:paraId="5CB49EA1" w14:textId="77777777" w:rsidR="00702564" w:rsidRPr="00155060" w:rsidRDefault="00702564" w:rsidP="00702564">
      <w:pPr>
        <w:pStyle w:val="Liststycke"/>
        <w:numPr>
          <w:ilvl w:val="0"/>
          <w:numId w:val="34"/>
        </w:numPr>
        <w:contextualSpacing/>
        <w:rPr>
          <w:sz w:val="24"/>
          <w:szCs w:val="24"/>
        </w:rPr>
      </w:pPr>
      <w:r w:rsidRPr="00155060">
        <w:rPr>
          <w:sz w:val="24"/>
          <w:szCs w:val="24"/>
        </w:rPr>
        <w:t>Undvika drycker med fruktos och majssirap</w:t>
      </w:r>
    </w:p>
    <w:p w14:paraId="18367250" w14:textId="77777777" w:rsidR="00702564" w:rsidRPr="00155060" w:rsidRDefault="00702564" w:rsidP="00702564">
      <w:pPr>
        <w:pStyle w:val="Liststycke"/>
        <w:numPr>
          <w:ilvl w:val="0"/>
          <w:numId w:val="34"/>
        </w:numPr>
        <w:contextualSpacing/>
        <w:rPr>
          <w:sz w:val="24"/>
          <w:szCs w:val="24"/>
        </w:rPr>
      </w:pPr>
      <w:r w:rsidRPr="00155060">
        <w:rPr>
          <w:sz w:val="24"/>
          <w:szCs w:val="24"/>
        </w:rPr>
        <w:t>Minska animaliskt protein</w:t>
      </w:r>
    </w:p>
    <w:p w14:paraId="7BCC2925" w14:textId="77777777" w:rsidR="00702564" w:rsidRPr="00155060" w:rsidRDefault="00702564" w:rsidP="00702564">
      <w:pPr>
        <w:rPr>
          <w:rFonts w:cstheme="minorHAnsi"/>
          <w:sz w:val="24"/>
          <w:szCs w:val="24"/>
        </w:rPr>
      </w:pPr>
    </w:p>
    <w:p w14:paraId="62537896" w14:textId="77777777" w:rsidR="00702564" w:rsidRPr="00155060" w:rsidRDefault="00702564" w:rsidP="00702564">
      <w:pPr>
        <w:rPr>
          <w:sz w:val="24"/>
          <w:szCs w:val="24"/>
        </w:rPr>
      </w:pPr>
      <w:r w:rsidRPr="00155060">
        <w:rPr>
          <w:sz w:val="24"/>
          <w:szCs w:val="24"/>
        </w:rPr>
        <w:t>Överväg noga indikation för nedan, läkemedel som höjer uratnivåerna innan uratsänkande behandling påbörjas:</w:t>
      </w:r>
    </w:p>
    <w:p w14:paraId="3745EDFB" w14:textId="77777777" w:rsidR="00702564" w:rsidRPr="009E1865" w:rsidRDefault="00702564" w:rsidP="00702564">
      <w:pPr>
        <w:pStyle w:val="Liststycke"/>
        <w:numPr>
          <w:ilvl w:val="0"/>
          <w:numId w:val="35"/>
        </w:numPr>
        <w:contextualSpacing/>
        <w:rPr>
          <w:rFonts w:cstheme="minorHAnsi"/>
          <w:sz w:val="24"/>
          <w:szCs w:val="24"/>
        </w:rPr>
      </w:pPr>
      <w:r w:rsidRPr="009E1865">
        <w:rPr>
          <w:sz w:val="24"/>
          <w:szCs w:val="24"/>
        </w:rPr>
        <w:t>tiaziddiuretika, furosemid, acetylsalicylsyra, ciklosporin, takrolimus, litium, etambutol, fenylbutazon, nikotinsyra</w:t>
      </w:r>
    </w:p>
    <w:p w14:paraId="10C787B5" w14:textId="77777777" w:rsidR="00702564" w:rsidRPr="001F3ABB" w:rsidRDefault="00702564" w:rsidP="00702564">
      <w:pPr>
        <w:pStyle w:val="Rubrik3"/>
      </w:pPr>
      <w:r>
        <w:t>Remiss till reu</w:t>
      </w:r>
      <w:r w:rsidRPr="001F3ABB">
        <w:t>matolog</w:t>
      </w:r>
    </w:p>
    <w:p w14:paraId="51ADF635" w14:textId="77777777" w:rsidR="00702564" w:rsidRPr="00155060" w:rsidRDefault="00702564" w:rsidP="00702564">
      <w:pPr>
        <w:rPr>
          <w:sz w:val="24"/>
          <w:szCs w:val="24"/>
        </w:rPr>
      </w:pPr>
      <w:r w:rsidRPr="00155060">
        <w:rPr>
          <w:sz w:val="24"/>
          <w:szCs w:val="24"/>
        </w:rPr>
        <w:t xml:space="preserve">Remiss till reumatolog om allopurinol i adekvata doser upp till 900 mg/dygn inte ger tillräcklig effekt, eller vid intolerans av preparatet. </w:t>
      </w:r>
    </w:p>
    <w:p w14:paraId="19CB25B9" w14:textId="77777777" w:rsidR="00702564" w:rsidRPr="00155060" w:rsidRDefault="00702564" w:rsidP="00702564">
      <w:pPr>
        <w:rPr>
          <w:sz w:val="24"/>
          <w:szCs w:val="24"/>
        </w:rPr>
      </w:pPr>
      <w:r w:rsidRPr="00155060">
        <w:rPr>
          <w:sz w:val="24"/>
          <w:szCs w:val="24"/>
        </w:rPr>
        <w:t>Rådgör med reumatolog vid akut giktattack där NSAID, kolkicin och kortison är kontraindicerade eller har otillräcklig effekt.</w:t>
      </w:r>
    </w:p>
    <w:p w14:paraId="2172F536" w14:textId="77777777" w:rsidR="00702564" w:rsidRPr="0095242E" w:rsidRDefault="00702564" w:rsidP="00702564">
      <w:pPr>
        <w:shd w:val="clear" w:color="auto" w:fill="FFFFFF" w:themeFill="background1"/>
        <w:tabs>
          <w:tab w:val="clear" w:pos="284"/>
        </w:tabs>
        <w:spacing w:after="158" w:line="240" w:lineRule="auto"/>
        <w:rPr>
          <w:rFonts w:asciiTheme="minorHAnsi" w:eastAsia="Times New Roman" w:hAnsiTheme="minorHAnsi" w:cs="Arial"/>
          <w:color w:val="000000" w:themeColor="text1"/>
          <w:sz w:val="24"/>
          <w:szCs w:val="24"/>
          <w:lang w:eastAsia="sv-SE"/>
        </w:rPr>
      </w:pPr>
      <w:r w:rsidRPr="0095242E">
        <w:rPr>
          <w:rFonts w:asciiTheme="minorHAnsi" w:eastAsia="Times New Roman" w:hAnsiTheme="minorHAnsi" w:cs="Arial"/>
          <w:b/>
          <w:bCs/>
          <w:color w:val="000000"/>
          <w:spacing w:val="7"/>
          <w:sz w:val="24"/>
          <w:szCs w:val="24"/>
          <w:lang w:eastAsia="sv-SE"/>
        </w:rPr>
        <w:lastRenderedPageBreak/>
        <w:t>Febuxostat (Adenuric, Febuxostat). </w:t>
      </w:r>
      <w:r w:rsidRPr="0095242E">
        <w:rPr>
          <w:rFonts w:asciiTheme="minorHAnsi" w:eastAsia="Times New Roman" w:hAnsiTheme="minorHAnsi" w:cs="Arial"/>
          <w:color w:val="000000"/>
          <w:spacing w:val="7"/>
          <w:sz w:val="24"/>
          <w:szCs w:val="24"/>
          <w:lang w:eastAsia="sv-SE"/>
        </w:rPr>
        <w:t xml:space="preserve">Febuxostat är en alternativ xantinoxidashämmare. </w:t>
      </w:r>
      <w:r w:rsidRPr="0095242E">
        <w:rPr>
          <w:rFonts w:asciiTheme="minorHAnsi" w:eastAsia="Times New Roman" w:hAnsiTheme="minorHAnsi" w:cs="Arial"/>
          <w:color w:val="000000"/>
          <w:spacing w:val="7"/>
          <w:sz w:val="24"/>
          <w:szCs w:val="24"/>
          <w:lang w:eastAsia="sv-SE"/>
        </w:rPr>
        <w:br/>
        <w:t>Vid kontraindikation för eller biverkningar av allopurinol kan febuxo</w:t>
      </w:r>
      <w:r w:rsidRPr="0095242E">
        <w:rPr>
          <w:rFonts w:asciiTheme="minorHAnsi" w:eastAsia="Times New Roman" w:hAnsiTheme="minorHAnsi" w:cs="Arial"/>
          <w:color w:val="000000"/>
          <w:spacing w:val="7"/>
          <w:sz w:val="24"/>
          <w:szCs w:val="24"/>
          <w:lang w:eastAsia="sv-SE"/>
        </w:rPr>
        <w:softHyphen/>
        <w:t xml:space="preserve">stat användas. </w:t>
      </w:r>
      <w:r w:rsidRPr="0095242E">
        <w:rPr>
          <w:rFonts w:asciiTheme="minorHAnsi" w:eastAsia="Times New Roman" w:hAnsiTheme="minorHAnsi" w:cs="Arial"/>
          <w:color w:val="000000"/>
          <w:spacing w:val="7"/>
          <w:sz w:val="24"/>
          <w:szCs w:val="24"/>
          <w:lang w:eastAsia="sv-SE"/>
        </w:rPr>
        <w:br/>
        <w:t>Febuxostat visade sig i en studie från 2018 [</w:t>
      </w:r>
      <w:r w:rsidRPr="0095242E">
        <w:rPr>
          <w:rFonts w:asciiTheme="minorHAnsi" w:eastAsia="Times New Roman" w:hAnsiTheme="minorHAnsi" w:cs="Arial"/>
          <w:spacing w:val="7"/>
          <w:sz w:val="24"/>
          <w:szCs w:val="24"/>
          <w:lang w:eastAsia="sv-SE"/>
        </w:rPr>
        <w:t>16</w:t>
      </w:r>
      <w:r w:rsidRPr="0095242E">
        <w:rPr>
          <w:rFonts w:asciiTheme="minorHAnsi" w:eastAsia="Times New Roman" w:hAnsiTheme="minorHAnsi" w:cs="Arial"/>
          <w:color w:val="000000"/>
          <w:spacing w:val="7"/>
          <w:sz w:val="24"/>
          <w:szCs w:val="24"/>
          <w:lang w:eastAsia="sv-SE"/>
        </w:rPr>
        <w:t>] ge ökad förekomst av plötslig hjärtdöd jämfört med allopurinol. Till följd av avsaknad av placebogrupp är resultaten svårtolkade, och det är inte möjligt i nuläget att säkert uttala sig om huruvida hjärt</w:t>
      </w:r>
      <w:r w:rsidRPr="0095242E">
        <w:rPr>
          <w:rFonts w:asciiTheme="minorHAnsi" w:eastAsia="Times New Roman" w:hAnsiTheme="minorHAnsi" w:cs="Arial"/>
          <w:color w:val="000000"/>
          <w:spacing w:val="7"/>
          <w:sz w:val="24"/>
          <w:szCs w:val="24"/>
          <w:lang w:eastAsia="sv-SE"/>
        </w:rPr>
        <w:softHyphen/>
        <w:t>relaterade händelser är vanligare vid behandling med febuxostat eller inte. Rådgör med reumatolog innan insättning!</w:t>
      </w:r>
    </w:p>
    <w:p w14:paraId="5235EBA3" w14:textId="77777777" w:rsidR="00702564" w:rsidRPr="0095242E" w:rsidRDefault="00702564" w:rsidP="00702564">
      <w:pPr>
        <w:shd w:val="clear" w:color="auto" w:fill="FFFFFF" w:themeFill="background1"/>
        <w:tabs>
          <w:tab w:val="clear" w:pos="284"/>
        </w:tabs>
        <w:spacing w:after="158" w:line="240" w:lineRule="auto"/>
        <w:rPr>
          <w:rFonts w:asciiTheme="minorHAnsi" w:eastAsia="Times New Roman" w:hAnsiTheme="minorHAnsi" w:cs="Arial"/>
          <w:color w:val="000000" w:themeColor="text1"/>
          <w:sz w:val="24"/>
          <w:szCs w:val="24"/>
          <w:lang w:eastAsia="sv-SE"/>
        </w:rPr>
      </w:pPr>
      <w:r w:rsidRPr="0095242E">
        <w:rPr>
          <w:rFonts w:asciiTheme="minorHAnsi" w:eastAsia="Times New Roman" w:hAnsiTheme="minorHAnsi" w:cs="Arial"/>
          <w:b/>
          <w:bCs/>
          <w:color w:val="000000"/>
          <w:spacing w:val="7"/>
          <w:sz w:val="24"/>
          <w:szCs w:val="24"/>
          <w:lang w:eastAsia="sv-SE"/>
        </w:rPr>
        <w:t>Probenecid (Probecid).</w:t>
      </w:r>
      <w:r w:rsidRPr="0095242E">
        <w:rPr>
          <w:rFonts w:asciiTheme="minorHAnsi" w:eastAsia="Times New Roman" w:hAnsiTheme="minorHAnsi" w:cs="Arial"/>
          <w:color w:val="000000"/>
          <w:spacing w:val="7"/>
          <w:sz w:val="24"/>
          <w:szCs w:val="24"/>
          <w:lang w:eastAsia="sv-SE"/>
        </w:rPr>
        <w:t> Probenecid verkar genom att hämma reabsorptionen av urat i njuren. Vid kontraindikation för eller biverkningar av allopurinol och febuxostat kan probenecid användas. Probenecid kan också användas som tilläggsbehandling om målnivån för urat inte uppnås med enbart allopurinol eller febuxostat.</w:t>
      </w:r>
    </w:p>
    <w:p w14:paraId="799DAFF1" w14:textId="77777777" w:rsidR="00702564" w:rsidRPr="0095242E" w:rsidRDefault="00702564" w:rsidP="00702564">
      <w:pPr>
        <w:shd w:val="clear" w:color="auto" w:fill="FFFFFF" w:themeFill="background1"/>
        <w:tabs>
          <w:tab w:val="clear" w:pos="284"/>
        </w:tabs>
        <w:spacing w:after="158" w:line="240" w:lineRule="auto"/>
        <w:rPr>
          <w:rFonts w:asciiTheme="minorHAnsi" w:eastAsia="Times New Roman" w:hAnsiTheme="minorHAnsi" w:cs="Arial"/>
          <w:color w:val="000000" w:themeColor="text1"/>
          <w:sz w:val="24"/>
          <w:szCs w:val="24"/>
          <w:lang w:eastAsia="sv-SE"/>
        </w:rPr>
      </w:pPr>
      <w:r w:rsidRPr="0095242E">
        <w:rPr>
          <w:rFonts w:asciiTheme="minorHAnsi" w:eastAsia="Times New Roman" w:hAnsiTheme="minorHAnsi" w:cs="Arial"/>
          <w:b/>
          <w:bCs/>
          <w:color w:val="000000"/>
          <w:spacing w:val="7"/>
          <w:sz w:val="24"/>
          <w:szCs w:val="24"/>
          <w:lang w:eastAsia="sv-SE"/>
        </w:rPr>
        <w:t>Lesinurad (Zurampic).</w:t>
      </w:r>
      <w:r w:rsidRPr="0095242E">
        <w:rPr>
          <w:rFonts w:asciiTheme="minorHAnsi" w:eastAsia="Times New Roman" w:hAnsiTheme="minorHAnsi" w:cs="Arial"/>
          <w:color w:val="000000"/>
          <w:spacing w:val="7"/>
          <w:sz w:val="24"/>
          <w:szCs w:val="24"/>
          <w:lang w:eastAsia="sv-SE"/>
        </w:rPr>
        <w:t> Lesinurad är det senast registrerade uratsänkande preparatet i Sverige. Det hämmar reabsorption av urat i njuren genom att blockera and</w:t>
      </w:r>
      <w:r w:rsidRPr="0095242E">
        <w:rPr>
          <w:rFonts w:asciiTheme="minorHAnsi" w:eastAsia="Times New Roman" w:hAnsiTheme="minorHAnsi" w:cs="Arial"/>
          <w:color w:val="000000"/>
          <w:spacing w:val="7"/>
          <w:sz w:val="24"/>
          <w:szCs w:val="24"/>
          <w:lang w:eastAsia="sv-SE"/>
        </w:rPr>
        <w:softHyphen/>
        <w:t>ra urattransportörer i njurtubuli än vad probenecid gör. Lesinurad är indicerat att användas i kombination med xantinoxidashämmare (allopurinol eller febuxostat), i den händelse man inte uppnår målvärde av urat med maxdos av allopurinol eller febuxostat ensamt. Specialistpreparat som hanteras av reumatolog.</w:t>
      </w:r>
    </w:p>
    <w:p w14:paraId="3173A7B0" w14:textId="77777777" w:rsidR="00702564" w:rsidRPr="00D377B6" w:rsidRDefault="00702564" w:rsidP="00702564">
      <w:pPr>
        <w:pStyle w:val="Rubrik2"/>
        <w:rPr>
          <w:lang w:eastAsia="sv-SE"/>
        </w:rPr>
      </w:pPr>
      <w:r w:rsidRPr="001F3ABB">
        <w:rPr>
          <w:lang w:eastAsia="sv-SE"/>
        </w:rPr>
        <w:t>Referenser</w:t>
      </w:r>
    </w:p>
    <w:p w14:paraId="3CF4DD95"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eastAsia="sv-SE"/>
        </w:rPr>
      </w:pPr>
      <w:r w:rsidRPr="00644CB4">
        <w:rPr>
          <w:rFonts w:eastAsia="Times New Roman" w:cs="Times New Roman"/>
          <w:color w:val="333333"/>
          <w:spacing w:val="5"/>
          <w:sz w:val="24"/>
          <w:szCs w:val="24"/>
          <w:lang w:val="en-US" w:eastAsia="sv-SE"/>
        </w:rPr>
        <w:t xml:space="preserve">Wändell P, Carlsson AC, Ljunggren G. Gout and its comorbidities in the total population of Stockholm. </w:t>
      </w:r>
      <w:r w:rsidRPr="00644CB4">
        <w:rPr>
          <w:rFonts w:eastAsia="Times New Roman" w:cs="Times New Roman"/>
          <w:color w:val="333333"/>
          <w:spacing w:val="5"/>
          <w:sz w:val="24"/>
          <w:szCs w:val="24"/>
          <w:lang w:eastAsia="sv-SE"/>
        </w:rPr>
        <w:t>Prev Med. 2015;81:387-91.</w:t>
      </w:r>
    </w:p>
    <w:p w14:paraId="18E58462"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eastAsia="sv-SE"/>
        </w:rPr>
      </w:pPr>
      <w:r w:rsidRPr="00644CB4">
        <w:rPr>
          <w:rFonts w:eastAsia="Times New Roman" w:cs="Times New Roman"/>
          <w:color w:val="333333"/>
          <w:spacing w:val="5"/>
          <w:sz w:val="24"/>
          <w:szCs w:val="24"/>
          <w:lang w:eastAsia="sv-SE"/>
        </w:rPr>
        <w:t xml:space="preserve">Drivelegka P, Sigurdardottir V, Svärd A, et al. </w:t>
      </w:r>
      <w:r w:rsidRPr="00644CB4">
        <w:rPr>
          <w:rFonts w:eastAsia="Times New Roman" w:cs="Times New Roman"/>
          <w:color w:val="333333"/>
          <w:spacing w:val="5"/>
          <w:sz w:val="24"/>
          <w:szCs w:val="24"/>
          <w:lang w:val="en-US" w:eastAsia="sv-SE"/>
        </w:rPr>
        <w:t xml:space="preserve">Comorbidity in gout at the time of first diagnosis: sex differences that may have implications for dosing of urate lowering therapy. </w:t>
      </w:r>
      <w:r w:rsidRPr="00644CB4">
        <w:rPr>
          <w:rFonts w:eastAsia="Times New Roman" w:cs="Times New Roman"/>
          <w:color w:val="333333"/>
          <w:spacing w:val="5"/>
          <w:sz w:val="24"/>
          <w:szCs w:val="24"/>
          <w:lang w:eastAsia="sv-SE"/>
        </w:rPr>
        <w:t>Arthritis Res Ther. 2018;20(1):108.</w:t>
      </w:r>
    </w:p>
    <w:p w14:paraId="3814629E"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eastAsia="sv-SE"/>
        </w:rPr>
      </w:pPr>
      <w:r w:rsidRPr="00644CB4">
        <w:rPr>
          <w:rFonts w:eastAsia="Calibri" w:cs="Arial"/>
          <w:color w:val="333333"/>
          <w:spacing w:val="5"/>
          <w:sz w:val="24"/>
          <w:szCs w:val="24"/>
        </w:rPr>
        <w:t xml:space="preserve">Boffetta P, Nordenvall C, Nyrén O, et al. </w:t>
      </w:r>
      <w:r w:rsidRPr="00644CB4">
        <w:rPr>
          <w:rFonts w:eastAsia="Calibri" w:cs="Arial"/>
          <w:color w:val="333333"/>
          <w:spacing w:val="5"/>
          <w:sz w:val="24"/>
          <w:szCs w:val="24"/>
          <w:lang w:val="en-US"/>
        </w:rPr>
        <w:t xml:space="preserve">A prospective study of gout and cancer. </w:t>
      </w:r>
      <w:r w:rsidRPr="00644CB4">
        <w:rPr>
          <w:rFonts w:eastAsia="Calibri" w:cs="Arial"/>
          <w:color w:val="333333"/>
          <w:spacing w:val="5"/>
          <w:sz w:val="24"/>
          <w:szCs w:val="24"/>
        </w:rPr>
        <w:t>Eur J Cancer Prev. 2009;18(2):127-32.</w:t>
      </w:r>
    </w:p>
    <w:p w14:paraId="01181807" w14:textId="77777777" w:rsidR="00702564" w:rsidRPr="00644CB4" w:rsidRDefault="00702564" w:rsidP="00702564">
      <w:pPr>
        <w:numPr>
          <w:ilvl w:val="0"/>
          <w:numId w:val="37"/>
        </w:numPr>
        <w:tabs>
          <w:tab w:val="clear" w:pos="284"/>
        </w:tabs>
        <w:spacing w:before="100" w:beforeAutospacing="1" w:after="100" w:afterAutospacing="1" w:line="240" w:lineRule="auto"/>
        <w:contextualSpacing/>
        <w:rPr>
          <w:rFonts w:eastAsia="Times New Roman" w:cs="Times New Roman"/>
          <w:color w:val="333333"/>
          <w:spacing w:val="5"/>
          <w:sz w:val="24"/>
          <w:szCs w:val="24"/>
          <w:lang w:val="en-US" w:eastAsia="sv-SE"/>
        </w:rPr>
      </w:pPr>
      <w:r w:rsidRPr="00644CB4">
        <w:rPr>
          <w:rFonts w:eastAsia="Times New Roman" w:cs="Times New Roman"/>
          <w:color w:val="333333"/>
          <w:spacing w:val="5"/>
          <w:sz w:val="24"/>
          <w:szCs w:val="24"/>
          <w:lang w:val="en-US" w:eastAsia="sv-SE"/>
        </w:rPr>
        <w:t>Disveld IJM, Zoakman S, Jansen T, et al. Crystal-proven gout patients have an increased mortality due to cardiovascular diseases, cancer, and infectious diseases especially when having tophi and/or high serum uric acid levels: a prospective cohort study. Clin Rheumatol. 2019;38(5):1385-91.</w:t>
      </w:r>
    </w:p>
    <w:p w14:paraId="145E62BE"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val="en-US" w:eastAsia="sv-SE"/>
        </w:rPr>
      </w:pPr>
      <w:r w:rsidRPr="00644CB4">
        <w:rPr>
          <w:rFonts w:eastAsia="Times New Roman" w:cs="Times New Roman"/>
          <w:color w:val="333333"/>
          <w:spacing w:val="5"/>
          <w:sz w:val="24"/>
          <w:szCs w:val="24"/>
          <w:lang w:val="en-US" w:eastAsia="sv-SE"/>
        </w:rPr>
        <w:t>Wang W, Xu D, Wang B, et al. Increased risk of cancer in relation to gout: a review of three prospective cohort studies with 50,358 subjects. MediatorsInflamm. 2015;2015:680853.</w:t>
      </w:r>
    </w:p>
    <w:p w14:paraId="03FECE39"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eastAsia="sv-SE"/>
        </w:rPr>
      </w:pPr>
      <w:r w:rsidRPr="00644CB4">
        <w:rPr>
          <w:rFonts w:eastAsia="Calibri" w:cs="Arial"/>
          <w:color w:val="333333"/>
          <w:spacing w:val="5"/>
          <w:sz w:val="24"/>
          <w:szCs w:val="24"/>
        </w:rPr>
        <w:t xml:space="preserve">DeBosch BJ, Kluth O, Fujiwara H, et al. </w:t>
      </w:r>
      <w:r w:rsidRPr="00644CB4">
        <w:rPr>
          <w:rFonts w:eastAsia="Calibri" w:cs="Arial"/>
          <w:color w:val="333333"/>
          <w:spacing w:val="5"/>
          <w:sz w:val="24"/>
          <w:szCs w:val="24"/>
          <w:lang w:val="en-US"/>
        </w:rPr>
        <w:t xml:space="preserve">Early-onset metabolic syndrome in mice lacking the intestinal uric acid transporter SLC2A9. </w:t>
      </w:r>
      <w:r w:rsidRPr="00644CB4">
        <w:rPr>
          <w:rFonts w:eastAsia="Calibri" w:cs="Arial"/>
          <w:color w:val="333333"/>
          <w:spacing w:val="5"/>
          <w:sz w:val="24"/>
          <w:szCs w:val="24"/>
        </w:rPr>
        <w:t>Nat Commun. 2014;5:4642.</w:t>
      </w:r>
    </w:p>
    <w:p w14:paraId="613A0C5A"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eastAsia="sv-SE"/>
        </w:rPr>
      </w:pPr>
      <w:r w:rsidRPr="00644CB4">
        <w:rPr>
          <w:rFonts w:eastAsia="Times New Roman" w:cs="Times New Roman"/>
          <w:color w:val="333333"/>
          <w:spacing w:val="5"/>
          <w:sz w:val="24"/>
          <w:szCs w:val="24"/>
          <w:lang w:eastAsia="sv-SE"/>
        </w:rPr>
        <w:t xml:space="preserve">Kanbay M, Jensen T, Solak Y, et al. </w:t>
      </w:r>
      <w:r w:rsidRPr="00644CB4">
        <w:rPr>
          <w:rFonts w:eastAsia="Times New Roman" w:cs="Times New Roman"/>
          <w:color w:val="333333"/>
          <w:spacing w:val="5"/>
          <w:sz w:val="24"/>
          <w:szCs w:val="24"/>
          <w:lang w:val="en-US" w:eastAsia="sv-SE"/>
        </w:rPr>
        <w:t xml:space="preserve">Uric acid in metabolic syndrome: From an innocent bystander to a central player. </w:t>
      </w:r>
      <w:r w:rsidRPr="00644CB4">
        <w:rPr>
          <w:rFonts w:eastAsia="Times New Roman" w:cs="Times New Roman"/>
          <w:color w:val="333333"/>
          <w:spacing w:val="5"/>
          <w:sz w:val="24"/>
          <w:szCs w:val="24"/>
          <w:lang w:eastAsia="sv-SE"/>
        </w:rPr>
        <w:t>Eur J Intern Med. 2016;29:3-8.</w:t>
      </w:r>
    </w:p>
    <w:p w14:paraId="0AF8BE44"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eastAsia="sv-SE"/>
        </w:rPr>
      </w:pPr>
      <w:r w:rsidRPr="00644CB4">
        <w:rPr>
          <w:rFonts w:eastAsia="Times New Roman" w:cs="Times New Roman"/>
          <w:color w:val="333333"/>
          <w:spacing w:val="5"/>
          <w:sz w:val="24"/>
          <w:szCs w:val="24"/>
          <w:lang w:eastAsia="sv-SE"/>
        </w:rPr>
        <w:t xml:space="preserve">Takir M, Köstek O, Özkök A, et al. </w:t>
      </w:r>
      <w:r w:rsidRPr="00644CB4">
        <w:rPr>
          <w:rFonts w:eastAsia="Times New Roman" w:cs="Times New Roman"/>
          <w:color w:val="333333"/>
          <w:spacing w:val="5"/>
          <w:sz w:val="24"/>
          <w:szCs w:val="24"/>
          <w:lang w:val="en-US" w:eastAsia="sv-SE"/>
        </w:rPr>
        <w:t xml:space="preserve">Lowering uric acid with allopurinol improves insulin resistance and systemic inflammation in asymptomatic hyperuricemia. </w:t>
      </w:r>
      <w:r w:rsidRPr="00644CB4">
        <w:rPr>
          <w:rFonts w:eastAsia="Times New Roman" w:cs="Times New Roman"/>
          <w:color w:val="333333"/>
          <w:spacing w:val="5"/>
          <w:sz w:val="24"/>
          <w:szCs w:val="24"/>
          <w:lang w:eastAsia="sv-SE"/>
        </w:rPr>
        <w:t>J Investig Med. 2015;63(8):924-9.</w:t>
      </w:r>
    </w:p>
    <w:p w14:paraId="03A7DF2B"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eastAsia="sv-SE"/>
        </w:rPr>
      </w:pPr>
      <w:r w:rsidRPr="00644CB4">
        <w:rPr>
          <w:rFonts w:eastAsia="Times New Roman" w:cs="Times New Roman"/>
          <w:color w:val="333333"/>
          <w:spacing w:val="5"/>
          <w:sz w:val="24"/>
          <w:szCs w:val="24"/>
          <w:lang w:eastAsia="sv-SE"/>
        </w:rPr>
        <w:t xml:space="preserve">Wändell P, Andreasson A, Hagström H, et al. </w:t>
      </w:r>
      <w:r w:rsidRPr="00644CB4">
        <w:rPr>
          <w:rFonts w:eastAsia="Times New Roman" w:cs="Times New Roman"/>
          <w:color w:val="333333"/>
          <w:spacing w:val="5"/>
          <w:sz w:val="24"/>
          <w:szCs w:val="24"/>
          <w:lang w:val="en-US" w:eastAsia="sv-SE"/>
        </w:rPr>
        <w:t xml:space="preserve">The use of anthropometric measures in the prediction of incident gout: results from a Swedish community-based cohort study. </w:t>
      </w:r>
      <w:r w:rsidRPr="00644CB4">
        <w:rPr>
          <w:rFonts w:eastAsia="Times New Roman" w:cs="Times New Roman"/>
          <w:color w:val="333333"/>
          <w:spacing w:val="5"/>
          <w:sz w:val="24"/>
          <w:szCs w:val="24"/>
          <w:lang w:eastAsia="sv-SE"/>
        </w:rPr>
        <w:t>Scand J Rheumatol. 2019;48(4):294-9.</w:t>
      </w:r>
    </w:p>
    <w:p w14:paraId="5A292B64"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eastAsia="sv-SE"/>
        </w:rPr>
      </w:pPr>
      <w:r w:rsidRPr="00644CB4">
        <w:rPr>
          <w:rFonts w:eastAsia="Times New Roman" w:cs="Times New Roman"/>
          <w:color w:val="333333"/>
          <w:spacing w:val="5"/>
          <w:sz w:val="24"/>
          <w:szCs w:val="24"/>
          <w:lang w:eastAsia="sv-SE"/>
        </w:rPr>
        <w:t xml:space="preserve">Maglio C, Peltonen M, Neovius M, et al. </w:t>
      </w:r>
      <w:r w:rsidRPr="00644CB4">
        <w:rPr>
          <w:rFonts w:eastAsia="Times New Roman" w:cs="Times New Roman"/>
          <w:color w:val="333333"/>
          <w:spacing w:val="5"/>
          <w:sz w:val="24"/>
          <w:szCs w:val="24"/>
          <w:lang w:val="en-US" w:eastAsia="sv-SE"/>
        </w:rPr>
        <w:t xml:space="preserve">Effects of bariatric surgery on gout incidence in the Swedish Obese Subjects study: a non-randomised, prospective, controlled intervention trial. </w:t>
      </w:r>
      <w:r w:rsidRPr="00644CB4">
        <w:rPr>
          <w:rFonts w:eastAsia="Times New Roman" w:cs="Times New Roman"/>
          <w:color w:val="333333"/>
          <w:spacing w:val="5"/>
          <w:sz w:val="24"/>
          <w:szCs w:val="24"/>
          <w:lang w:eastAsia="sv-SE"/>
        </w:rPr>
        <w:t>Ann Rheum Dis. 2017;76(4):688-93.</w:t>
      </w:r>
    </w:p>
    <w:p w14:paraId="7872930F"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eastAsia="sv-SE"/>
        </w:rPr>
      </w:pPr>
      <w:r w:rsidRPr="00644CB4">
        <w:rPr>
          <w:rFonts w:eastAsia="Times New Roman" w:cs="Times New Roman"/>
          <w:color w:val="333333"/>
          <w:spacing w:val="5"/>
          <w:sz w:val="24"/>
          <w:szCs w:val="24"/>
          <w:lang w:eastAsia="sv-SE"/>
        </w:rPr>
        <w:t>Läkemedelsbehandling av gikt – behandlingsrekommendation. Information från Läkemedelsverket. 2016;(3):23-33.</w:t>
      </w:r>
    </w:p>
    <w:p w14:paraId="5E80B0B1"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val="en-US" w:eastAsia="sv-SE"/>
        </w:rPr>
      </w:pPr>
      <w:r w:rsidRPr="00644CB4">
        <w:rPr>
          <w:rFonts w:eastAsia="Times New Roman" w:cs="Times New Roman"/>
          <w:color w:val="333333"/>
          <w:spacing w:val="5"/>
          <w:sz w:val="24"/>
          <w:szCs w:val="24"/>
          <w:lang w:val="en-US" w:eastAsia="sv-SE"/>
        </w:rPr>
        <w:lastRenderedPageBreak/>
        <w:t>Dalbeth N, Bardin T, Doherty M, et al. Discordant American College of Physicians and international rheumatology guidelines for gout management: consensus statement of the Gout, Hyperuricemia and Crystal-Associated Disease Network (G-CAN). Nat Rev Rheumatol. 2017;13(9):561-8.</w:t>
      </w:r>
    </w:p>
    <w:p w14:paraId="0A075517"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val="en-US" w:eastAsia="sv-SE"/>
        </w:rPr>
      </w:pPr>
      <w:r w:rsidRPr="00644CB4">
        <w:rPr>
          <w:rFonts w:eastAsia="Times New Roman" w:cs="Times New Roman"/>
          <w:color w:val="333333"/>
          <w:spacing w:val="5"/>
          <w:sz w:val="24"/>
          <w:szCs w:val="24"/>
          <w:lang w:val="en-US" w:eastAsia="sv-SE"/>
        </w:rPr>
        <w:t>Doherty M, Jenkins W, Richardson H, et al. Efficacy and cost-effectiveness of nurse-led care involving education and engagement of patients and a treat-to-target urate-lowering strategy versus usual care for gout: a randomised controlled trial. Lancet. 2018;392(10156):1403-12.</w:t>
      </w:r>
    </w:p>
    <w:p w14:paraId="5657FE37"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eastAsia="sv-SE"/>
        </w:rPr>
      </w:pPr>
      <w:r w:rsidRPr="00644CB4">
        <w:rPr>
          <w:rFonts w:eastAsia="Times New Roman" w:cs="Times New Roman"/>
          <w:color w:val="333333"/>
          <w:spacing w:val="5"/>
          <w:sz w:val="24"/>
          <w:szCs w:val="24"/>
          <w:lang w:val="en-US" w:eastAsia="sv-SE"/>
        </w:rPr>
        <w:t xml:space="preserve">White WB, Saag KG, Becker MA, et al; CARES Investigators. Cardiovascular safety of febuxostat or allopurinol in patients with gout. </w:t>
      </w:r>
      <w:r w:rsidRPr="00644CB4">
        <w:rPr>
          <w:rFonts w:eastAsia="Times New Roman" w:cs="Times New Roman"/>
          <w:color w:val="333333"/>
          <w:spacing w:val="5"/>
          <w:sz w:val="24"/>
          <w:szCs w:val="24"/>
          <w:lang w:eastAsia="sv-SE"/>
        </w:rPr>
        <w:t>N Engl J Med. 2018;378(13):1200-10.</w:t>
      </w:r>
    </w:p>
    <w:p w14:paraId="08C059ED" w14:textId="77777777" w:rsidR="00702564" w:rsidRPr="00644CB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eastAsia="sv-SE"/>
        </w:rPr>
      </w:pPr>
      <w:r w:rsidRPr="00644CB4">
        <w:rPr>
          <w:rFonts w:eastAsia="Times New Roman" w:cs="Times New Roman"/>
          <w:color w:val="333333"/>
          <w:spacing w:val="5"/>
          <w:sz w:val="24"/>
          <w:szCs w:val="24"/>
          <w:lang w:val="en-US" w:eastAsia="sv-SE"/>
        </w:rPr>
        <w:t xml:space="preserve">Rees F, Jenkins W, Doherty M. Patients with gout adhere to curative treatment if informed appropriately: proof-of-concept observational study. </w:t>
      </w:r>
      <w:r w:rsidRPr="00644CB4">
        <w:rPr>
          <w:rFonts w:eastAsia="Times New Roman" w:cs="Times New Roman"/>
          <w:color w:val="333333"/>
          <w:spacing w:val="5"/>
          <w:sz w:val="24"/>
          <w:szCs w:val="24"/>
          <w:lang w:eastAsia="sv-SE"/>
        </w:rPr>
        <w:t>Ann Rheum Dis. 2013;72(6):826-30.</w:t>
      </w:r>
    </w:p>
    <w:p w14:paraId="564699AF" w14:textId="77777777" w:rsidR="00702564" w:rsidRDefault="00702564" w:rsidP="00702564">
      <w:pPr>
        <w:numPr>
          <w:ilvl w:val="0"/>
          <w:numId w:val="37"/>
        </w:numPr>
        <w:tabs>
          <w:tab w:val="clear" w:pos="284"/>
        </w:tabs>
        <w:spacing w:before="100" w:beforeAutospacing="1" w:after="100" w:afterAutospacing="1" w:line="240" w:lineRule="auto"/>
        <w:rPr>
          <w:rFonts w:eastAsia="Times New Roman" w:cs="Times New Roman"/>
          <w:color w:val="333333"/>
          <w:spacing w:val="5"/>
          <w:sz w:val="24"/>
          <w:szCs w:val="24"/>
          <w:lang w:eastAsia="sv-SE"/>
        </w:rPr>
      </w:pPr>
      <w:r w:rsidRPr="00644CB4">
        <w:rPr>
          <w:rFonts w:eastAsia="Times New Roman" w:cs="Times New Roman"/>
          <w:color w:val="333333"/>
          <w:spacing w:val="5"/>
          <w:sz w:val="24"/>
          <w:szCs w:val="24"/>
          <w:lang w:val="en-US" w:eastAsia="sv-SE"/>
        </w:rPr>
        <w:t xml:space="preserve">White WB, Saag KG, Becker MA, et al; CARES Investigators. Cardiovascular safety of febuxostat or allopurinol in patients with gout. </w:t>
      </w:r>
      <w:r w:rsidRPr="00644CB4">
        <w:rPr>
          <w:rFonts w:eastAsia="Times New Roman" w:cs="Times New Roman"/>
          <w:color w:val="333333"/>
          <w:spacing w:val="5"/>
          <w:sz w:val="24"/>
          <w:szCs w:val="24"/>
          <w:lang w:eastAsia="sv-SE"/>
        </w:rPr>
        <w:t>N Engl J Med. 2018;378(13):1200-10.</w:t>
      </w:r>
    </w:p>
    <w:p w14:paraId="6D82BE71" w14:textId="77777777" w:rsidR="00702564" w:rsidRDefault="00702564" w:rsidP="00702564">
      <w:pPr>
        <w:tabs>
          <w:tab w:val="clear" w:pos="284"/>
        </w:tabs>
        <w:spacing w:after="120" w:line="260" w:lineRule="atLeast"/>
        <w:rPr>
          <w:rFonts w:eastAsia="Times New Roman" w:cs="Times New Roman"/>
          <w:color w:val="333333"/>
          <w:spacing w:val="5"/>
          <w:sz w:val="24"/>
          <w:szCs w:val="24"/>
          <w:lang w:eastAsia="sv-SE"/>
        </w:rPr>
      </w:pPr>
    </w:p>
    <w:p w14:paraId="4BD0D628" w14:textId="77777777" w:rsidR="00702564" w:rsidRDefault="00702564" w:rsidP="00702564">
      <w:pPr>
        <w:pStyle w:val="Rubrik2"/>
        <w:rPr>
          <w:rFonts w:cstheme="minorHAnsi"/>
          <w:b w:val="0"/>
        </w:rPr>
      </w:pPr>
      <w:r w:rsidRPr="00B34843">
        <w:rPr>
          <w:sz w:val="24"/>
          <w:szCs w:val="24"/>
        </w:rPr>
        <w:t xml:space="preserve">Glukokortikoider </w:t>
      </w:r>
    </w:p>
    <w:tbl>
      <w:tblPr>
        <w:tblStyle w:val="Tabellrutnt"/>
        <w:tblW w:w="9072" w:type="dxa"/>
        <w:tblLook w:val="04A0" w:firstRow="1" w:lastRow="0" w:firstColumn="1" w:lastColumn="0" w:noHBand="0" w:noVBand="1"/>
      </w:tblPr>
      <w:tblGrid>
        <w:gridCol w:w="4531"/>
        <w:gridCol w:w="4541"/>
      </w:tblGrid>
      <w:tr w:rsidR="00702564" w14:paraId="68B9C9B8" w14:textId="77777777" w:rsidTr="00632FCC">
        <w:tc>
          <w:tcPr>
            <w:tcW w:w="4531" w:type="dxa"/>
            <w:tcBorders>
              <w:bottom w:val="single" w:sz="4" w:space="0" w:color="auto"/>
            </w:tcBorders>
          </w:tcPr>
          <w:p w14:paraId="25B4A5F5" w14:textId="77777777" w:rsidR="00702564" w:rsidRPr="00D377B6" w:rsidRDefault="00702564" w:rsidP="00632FCC">
            <w:pPr>
              <w:rPr>
                <w:b/>
              </w:rPr>
            </w:pPr>
            <w:r w:rsidRPr="008A792B">
              <w:rPr>
                <w:b/>
                <w:sz w:val="24"/>
                <w:szCs w:val="24"/>
              </w:rPr>
              <w:t>För injektion</w:t>
            </w:r>
          </w:p>
        </w:tc>
        <w:tc>
          <w:tcPr>
            <w:tcW w:w="4541" w:type="dxa"/>
            <w:tcBorders>
              <w:bottom w:val="single" w:sz="4" w:space="0" w:color="auto"/>
            </w:tcBorders>
          </w:tcPr>
          <w:p w14:paraId="1E4F7149" w14:textId="77777777" w:rsidR="00702564" w:rsidRDefault="00702564" w:rsidP="00632FCC">
            <w:pPr>
              <w:rPr>
                <w:rFonts w:cstheme="minorHAnsi"/>
                <w:b/>
              </w:rPr>
            </w:pPr>
          </w:p>
        </w:tc>
      </w:tr>
      <w:tr w:rsidR="00702564" w:rsidRPr="00644CB4" w14:paraId="0AA14B7F" w14:textId="77777777" w:rsidTr="00632FCC">
        <w:tc>
          <w:tcPr>
            <w:tcW w:w="4531" w:type="dxa"/>
            <w:tcBorders>
              <w:top w:val="single" w:sz="4" w:space="0" w:color="auto"/>
              <w:left w:val="single" w:sz="4" w:space="0" w:color="auto"/>
            </w:tcBorders>
          </w:tcPr>
          <w:p w14:paraId="3A7C8DA2" w14:textId="77777777" w:rsidR="00702564" w:rsidRPr="00644CB4" w:rsidRDefault="00702564" w:rsidP="00632FCC">
            <w:pPr>
              <w:rPr>
                <w:rFonts w:cstheme="minorHAnsi"/>
                <w:b/>
                <w:bCs/>
                <w:sz w:val="24"/>
                <w:szCs w:val="24"/>
              </w:rPr>
            </w:pPr>
            <w:r w:rsidRPr="00644CB4">
              <w:rPr>
                <w:b/>
                <w:sz w:val="24"/>
                <w:szCs w:val="24"/>
              </w:rPr>
              <w:t>metylprednisolon</w:t>
            </w:r>
          </w:p>
        </w:tc>
        <w:tc>
          <w:tcPr>
            <w:tcW w:w="4541" w:type="dxa"/>
            <w:tcBorders>
              <w:top w:val="single" w:sz="4" w:space="0" w:color="auto"/>
              <w:right w:val="single" w:sz="4" w:space="0" w:color="auto"/>
            </w:tcBorders>
          </w:tcPr>
          <w:p w14:paraId="57524802" w14:textId="77777777" w:rsidR="00702564" w:rsidRPr="00644CB4" w:rsidRDefault="00702564" w:rsidP="00632FCC">
            <w:pPr>
              <w:rPr>
                <w:b/>
                <w:sz w:val="24"/>
                <w:szCs w:val="24"/>
              </w:rPr>
            </w:pPr>
            <w:r w:rsidRPr="00644CB4">
              <w:rPr>
                <w:sz w:val="24"/>
                <w:szCs w:val="24"/>
              </w:rPr>
              <w:t>Depo-Medrol</w:t>
            </w:r>
          </w:p>
        </w:tc>
      </w:tr>
      <w:tr w:rsidR="00702564" w:rsidRPr="00644CB4" w14:paraId="0F645435" w14:textId="77777777" w:rsidTr="00632FCC">
        <w:tc>
          <w:tcPr>
            <w:tcW w:w="9072" w:type="dxa"/>
            <w:gridSpan w:val="2"/>
            <w:tcBorders>
              <w:left w:val="single" w:sz="4" w:space="0" w:color="auto"/>
              <w:bottom w:val="single" w:sz="4" w:space="0" w:color="auto"/>
              <w:right w:val="single" w:sz="4" w:space="0" w:color="auto"/>
            </w:tcBorders>
          </w:tcPr>
          <w:p w14:paraId="68DA07A6" w14:textId="77777777" w:rsidR="00702564" w:rsidRPr="00644CB4" w:rsidRDefault="00702564" w:rsidP="00632FCC">
            <w:pPr>
              <w:rPr>
                <w:b/>
                <w:sz w:val="24"/>
                <w:szCs w:val="24"/>
              </w:rPr>
            </w:pPr>
            <w:r w:rsidRPr="00644CB4">
              <w:rPr>
                <w:sz w:val="24"/>
                <w:szCs w:val="24"/>
              </w:rPr>
              <w:t>(små leder och periartikulärt, lämplig dos är 0,1-0,25 ml dvs 4-10 mg)</w:t>
            </w:r>
          </w:p>
        </w:tc>
      </w:tr>
      <w:tr w:rsidR="00702564" w:rsidRPr="00644CB4" w14:paraId="49917614" w14:textId="77777777" w:rsidTr="00632FCC">
        <w:tc>
          <w:tcPr>
            <w:tcW w:w="4531" w:type="dxa"/>
            <w:tcBorders>
              <w:top w:val="single" w:sz="4" w:space="0" w:color="auto"/>
              <w:left w:val="single" w:sz="4" w:space="0" w:color="auto"/>
            </w:tcBorders>
          </w:tcPr>
          <w:p w14:paraId="16FF341F" w14:textId="77777777" w:rsidR="00702564" w:rsidRPr="00644CB4" w:rsidRDefault="00702564" w:rsidP="00632FCC">
            <w:pPr>
              <w:rPr>
                <w:rFonts w:cstheme="minorHAnsi"/>
                <w:b/>
                <w:bCs/>
                <w:sz w:val="24"/>
                <w:szCs w:val="24"/>
              </w:rPr>
            </w:pPr>
            <w:r w:rsidRPr="00644CB4">
              <w:rPr>
                <w:b/>
                <w:sz w:val="24"/>
                <w:szCs w:val="24"/>
              </w:rPr>
              <w:t xml:space="preserve">triamcinolon              </w:t>
            </w:r>
          </w:p>
        </w:tc>
        <w:tc>
          <w:tcPr>
            <w:tcW w:w="4541" w:type="dxa"/>
            <w:tcBorders>
              <w:top w:val="single" w:sz="4" w:space="0" w:color="auto"/>
              <w:right w:val="single" w:sz="4" w:space="0" w:color="auto"/>
            </w:tcBorders>
          </w:tcPr>
          <w:p w14:paraId="577F4BF2" w14:textId="77777777" w:rsidR="00702564" w:rsidRPr="00644CB4" w:rsidRDefault="00702564" w:rsidP="00632FCC">
            <w:pPr>
              <w:rPr>
                <w:b/>
                <w:sz w:val="24"/>
                <w:szCs w:val="24"/>
              </w:rPr>
            </w:pPr>
            <w:r w:rsidRPr="00644CB4">
              <w:rPr>
                <w:sz w:val="24"/>
                <w:szCs w:val="24"/>
              </w:rPr>
              <w:t>Lederspan</w:t>
            </w:r>
          </w:p>
        </w:tc>
      </w:tr>
      <w:tr w:rsidR="00702564" w:rsidRPr="00644CB4" w14:paraId="304FB7FB" w14:textId="77777777" w:rsidTr="00632FCC">
        <w:tc>
          <w:tcPr>
            <w:tcW w:w="4531" w:type="dxa"/>
            <w:tcBorders>
              <w:left w:val="single" w:sz="4" w:space="0" w:color="auto"/>
            </w:tcBorders>
          </w:tcPr>
          <w:p w14:paraId="6C6BBE12" w14:textId="77777777" w:rsidR="00702564" w:rsidRPr="00644CB4" w:rsidRDefault="00702564" w:rsidP="00632FCC">
            <w:pPr>
              <w:rPr>
                <w:b/>
                <w:sz w:val="24"/>
                <w:szCs w:val="24"/>
              </w:rPr>
            </w:pPr>
            <w:r w:rsidRPr="00644CB4">
              <w:rPr>
                <w:sz w:val="24"/>
                <w:szCs w:val="24"/>
              </w:rPr>
              <w:t xml:space="preserve">20 mg/ml, 1 ml = 20 mg </w:t>
            </w:r>
          </w:p>
        </w:tc>
        <w:tc>
          <w:tcPr>
            <w:tcW w:w="4541" w:type="dxa"/>
            <w:tcBorders>
              <w:right w:val="single" w:sz="4" w:space="0" w:color="auto"/>
            </w:tcBorders>
          </w:tcPr>
          <w:p w14:paraId="7C67AC73" w14:textId="77777777" w:rsidR="00702564" w:rsidRPr="00644CB4" w:rsidRDefault="00702564" w:rsidP="00632FCC">
            <w:pPr>
              <w:rPr>
                <w:rFonts w:cstheme="minorHAnsi"/>
                <w:b/>
                <w:sz w:val="24"/>
                <w:szCs w:val="24"/>
              </w:rPr>
            </w:pPr>
          </w:p>
        </w:tc>
      </w:tr>
      <w:tr w:rsidR="00702564" w:rsidRPr="00644CB4" w14:paraId="4A882FD2" w14:textId="77777777" w:rsidTr="00632FCC">
        <w:tc>
          <w:tcPr>
            <w:tcW w:w="9072" w:type="dxa"/>
            <w:gridSpan w:val="2"/>
            <w:tcBorders>
              <w:left w:val="single" w:sz="4" w:space="0" w:color="auto"/>
              <w:bottom w:val="single" w:sz="4" w:space="0" w:color="auto"/>
              <w:right w:val="single" w:sz="4" w:space="0" w:color="auto"/>
            </w:tcBorders>
          </w:tcPr>
          <w:p w14:paraId="7D51E9ED" w14:textId="77777777" w:rsidR="00702564" w:rsidRPr="00644CB4" w:rsidRDefault="00702564" w:rsidP="00632FCC">
            <w:pPr>
              <w:rPr>
                <w:b/>
                <w:sz w:val="24"/>
                <w:szCs w:val="24"/>
              </w:rPr>
            </w:pPr>
            <w:r w:rsidRPr="00644CB4">
              <w:rPr>
                <w:sz w:val="24"/>
                <w:szCs w:val="24"/>
              </w:rPr>
              <w:t>(mellanstora och stora leder, lämplig dos är 1 ml dvs 20mg)</w:t>
            </w:r>
          </w:p>
        </w:tc>
      </w:tr>
      <w:tr w:rsidR="00702564" w:rsidRPr="00644CB4" w14:paraId="4D0D4787" w14:textId="77777777" w:rsidTr="00632FCC">
        <w:tc>
          <w:tcPr>
            <w:tcW w:w="4531" w:type="dxa"/>
            <w:tcBorders>
              <w:top w:val="single" w:sz="4" w:space="0" w:color="auto"/>
              <w:left w:val="single" w:sz="4" w:space="0" w:color="auto"/>
            </w:tcBorders>
          </w:tcPr>
          <w:p w14:paraId="659F558B" w14:textId="77777777" w:rsidR="00702564" w:rsidRPr="00644CB4" w:rsidRDefault="00702564" w:rsidP="00632FCC">
            <w:pPr>
              <w:rPr>
                <w:rFonts w:cstheme="minorHAnsi"/>
                <w:b/>
                <w:bCs/>
                <w:sz w:val="24"/>
                <w:szCs w:val="24"/>
              </w:rPr>
            </w:pPr>
            <w:r w:rsidRPr="00644CB4">
              <w:rPr>
                <w:b/>
                <w:sz w:val="24"/>
                <w:szCs w:val="24"/>
              </w:rPr>
              <w:t>triamcinolon</w:t>
            </w:r>
          </w:p>
        </w:tc>
        <w:tc>
          <w:tcPr>
            <w:tcW w:w="4541" w:type="dxa"/>
            <w:tcBorders>
              <w:top w:val="single" w:sz="4" w:space="0" w:color="auto"/>
              <w:right w:val="single" w:sz="4" w:space="0" w:color="auto"/>
            </w:tcBorders>
          </w:tcPr>
          <w:p w14:paraId="2CA18F90" w14:textId="77777777" w:rsidR="00702564" w:rsidRPr="00644CB4" w:rsidRDefault="00702564" w:rsidP="00632FCC">
            <w:pPr>
              <w:rPr>
                <w:sz w:val="24"/>
                <w:szCs w:val="24"/>
              </w:rPr>
            </w:pPr>
            <w:r w:rsidRPr="00644CB4">
              <w:rPr>
                <w:sz w:val="24"/>
                <w:szCs w:val="24"/>
              </w:rPr>
              <w:t xml:space="preserve">Kenacort-T </w:t>
            </w:r>
          </w:p>
        </w:tc>
      </w:tr>
      <w:tr w:rsidR="00702564" w:rsidRPr="00644CB4" w14:paraId="4A887404" w14:textId="77777777" w:rsidTr="00632FCC">
        <w:tc>
          <w:tcPr>
            <w:tcW w:w="4531" w:type="dxa"/>
            <w:tcBorders>
              <w:left w:val="single" w:sz="4" w:space="0" w:color="auto"/>
            </w:tcBorders>
          </w:tcPr>
          <w:p w14:paraId="117DD313" w14:textId="77777777" w:rsidR="00702564" w:rsidRPr="00644CB4" w:rsidRDefault="00702564" w:rsidP="00632FCC">
            <w:pPr>
              <w:rPr>
                <w:b/>
                <w:sz w:val="24"/>
                <w:szCs w:val="24"/>
              </w:rPr>
            </w:pPr>
            <w:r w:rsidRPr="00644CB4">
              <w:rPr>
                <w:sz w:val="24"/>
                <w:szCs w:val="24"/>
              </w:rPr>
              <w:t>40 mg/ml = 40 mg</w:t>
            </w:r>
          </w:p>
        </w:tc>
        <w:tc>
          <w:tcPr>
            <w:tcW w:w="4541" w:type="dxa"/>
            <w:tcBorders>
              <w:right w:val="single" w:sz="4" w:space="0" w:color="auto"/>
            </w:tcBorders>
          </w:tcPr>
          <w:p w14:paraId="231728E4" w14:textId="77777777" w:rsidR="00702564" w:rsidRPr="00644CB4" w:rsidRDefault="00702564" w:rsidP="00632FCC">
            <w:pPr>
              <w:rPr>
                <w:rFonts w:cstheme="minorHAnsi"/>
                <w:b/>
                <w:sz w:val="24"/>
                <w:szCs w:val="24"/>
              </w:rPr>
            </w:pPr>
          </w:p>
        </w:tc>
      </w:tr>
      <w:tr w:rsidR="00702564" w:rsidRPr="00644CB4" w14:paraId="3CFC281C" w14:textId="77777777" w:rsidTr="00632FCC">
        <w:tc>
          <w:tcPr>
            <w:tcW w:w="9072" w:type="dxa"/>
            <w:gridSpan w:val="2"/>
            <w:tcBorders>
              <w:left w:val="single" w:sz="4" w:space="0" w:color="auto"/>
              <w:bottom w:val="single" w:sz="4" w:space="0" w:color="auto"/>
              <w:right w:val="single" w:sz="4" w:space="0" w:color="auto"/>
            </w:tcBorders>
          </w:tcPr>
          <w:p w14:paraId="6FD79857" w14:textId="77777777" w:rsidR="00702564" w:rsidRPr="00644CB4" w:rsidRDefault="00702564" w:rsidP="00632FCC">
            <w:pPr>
              <w:rPr>
                <w:b/>
                <w:sz w:val="24"/>
                <w:szCs w:val="24"/>
              </w:rPr>
            </w:pPr>
            <w:r w:rsidRPr="00644CB4">
              <w:rPr>
                <w:sz w:val="24"/>
                <w:szCs w:val="24"/>
              </w:rPr>
              <w:t>(mellanstora och stora leder, lämplig dos är 1 ml dvs 40 mg)</w:t>
            </w:r>
          </w:p>
        </w:tc>
      </w:tr>
    </w:tbl>
    <w:p w14:paraId="309B803B" w14:textId="77777777" w:rsidR="00702564" w:rsidRPr="00644CB4" w:rsidRDefault="00702564" w:rsidP="00702564">
      <w:pPr>
        <w:rPr>
          <w:sz w:val="24"/>
          <w:szCs w:val="24"/>
        </w:rPr>
      </w:pPr>
      <w:r>
        <w:rPr>
          <w:sz w:val="24"/>
          <w:szCs w:val="24"/>
        </w:rPr>
        <w:br/>
      </w:r>
      <w:r w:rsidRPr="00644CB4">
        <w:rPr>
          <w:sz w:val="24"/>
          <w:szCs w:val="24"/>
        </w:rPr>
        <w:t xml:space="preserve">Lederspan 20mg/ml kan blandas med Carbocain 10 mg/ml vid subacromiell injektion, </w:t>
      </w:r>
      <w:r>
        <w:rPr>
          <w:sz w:val="24"/>
          <w:szCs w:val="24"/>
        </w:rPr>
        <w:br/>
      </w:r>
      <w:r w:rsidRPr="00644CB4">
        <w:rPr>
          <w:sz w:val="24"/>
          <w:szCs w:val="24"/>
        </w:rPr>
        <w:t xml:space="preserve">exempelvis 1 ml Lederspan och 9 ml Carbocain. </w:t>
      </w:r>
    </w:p>
    <w:p w14:paraId="58932AE7" w14:textId="77777777" w:rsidR="00702564" w:rsidRPr="00155060" w:rsidRDefault="00702564" w:rsidP="00702564">
      <w:pPr>
        <w:rPr>
          <w:rFonts w:cstheme="minorHAnsi"/>
          <w:sz w:val="24"/>
          <w:szCs w:val="24"/>
        </w:rPr>
      </w:pPr>
    </w:p>
    <w:tbl>
      <w:tblPr>
        <w:tblStyle w:val="Tabellrutnt"/>
        <w:tblW w:w="9072" w:type="dxa"/>
        <w:tblLook w:val="04A0" w:firstRow="1" w:lastRow="0" w:firstColumn="1" w:lastColumn="0" w:noHBand="0" w:noVBand="1"/>
      </w:tblPr>
      <w:tblGrid>
        <w:gridCol w:w="4531"/>
        <w:gridCol w:w="4541"/>
      </w:tblGrid>
      <w:tr w:rsidR="00702564" w14:paraId="5BE740BB" w14:textId="77777777" w:rsidTr="00632FCC">
        <w:tc>
          <w:tcPr>
            <w:tcW w:w="4531" w:type="dxa"/>
            <w:tcBorders>
              <w:bottom w:val="single" w:sz="4" w:space="0" w:color="auto"/>
            </w:tcBorders>
          </w:tcPr>
          <w:p w14:paraId="20E1C719" w14:textId="77777777" w:rsidR="00702564" w:rsidRPr="008A792B" w:rsidRDefault="00702564" w:rsidP="00632FCC">
            <w:pPr>
              <w:rPr>
                <w:sz w:val="24"/>
                <w:szCs w:val="24"/>
              </w:rPr>
            </w:pPr>
            <w:r w:rsidRPr="008A792B">
              <w:rPr>
                <w:b/>
                <w:sz w:val="24"/>
                <w:szCs w:val="24"/>
              </w:rPr>
              <w:t>För systemiskt bruk</w:t>
            </w:r>
          </w:p>
        </w:tc>
        <w:tc>
          <w:tcPr>
            <w:tcW w:w="4541" w:type="dxa"/>
            <w:tcBorders>
              <w:bottom w:val="single" w:sz="4" w:space="0" w:color="auto"/>
            </w:tcBorders>
          </w:tcPr>
          <w:p w14:paraId="109FC222" w14:textId="77777777" w:rsidR="00702564" w:rsidRDefault="00702564" w:rsidP="00632FCC"/>
        </w:tc>
      </w:tr>
      <w:tr w:rsidR="00702564" w:rsidRPr="00644CB4" w14:paraId="6DB5EAF3" w14:textId="77777777" w:rsidTr="00632FCC">
        <w:tc>
          <w:tcPr>
            <w:tcW w:w="4531" w:type="dxa"/>
            <w:tcBorders>
              <w:top w:val="single" w:sz="4" w:space="0" w:color="auto"/>
              <w:left w:val="single" w:sz="4" w:space="0" w:color="auto"/>
              <w:bottom w:val="single" w:sz="4" w:space="0" w:color="auto"/>
              <w:right w:val="single" w:sz="4" w:space="0" w:color="auto"/>
            </w:tcBorders>
          </w:tcPr>
          <w:p w14:paraId="51AB307B" w14:textId="77777777" w:rsidR="00702564" w:rsidRPr="00644CB4" w:rsidRDefault="00702564" w:rsidP="00632FCC">
            <w:pPr>
              <w:rPr>
                <w:b/>
                <w:bCs/>
                <w:sz w:val="24"/>
                <w:szCs w:val="24"/>
              </w:rPr>
            </w:pPr>
            <w:r w:rsidRPr="00644CB4">
              <w:rPr>
                <w:b/>
                <w:sz w:val="24"/>
                <w:szCs w:val="24"/>
              </w:rPr>
              <w:t>betametason</w:t>
            </w:r>
          </w:p>
        </w:tc>
        <w:tc>
          <w:tcPr>
            <w:tcW w:w="4541" w:type="dxa"/>
            <w:tcBorders>
              <w:top w:val="single" w:sz="4" w:space="0" w:color="auto"/>
              <w:left w:val="single" w:sz="4" w:space="0" w:color="auto"/>
              <w:bottom w:val="single" w:sz="4" w:space="0" w:color="auto"/>
              <w:right w:val="single" w:sz="4" w:space="0" w:color="auto"/>
            </w:tcBorders>
          </w:tcPr>
          <w:p w14:paraId="2F6FC3C3" w14:textId="77777777" w:rsidR="00702564" w:rsidRPr="00644CB4" w:rsidRDefault="00702564" w:rsidP="00632FCC">
            <w:pPr>
              <w:rPr>
                <w:sz w:val="24"/>
                <w:szCs w:val="24"/>
              </w:rPr>
            </w:pPr>
            <w:r w:rsidRPr="00644CB4">
              <w:rPr>
                <w:sz w:val="24"/>
                <w:szCs w:val="24"/>
              </w:rPr>
              <w:t>Betapred (Betapred)</w:t>
            </w:r>
          </w:p>
        </w:tc>
      </w:tr>
      <w:tr w:rsidR="00702564" w:rsidRPr="00644CB4" w14:paraId="13C8EF65" w14:textId="77777777" w:rsidTr="00632FCC">
        <w:tc>
          <w:tcPr>
            <w:tcW w:w="4531" w:type="dxa"/>
            <w:tcBorders>
              <w:top w:val="single" w:sz="4" w:space="0" w:color="auto"/>
              <w:left w:val="single" w:sz="4" w:space="0" w:color="auto"/>
              <w:bottom w:val="single" w:sz="4" w:space="0" w:color="auto"/>
              <w:right w:val="single" w:sz="4" w:space="0" w:color="auto"/>
            </w:tcBorders>
          </w:tcPr>
          <w:p w14:paraId="770367AE" w14:textId="77777777" w:rsidR="00702564" w:rsidRPr="00644CB4" w:rsidRDefault="00702564" w:rsidP="00632FCC">
            <w:pPr>
              <w:rPr>
                <w:b/>
                <w:bCs/>
                <w:sz w:val="24"/>
                <w:szCs w:val="24"/>
              </w:rPr>
            </w:pPr>
            <w:r w:rsidRPr="00644CB4">
              <w:rPr>
                <w:b/>
                <w:sz w:val="24"/>
                <w:szCs w:val="24"/>
              </w:rPr>
              <w:t>prednisolon</w:t>
            </w:r>
          </w:p>
        </w:tc>
        <w:tc>
          <w:tcPr>
            <w:tcW w:w="4541" w:type="dxa"/>
            <w:tcBorders>
              <w:top w:val="single" w:sz="4" w:space="0" w:color="auto"/>
              <w:left w:val="single" w:sz="4" w:space="0" w:color="auto"/>
              <w:bottom w:val="single" w:sz="4" w:space="0" w:color="auto"/>
              <w:right w:val="single" w:sz="4" w:space="0" w:color="auto"/>
            </w:tcBorders>
          </w:tcPr>
          <w:p w14:paraId="58AD84B5" w14:textId="77777777" w:rsidR="00702564" w:rsidRPr="00644CB4" w:rsidRDefault="00702564" w:rsidP="00632FCC">
            <w:pPr>
              <w:rPr>
                <w:sz w:val="24"/>
                <w:szCs w:val="24"/>
              </w:rPr>
            </w:pPr>
            <w:r w:rsidRPr="00644CB4">
              <w:rPr>
                <w:sz w:val="24"/>
                <w:szCs w:val="24"/>
              </w:rPr>
              <w:t>Prednisolon</w:t>
            </w:r>
          </w:p>
        </w:tc>
      </w:tr>
    </w:tbl>
    <w:p w14:paraId="1E94AECA" w14:textId="77777777" w:rsidR="00702564" w:rsidRDefault="00702564" w:rsidP="00702564">
      <w:pPr>
        <w:rPr>
          <w:sz w:val="24"/>
          <w:szCs w:val="24"/>
        </w:rPr>
      </w:pPr>
      <w:r>
        <w:rPr>
          <w:sz w:val="24"/>
          <w:szCs w:val="24"/>
        </w:rPr>
        <w:br/>
      </w:r>
      <w:r w:rsidRPr="00155060">
        <w:rPr>
          <w:sz w:val="24"/>
          <w:szCs w:val="24"/>
        </w:rPr>
        <w:t xml:space="preserve">Prednisolon användes vid tillstånd där antiinflammatorisk och immunosuppressiv verkan är önskvärd. Prednisolon anses lämpligare än Betapred för långtidsbehandling. Doseras på morgonen. Behandling under 1-2 veckor kan avslutas tvärt. </w:t>
      </w:r>
    </w:p>
    <w:p w14:paraId="49023E98" w14:textId="77777777" w:rsidR="00702564" w:rsidRPr="00155060" w:rsidRDefault="00702564" w:rsidP="00702564">
      <w:pPr>
        <w:rPr>
          <w:sz w:val="24"/>
          <w:szCs w:val="24"/>
        </w:rPr>
      </w:pPr>
      <w:r w:rsidRPr="00155060">
        <w:rPr>
          <w:sz w:val="24"/>
          <w:szCs w:val="24"/>
        </w:rPr>
        <w:t xml:space="preserve">Vid långtidsbehandling: </w:t>
      </w:r>
    </w:p>
    <w:p w14:paraId="7628246F" w14:textId="77777777" w:rsidR="00702564" w:rsidRPr="00155060" w:rsidRDefault="00702564" w:rsidP="00702564">
      <w:pPr>
        <w:pStyle w:val="Liststycke"/>
        <w:numPr>
          <w:ilvl w:val="0"/>
          <w:numId w:val="36"/>
        </w:numPr>
        <w:contextualSpacing/>
        <w:rPr>
          <w:sz w:val="24"/>
          <w:szCs w:val="24"/>
        </w:rPr>
      </w:pPr>
      <w:r w:rsidRPr="00155060">
        <w:rPr>
          <w:sz w:val="24"/>
          <w:szCs w:val="24"/>
        </w:rPr>
        <w:t>Anpassa dosering till sjukdomsaktivitet</w:t>
      </w:r>
    </w:p>
    <w:p w14:paraId="7D0AA0A5" w14:textId="77777777" w:rsidR="00702564" w:rsidRPr="00155060" w:rsidRDefault="00702564" w:rsidP="00702564">
      <w:pPr>
        <w:pStyle w:val="Liststycke"/>
        <w:numPr>
          <w:ilvl w:val="0"/>
          <w:numId w:val="36"/>
        </w:numPr>
        <w:contextualSpacing/>
        <w:rPr>
          <w:sz w:val="24"/>
          <w:szCs w:val="24"/>
        </w:rPr>
      </w:pPr>
      <w:r w:rsidRPr="00155060">
        <w:rPr>
          <w:sz w:val="24"/>
          <w:szCs w:val="24"/>
        </w:rPr>
        <w:t>Ta hänsyn till riskfaktorer för biverkningar</w:t>
      </w:r>
    </w:p>
    <w:p w14:paraId="1BC1D08E" w14:textId="77777777" w:rsidR="00702564" w:rsidRPr="00155060" w:rsidRDefault="00702564" w:rsidP="00702564">
      <w:pPr>
        <w:pStyle w:val="Liststycke"/>
        <w:numPr>
          <w:ilvl w:val="0"/>
          <w:numId w:val="36"/>
        </w:numPr>
        <w:contextualSpacing/>
        <w:rPr>
          <w:sz w:val="24"/>
          <w:szCs w:val="24"/>
        </w:rPr>
      </w:pPr>
      <w:r w:rsidRPr="00155060">
        <w:rPr>
          <w:sz w:val="24"/>
          <w:szCs w:val="24"/>
        </w:rPr>
        <w:t>Förebygga osteoporos. Se osteoporoskapitel.</w:t>
      </w:r>
    </w:p>
    <w:p w14:paraId="756A9FBD" w14:textId="77777777" w:rsidR="00702564" w:rsidRDefault="00702564" w:rsidP="00702564">
      <w:pPr>
        <w:pStyle w:val="Liststycke"/>
        <w:numPr>
          <w:ilvl w:val="0"/>
          <w:numId w:val="36"/>
        </w:numPr>
        <w:contextualSpacing/>
        <w:rPr>
          <w:sz w:val="24"/>
          <w:szCs w:val="24"/>
        </w:rPr>
      </w:pPr>
      <w:r w:rsidRPr="00155060">
        <w:rPr>
          <w:sz w:val="24"/>
          <w:szCs w:val="24"/>
        </w:rPr>
        <w:t xml:space="preserve">Förebygga gastroduodenala biverkningar. </w:t>
      </w:r>
    </w:p>
    <w:p w14:paraId="167F12CB" w14:textId="77777777" w:rsidR="00702564" w:rsidRDefault="00702564" w:rsidP="00702564">
      <w:pPr>
        <w:tabs>
          <w:tab w:val="clear" w:pos="284"/>
        </w:tabs>
        <w:spacing w:after="120" w:line="260" w:lineRule="atLeast"/>
        <w:rPr>
          <w:sz w:val="24"/>
          <w:szCs w:val="24"/>
        </w:rPr>
      </w:pPr>
      <w:r>
        <w:rPr>
          <w:sz w:val="24"/>
          <w:szCs w:val="24"/>
        </w:rPr>
        <w:br w:type="page"/>
      </w:r>
    </w:p>
    <w:p w14:paraId="2400B669" w14:textId="77777777" w:rsidR="00702564" w:rsidRPr="0086675D" w:rsidRDefault="00702564" w:rsidP="00702564">
      <w:pPr>
        <w:pStyle w:val="Rubrik2"/>
      </w:pPr>
      <w:r w:rsidRPr="0086675D">
        <w:lastRenderedPageBreak/>
        <w:t xml:space="preserve">Smärta hos barn och ungdomar </w:t>
      </w:r>
    </w:p>
    <w:p w14:paraId="4A62AA9E" w14:textId="77777777" w:rsidR="00702564" w:rsidRPr="0086675D" w:rsidRDefault="00702564" w:rsidP="00702564">
      <w:pPr>
        <w:rPr>
          <w:rFonts w:cstheme="minorHAnsi"/>
          <w:sz w:val="24"/>
          <w:szCs w:val="24"/>
        </w:rPr>
      </w:pPr>
      <w:r w:rsidRPr="0086675D">
        <w:rPr>
          <w:sz w:val="24"/>
          <w:szCs w:val="24"/>
        </w:rPr>
        <w:t>Precis som hos vuxna gäller att smärta hos barn skall utredas och värderas avseende typ av smärta och eventuellt bakomliggande orsak.</w:t>
      </w:r>
      <w:r w:rsidRPr="0086675D">
        <w:rPr>
          <w:sz w:val="24"/>
          <w:szCs w:val="24"/>
          <w:vertAlign w:val="superscript"/>
        </w:rPr>
        <w:t>1</w:t>
      </w:r>
      <w:r w:rsidRPr="0086675D">
        <w:rPr>
          <w:sz w:val="24"/>
          <w:szCs w:val="24"/>
        </w:rPr>
        <w:t xml:space="preserve"> Akut smärta skall behandlas med i första hand paracetamol och NSAID. NSAID kan användas från 6 månaders ålder. Vid svåra akuta smärtor kan morfinpreparat läggas till. Framför allt används vanligt morfin, vilket finns både som tablett, injektion och oral lösning men även oxikodon, som finns tillgängligt i samma beredningsformer, kan användas. Vid injektion ges dosen 0,05 – 0,1 mg morfin/oxikodon per kg. Man ska börja med den lägre dosen. Kodein ska ej användas till barn på grund av risken för andningsdepression. Tramadol har heller ingen plats vid behandling av akut nociceptiv smärta. Vid behandling med opioider till barn (vilket i första hand brukar ske inom slutenvården) bör man beakta och behandla de vanligaste biverkningarna, illamående och förstoppning med exempelvis ondansetron och Forlax. </w:t>
      </w:r>
    </w:p>
    <w:p w14:paraId="46384C62" w14:textId="77777777" w:rsidR="00702564" w:rsidRPr="0086675D" w:rsidRDefault="00702564" w:rsidP="00702564">
      <w:pPr>
        <w:rPr>
          <w:sz w:val="24"/>
          <w:szCs w:val="24"/>
        </w:rPr>
      </w:pPr>
      <w:r w:rsidRPr="0086675D">
        <w:rPr>
          <w:sz w:val="24"/>
          <w:szCs w:val="24"/>
        </w:rPr>
        <w:t>Lokalbedövningsmedel i plåsterform ex EMLA kan med fördel användas vid smärta i samband med stick, till exempel blodprovstagning.</w:t>
      </w:r>
      <w:r w:rsidRPr="0086675D">
        <w:rPr>
          <w:sz w:val="24"/>
          <w:szCs w:val="24"/>
          <w:vertAlign w:val="superscript"/>
        </w:rPr>
        <w:t>1,</w:t>
      </w:r>
      <w:r w:rsidRPr="0086675D">
        <w:rPr>
          <w:sz w:val="24"/>
          <w:szCs w:val="24"/>
        </w:rPr>
        <w:t xml:space="preserve"> </w:t>
      </w:r>
      <w:r w:rsidRPr="0086675D">
        <w:rPr>
          <w:sz w:val="24"/>
          <w:szCs w:val="24"/>
          <w:vertAlign w:val="superscript"/>
        </w:rPr>
        <w:t>2</w:t>
      </w:r>
      <w:r w:rsidRPr="0086675D">
        <w:rPr>
          <w:sz w:val="24"/>
          <w:szCs w:val="24"/>
        </w:rPr>
        <w:t xml:space="preserve"> EMLA-plåstret kan sitta upp till 4 timmar på barn över 1 års ålder. Ju längre tid plåstret sitter, desto längre ned i hudlagren fås anestesi.</w:t>
      </w:r>
    </w:p>
    <w:p w14:paraId="78D73566" w14:textId="77777777" w:rsidR="00702564" w:rsidRPr="0086675D" w:rsidRDefault="00702564" w:rsidP="00702564">
      <w:pPr>
        <w:rPr>
          <w:sz w:val="24"/>
          <w:szCs w:val="24"/>
        </w:rPr>
      </w:pPr>
      <w:r w:rsidRPr="0086675D">
        <w:rPr>
          <w:sz w:val="24"/>
          <w:szCs w:val="24"/>
        </w:rPr>
        <w:t xml:space="preserve">Maximal dygnsdos &lt;1 år: </w:t>
      </w:r>
    </w:p>
    <w:p w14:paraId="7328762C" w14:textId="77777777" w:rsidR="00702564" w:rsidRPr="0086675D" w:rsidRDefault="00702564" w:rsidP="00702564">
      <w:pPr>
        <w:rPr>
          <w:sz w:val="24"/>
          <w:szCs w:val="24"/>
        </w:rPr>
      </w:pPr>
      <w:r w:rsidRPr="0086675D">
        <w:rPr>
          <w:sz w:val="24"/>
          <w:szCs w:val="24"/>
        </w:rPr>
        <w:t xml:space="preserve">Barn 1 - 2 mån: 1 gram eller 1 plåster, max 1 tim. applikationstid. </w:t>
      </w:r>
    </w:p>
    <w:p w14:paraId="724A7A61" w14:textId="77777777" w:rsidR="00702564" w:rsidRPr="0086675D" w:rsidRDefault="00702564" w:rsidP="00702564">
      <w:pPr>
        <w:rPr>
          <w:sz w:val="24"/>
          <w:szCs w:val="24"/>
        </w:rPr>
      </w:pPr>
      <w:r w:rsidRPr="0086675D">
        <w:rPr>
          <w:sz w:val="24"/>
          <w:szCs w:val="24"/>
        </w:rPr>
        <w:t>Barn 3 - 11 månader: 2 gram eller 2 plåster, max 1 tim. applikationstid.</w:t>
      </w:r>
    </w:p>
    <w:p w14:paraId="2E45D9F2" w14:textId="77777777" w:rsidR="00702564" w:rsidRDefault="00702564" w:rsidP="00702564">
      <w:pPr>
        <w:rPr>
          <w:sz w:val="24"/>
          <w:szCs w:val="24"/>
        </w:rPr>
      </w:pPr>
      <w:r w:rsidRPr="0086675D">
        <w:rPr>
          <w:sz w:val="24"/>
          <w:szCs w:val="24"/>
        </w:rPr>
        <w:t xml:space="preserve">Lokalbedövningsmedel har lågt pH och svider vid injektion. De bör därför buffras med Natriumbikarbonat innan de används. Till 10 ml Carbocain eller Xylocain (oavsett styrka/adrenalintillsats) används 2 ml Natriumbikarbonat 50 mg/ml. Vid behov av tvätt av smutsiga skrubbsår kan man lägga en våt kompress med blandningen och låta den verka 15 min, detta ger god smärtlindring av sårsmärtan. </w:t>
      </w:r>
    </w:p>
    <w:p w14:paraId="48C6D262" w14:textId="77777777" w:rsidR="00702564" w:rsidRPr="0086675D" w:rsidRDefault="00702564" w:rsidP="00702564">
      <w:pPr>
        <w:rPr>
          <w:sz w:val="24"/>
          <w:szCs w:val="24"/>
          <w:vertAlign w:val="superscript"/>
        </w:rPr>
      </w:pPr>
      <w:r w:rsidRPr="0086675D">
        <w:rPr>
          <w:sz w:val="24"/>
          <w:szCs w:val="24"/>
        </w:rPr>
        <w:t>Långvarig ”godartad” smärta hos barn är i övrigt ett relativt vanligt problem som är svårbehandlat.</w:t>
      </w:r>
      <w:r w:rsidRPr="0086675D">
        <w:rPr>
          <w:sz w:val="24"/>
          <w:szCs w:val="24"/>
          <w:vertAlign w:val="superscript"/>
        </w:rPr>
        <w:t>3</w:t>
      </w:r>
      <w:r w:rsidRPr="0086675D">
        <w:rPr>
          <w:sz w:val="24"/>
          <w:szCs w:val="24"/>
        </w:rPr>
        <w:t xml:space="preserve"> </w:t>
      </w:r>
      <w:r>
        <w:rPr>
          <w:sz w:val="24"/>
          <w:szCs w:val="24"/>
        </w:rPr>
        <w:br/>
      </w:r>
      <w:r w:rsidRPr="0086675D">
        <w:rPr>
          <w:sz w:val="24"/>
          <w:szCs w:val="24"/>
        </w:rPr>
        <w:t>Det är viktigt att genomföra en noggrann klinisk undersökning och en relevant basal utredning, så att oro hos barn och föräldrar över att något ”missats” kan dämpas. Ofta finns bidragande/bakomliggande psykosociala orsaker. Behandlingen bör i första hand vara icke farmakologisk. Sjukgymnastik/fysisk aktivitet anpassad efter barnets ålder kan vara ett bra alternativ och det är viktigt att stödja barnet i detta och uppmuntra till fysisk aktivitet. Ibland kan kurators- eller psykologkontakt komma i fråga.</w:t>
      </w:r>
      <w:r w:rsidRPr="0086675D">
        <w:rPr>
          <w:sz w:val="24"/>
          <w:szCs w:val="24"/>
          <w:vertAlign w:val="superscript"/>
        </w:rPr>
        <w:t>4</w:t>
      </w:r>
    </w:p>
    <w:p w14:paraId="0E81DFA8" w14:textId="77777777" w:rsidR="00702564" w:rsidRPr="0086675D" w:rsidRDefault="00702564" w:rsidP="00702564">
      <w:pPr>
        <w:rPr>
          <w:sz w:val="24"/>
          <w:szCs w:val="24"/>
          <w:vertAlign w:val="superscript"/>
        </w:rPr>
      </w:pPr>
    </w:p>
    <w:p w14:paraId="276DF2A5" w14:textId="77777777" w:rsidR="00702564" w:rsidRPr="0086675D" w:rsidRDefault="00702564" w:rsidP="00702564">
      <w:pPr>
        <w:rPr>
          <w:rFonts w:cstheme="minorHAnsi"/>
          <w:sz w:val="24"/>
          <w:szCs w:val="24"/>
        </w:rPr>
      </w:pPr>
      <w:r w:rsidRPr="0086675D">
        <w:rPr>
          <w:rFonts w:cstheme="minorHAnsi"/>
          <w:sz w:val="24"/>
          <w:szCs w:val="24"/>
        </w:rPr>
        <w:t>•</w:t>
      </w:r>
      <w:r w:rsidRPr="0086675D">
        <w:rPr>
          <w:rFonts w:cstheme="minorHAnsi"/>
          <w:sz w:val="24"/>
          <w:szCs w:val="24"/>
        </w:rPr>
        <w:tab/>
        <w:t xml:space="preserve">Paracetamol: Vid akut smärta kan dosen 20-25 mg/kg/dos x4 ges under 1-3 dygn. </w:t>
      </w:r>
      <w:r>
        <w:rPr>
          <w:rFonts w:cstheme="minorHAnsi"/>
          <w:sz w:val="24"/>
          <w:szCs w:val="24"/>
        </w:rPr>
        <w:br/>
      </w:r>
      <w:r w:rsidRPr="0086675D">
        <w:rPr>
          <w:rFonts w:cstheme="minorHAnsi"/>
          <w:sz w:val="24"/>
          <w:szCs w:val="24"/>
        </w:rPr>
        <w:t>Därefter vanlig dos på 15 mg/kg/dos.  Maxdos 1 gram/dos.</w:t>
      </w:r>
    </w:p>
    <w:p w14:paraId="400269C6" w14:textId="77777777" w:rsidR="00702564" w:rsidRPr="0086675D" w:rsidRDefault="00702564" w:rsidP="00702564">
      <w:pPr>
        <w:rPr>
          <w:rFonts w:cstheme="minorHAnsi"/>
          <w:sz w:val="24"/>
          <w:szCs w:val="24"/>
        </w:rPr>
      </w:pPr>
    </w:p>
    <w:p w14:paraId="37A0B5DC" w14:textId="77777777" w:rsidR="00702564" w:rsidRPr="0086675D" w:rsidRDefault="00702564" w:rsidP="00702564">
      <w:pPr>
        <w:rPr>
          <w:rFonts w:cstheme="minorHAnsi"/>
          <w:sz w:val="24"/>
          <w:szCs w:val="24"/>
        </w:rPr>
      </w:pPr>
      <w:r w:rsidRPr="0086675D">
        <w:rPr>
          <w:rFonts w:cstheme="minorHAnsi"/>
          <w:sz w:val="24"/>
          <w:szCs w:val="24"/>
        </w:rPr>
        <w:t>•</w:t>
      </w:r>
      <w:r w:rsidRPr="0086675D">
        <w:rPr>
          <w:rFonts w:cstheme="minorHAnsi"/>
          <w:sz w:val="24"/>
          <w:szCs w:val="24"/>
        </w:rPr>
        <w:tab/>
        <w:t>COX-hämmare: Dosering enligt FASS eller ePed. Vid regelbunden behandling till barn &gt;5 år rekommenderas naproxen, eftersom naproxen har ett längre dosintervall och man får därför effekt hela dygnet. Naproxen Bluefish och Evolan kan delas i 2 lika stora delar och tabletten kan krossas</w:t>
      </w:r>
    </w:p>
    <w:p w14:paraId="2B6D8619" w14:textId="77777777" w:rsidR="00702564" w:rsidRPr="00FD3B40" w:rsidRDefault="00702564" w:rsidP="00702564">
      <w:pPr>
        <w:rPr>
          <w:rFonts w:cstheme="minorHAnsi"/>
          <w:sz w:val="24"/>
          <w:szCs w:val="24"/>
          <w:highlight w:val="yellow"/>
        </w:rPr>
      </w:pPr>
    </w:p>
    <w:p w14:paraId="23BE4A5F" w14:textId="77777777" w:rsidR="00702564" w:rsidRPr="0086675D" w:rsidRDefault="00702564" w:rsidP="00702564">
      <w:pPr>
        <w:rPr>
          <w:rFonts w:cstheme="minorHAnsi"/>
          <w:sz w:val="24"/>
          <w:szCs w:val="24"/>
        </w:rPr>
      </w:pPr>
      <w:r w:rsidRPr="0086675D">
        <w:rPr>
          <w:rFonts w:cstheme="minorHAnsi"/>
          <w:sz w:val="24"/>
          <w:szCs w:val="24"/>
        </w:rPr>
        <w:t>•</w:t>
      </w:r>
      <w:r w:rsidRPr="0086675D">
        <w:rPr>
          <w:rFonts w:cstheme="minorHAnsi"/>
          <w:sz w:val="24"/>
          <w:szCs w:val="24"/>
        </w:rPr>
        <w:tab/>
        <w:t xml:space="preserve">Svaga opioider: Rekommenderas inte till barn och ungdomar. </w:t>
      </w:r>
    </w:p>
    <w:p w14:paraId="5637D775" w14:textId="77777777" w:rsidR="00702564" w:rsidRPr="0086675D" w:rsidRDefault="00702564" w:rsidP="00702564">
      <w:pPr>
        <w:rPr>
          <w:rFonts w:cstheme="minorHAnsi"/>
          <w:sz w:val="24"/>
          <w:szCs w:val="24"/>
        </w:rPr>
      </w:pPr>
    </w:p>
    <w:p w14:paraId="37517F24" w14:textId="77777777" w:rsidR="00702564" w:rsidRPr="0086675D" w:rsidRDefault="00702564" w:rsidP="00702564">
      <w:pPr>
        <w:rPr>
          <w:rFonts w:cstheme="minorHAnsi"/>
          <w:sz w:val="24"/>
          <w:szCs w:val="24"/>
        </w:rPr>
      </w:pPr>
      <w:r w:rsidRPr="0086675D">
        <w:rPr>
          <w:rFonts w:cstheme="minorHAnsi"/>
          <w:sz w:val="24"/>
          <w:szCs w:val="24"/>
        </w:rPr>
        <w:t>•</w:t>
      </w:r>
      <w:r w:rsidRPr="0086675D">
        <w:rPr>
          <w:rFonts w:cstheme="minorHAnsi"/>
          <w:sz w:val="24"/>
          <w:szCs w:val="24"/>
        </w:rPr>
        <w:tab/>
        <w:t xml:space="preserve">Starka opioider: Bör inte förskrivas till barn och ungdomar i Primärvården. </w:t>
      </w:r>
    </w:p>
    <w:p w14:paraId="4C876789" w14:textId="77777777" w:rsidR="00702564" w:rsidRPr="0086675D" w:rsidRDefault="00702564" w:rsidP="00702564">
      <w:pPr>
        <w:rPr>
          <w:rFonts w:cstheme="minorHAnsi"/>
          <w:sz w:val="24"/>
          <w:szCs w:val="24"/>
        </w:rPr>
      </w:pPr>
    </w:p>
    <w:p w14:paraId="019BDC59" w14:textId="77777777" w:rsidR="00702564" w:rsidRPr="0086675D" w:rsidRDefault="00702564" w:rsidP="00702564">
      <w:pPr>
        <w:rPr>
          <w:rFonts w:cstheme="minorHAnsi"/>
          <w:sz w:val="24"/>
          <w:szCs w:val="24"/>
        </w:rPr>
      </w:pPr>
      <w:r w:rsidRPr="0086675D">
        <w:rPr>
          <w:rFonts w:cstheme="minorHAnsi"/>
          <w:sz w:val="24"/>
          <w:szCs w:val="24"/>
        </w:rPr>
        <w:t>•</w:t>
      </w:r>
      <w:r w:rsidRPr="0086675D">
        <w:rPr>
          <w:rFonts w:cstheme="minorHAnsi"/>
          <w:sz w:val="24"/>
          <w:szCs w:val="24"/>
        </w:rPr>
        <w:tab/>
        <w:t>Neuropatisk smärta: Hanteras via Barn- och ungdomskliniken, Habiliteringen och barn- och Ungdomspsykiatrin.</w:t>
      </w:r>
    </w:p>
    <w:p w14:paraId="5360F32F" w14:textId="77777777" w:rsidR="00702564" w:rsidRPr="0086675D" w:rsidRDefault="00702564" w:rsidP="00702564">
      <w:pPr>
        <w:pStyle w:val="Rubrik2"/>
      </w:pPr>
      <w:r w:rsidRPr="0086675D">
        <w:lastRenderedPageBreak/>
        <w:t>Referenser</w:t>
      </w:r>
    </w:p>
    <w:p w14:paraId="495E3C66" w14:textId="77777777" w:rsidR="00702564" w:rsidRPr="0086675D" w:rsidRDefault="00702564" w:rsidP="00702564">
      <w:pPr>
        <w:rPr>
          <w:sz w:val="24"/>
          <w:szCs w:val="24"/>
        </w:rPr>
      </w:pPr>
      <w:r w:rsidRPr="0086675D">
        <w:rPr>
          <w:sz w:val="24"/>
          <w:szCs w:val="24"/>
        </w:rPr>
        <w:t xml:space="preserve">1. Smärta och smärtbehandling hos barn och ungdomar Lokalt PM Blekinge/Smärtgruppen Barn- och ungdomskliniken, Blekingesjukhuset. </w:t>
      </w:r>
      <w:hyperlink r:id="rId204" w:history="1">
        <w:r w:rsidRPr="0086675D">
          <w:rPr>
            <w:rStyle w:val="Hyperlnk"/>
            <w:color w:val="0070C0"/>
          </w:rPr>
          <w:t>MED1901 Smärta och smärtbehandling hos barn och ungdomar.docx (ltblekinge.org)</w:t>
        </w:r>
      </w:hyperlink>
      <w:r w:rsidRPr="0086675D">
        <w:t>. OBS! för uppdaterade läkemedelsdoser se ePed.</w:t>
      </w:r>
    </w:p>
    <w:p w14:paraId="3F3FF0B1" w14:textId="77777777" w:rsidR="00702564" w:rsidRPr="0086675D" w:rsidRDefault="00702564" w:rsidP="00702564">
      <w:pPr>
        <w:rPr>
          <w:rFonts w:cstheme="minorHAnsi"/>
          <w:sz w:val="24"/>
          <w:szCs w:val="24"/>
        </w:rPr>
      </w:pPr>
    </w:p>
    <w:p w14:paraId="130195C3" w14:textId="77777777" w:rsidR="00702564" w:rsidRPr="0086675D" w:rsidRDefault="00702564" w:rsidP="00702564">
      <w:pPr>
        <w:rPr>
          <w:color w:val="0070C0"/>
          <w:sz w:val="24"/>
          <w:szCs w:val="24"/>
        </w:rPr>
      </w:pPr>
      <w:r w:rsidRPr="0086675D">
        <w:rPr>
          <w:sz w:val="24"/>
          <w:szCs w:val="24"/>
        </w:rPr>
        <w:t xml:space="preserve">2. Behandling av barn i samband med smärtsamma procedurer i hälso- och sjukvård – Kunskapsdokument. Information från Läkemedelsverket 2014;25(3):9–22. </w:t>
      </w:r>
      <w:hyperlink r:id="rId205" w:history="1">
        <w:r w:rsidRPr="0086675D">
          <w:rPr>
            <w:rStyle w:val="Hyperlnk"/>
            <w:color w:val="0070C0"/>
            <w:sz w:val="24"/>
            <w:szCs w:val="24"/>
          </w:rPr>
          <w:t>Behandling av barn och ungdomar i samband med smärtsamma procedurer – kunskapsdokument | Läkemedelsverket (lakemedelsverket.se)</w:t>
        </w:r>
      </w:hyperlink>
    </w:p>
    <w:p w14:paraId="3EDB1D0D" w14:textId="77777777" w:rsidR="00702564" w:rsidRPr="0086675D" w:rsidRDefault="00702564" w:rsidP="00702564">
      <w:pPr>
        <w:rPr>
          <w:sz w:val="24"/>
          <w:szCs w:val="24"/>
        </w:rPr>
      </w:pPr>
    </w:p>
    <w:p w14:paraId="76F652F0" w14:textId="77777777" w:rsidR="00702564" w:rsidRPr="0086675D" w:rsidRDefault="00702564" w:rsidP="00702564">
      <w:pPr>
        <w:rPr>
          <w:sz w:val="24"/>
          <w:szCs w:val="24"/>
        </w:rPr>
      </w:pPr>
      <w:r w:rsidRPr="0086675D">
        <w:rPr>
          <w:sz w:val="24"/>
          <w:szCs w:val="24"/>
        </w:rPr>
        <w:t>3. Läkemedelsverket. Läkemedelsbehandling av långvarig smärta hos barn och vuxna – behandlingsrekommendation. 2017;28(3):23–53.</w:t>
      </w:r>
    </w:p>
    <w:p w14:paraId="62D8AB82" w14:textId="77777777" w:rsidR="00702564" w:rsidRPr="0086675D" w:rsidRDefault="00702564" w:rsidP="00702564">
      <w:pPr>
        <w:rPr>
          <w:rStyle w:val="Hyperlnk"/>
          <w:color w:val="0070C0"/>
          <w:sz w:val="24"/>
          <w:szCs w:val="24"/>
        </w:rPr>
      </w:pPr>
      <w:r w:rsidRPr="0086675D">
        <w:rPr>
          <w:color w:val="0070C0"/>
          <w:sz w:val="24"/>
          <w:szCs w:val="24"/>
        </w:rPr>
        <w:fldChar w:fldCharType="begin"/>
      </w:r>
      <w:r w:rsidRPr="0086675D">
        <w:rPr>
          <w:color w:val="0070C0"/>
          <w:sz w:val="24"/>
          <w:szCs w:val="24"/>
        </w:rPr>
        <w:instrText>HYPERLINK "https://www.lakemedelsverket.se/sv/behandling-och-forskrivning/behandlingsrekommendationer/sok-behandlingsrekommendationer/lakemedel-vid-langvarig-smarta-hos-barn-och-vuxna--behandlingsrekommendation"</w:instrText>
      </w:r>
      <w:r w:rsidRPr="0086675D">
        <w:rPr>
          <w:color w:val="0070C0"/>
          <w:sz w:val="24"/>
          <w:szCs w:val="24"/>
        </w:rPr>
      </w:r>
      <w:r w:rsidRPr="0086675D">
        <w:rPr>
          <w:color w:val="0070C0"/>
          <w:sz w:val="24"/>
          <w:szCs w:val="24"/>
        </w:rPr>
        <w:fldChar w:fldCharType="separate"/>
      </w:r>
      <w:r w:rsidRPr="0086675D">
        <w:rPr>
          <w:rStyle w:val="Hyperlnk"/>
          <w:color w:val="0070C0"/>
          <w:sz w:val="24"/>
          <w:szCs w:val="24"/>
        </w:rPr>
        <w:t>Läkemedel vid långvarig smärta hos barn och vuxna – behandlings</w:t>
      </w:r>
      <w:r w:rsidRPr="0086675D">
        <w:rPr>
          <w:rStyle w:val="Hyperlnk"/>
          <w:color w:val="0070C0"/>
          <w:sz w:val="24"/>
          <w:szCs w:val="24"/>
        </w:rPr>
        <w:softHyphen/>
        <w:t>rekommendation | Läkemedelsverket (lakemedelsverket.se)</w:t>
      </w:r>
    </w:p>
    <w:p w14:paraId="2D3890D7" w14:textId="77777777" w:rsidR="00702564" w:rsidRPr="0086675D" w:rsidRDefault="00702564" w:rsidP="00702564">
      <w:pPr>
        <w:rPr>
          <w:rFonts w:cstheme="minorHAnsi"/>
          <w:color w:val="0070C0"/>
          <w:sz w:val="24"/>
          <w:szCs w:val="24"/>
        </w:rPr>
      </w:pPr>
      <w:r w:rsidRPr="0086675D">
        <w:rPr>
          <w:color w:val="0070C0"/>
          <w:sz w:val="24"/>
          <w:szCs w:val="24"/>
        </w:rPr>
        <w:fldChar w:fldCharType="end"/>
      </w:r>
    </w:p>
    <w:p w14:paraId="6E19502F" w14:textId="77777777" w:rsidR="00702564" w:rsidRPr="0086675D" w:rsidRDefault="00702564" w:rsidP="00702564">
      <w:pPr>
        <w:rPr>
          <w:rStyle w:val="Hyperlnk"/>
        </w:rPr>
      </w:pPr>
      <w:r w:rsidRPr="0086675D">
        <w:rPr>
          <w:rFonts w:cstheme="minorHAnsi"/>
          <w:sz w:val="24"/>
          <w:szCs w:val="24"/>
        </w:rPr>
        <w:t xml:space="preserve">4. Alfvén. Få smärtmottagningar för barn. Specialistkompetens behövs vid alla landets barnkliniker. Läkartidningen. 2008;10(105):s720-722. </w:t>
      </w:r>
      <w:hyperlink r:id="rId206" w:history="1">
        <w:r w:rsidRPr="0086675D">
          <w:rPr>
            <w:rStyle w:val="Hyperlnk"/>
            <w:color w:val="0070C0"/>
          </w:rPr>
          <w:t>Få smärtmottagningar för barn (lakartidningen.se)</w:t>
        </w:r>
      </w:hyperlink>
    </w:p>
    <w:p w14:paraId="5C26113C" w14:textId="77777777" w:rsidR="00702564" w:rsidRPr="0086675D" w:rsidRDefault="00702564" w:rsidP="00702564">
      <w:pPr>
        <w:rPr>
          <w:rFonts w:cstheme="minorHAnsi"/>
          <w:sz w:val="24"/>
          <w:szCs w:val="24"/>
        </w:rPr>
      </w:pPr>
    </w:p>
    <w:p w14:paraId="3B7015DF" w14:textId="77777777" w:rsidR="00702564" w:rsidRPr="00824C50" w:rsidRDefault="00702564" w:rsidP="00702564">
      <w:r w:rsidRPr="0086675D">
        <w:t xml:space="preserve">5. ePed (erfarenhet- och evidensbaserad databas för barnläkemedel). Länkar till läkemedelsblad för Blekingesjukhuset. </w:t>
      </w:r>
      <w:hyperlink r:id="rId207" w:history="1">
        <w:r w:rsidRPr="0086675D">
          <w:rPr>
            <w:rStyle w:val="Hyperlnk"/>
            <w:color w:val="0070C0"/>
          </w:rPr>
          <w:t>https://eped.se/backup/eped/lists/13805174060754421061.html</w:t>
        </w:r>
      </w:hyperlink>
      <w:r w:rsidRPr="0086675D">
        <w:rPr>
          <w:color w:val="0070C0"/>
        </w:rPr>
        <w:t xml:space="preserve"> </w:t>
      </w:r>
      <w:r w:rsidRPr="0086675D">
        <w:t>[2024-03-05]</w:t>
      </w:r>
    </w:p>
    <w:p w14:paraId="5603D524" w14:textId="77777777" w:rsidR="00702564" w:rsidRDefault="00702564" w:rsidP="00702564"/>
    <w:p w14:paraId="6C14AAB4" w14:textId="77777777" w:rsidR="00702564" w:rsidRDefault="00702564" w:rsidP="00702564">
      <w:pPr>
        <w:tabs>
          <w:tab w:val="clear" w:pos="284"/>
        </w:tabs>
        <w:spacing w:after="120" w:line="260" w:lineRule="atLeast"/>
        <w:rPr>
          <w:rFonts w:asciiTheme="majorHAnsi" w:eastAsiaTheme="majorEastAsia" w:hAnsiTheme="majorHAnsi"/>
          <w:b/>
          <w:bCs/>
          <w:sz w:val="36"/>
          <w:szCs w:val="28"/>
        </w:rPr>
      </w:pPr>
      <w:r>
        <w:br w:type="page"/>
      </w:r>
    </w:p>
    <w:p w14:paraId="6FE5B96B" w14:textId="77777777" w:rsidR="00702564" w:rsidRPr="003A632A" w:rsidRDefault="00702564" w:rsidP="00702564">
      <w:pPr>
        <w:pStyle w:val="Rubrik1"/>
      </w:pPr>
      <w:r w:rsidRPr="003A632A">
        <w:lastRenderedPageBreak/>
        <w:t xml:space="preserve">Urologi   </w:t>
      </w:r>
    </w:p>
    <w:p w14:paraId="5B072BCA" w14:textId="77777777" w:rsidR="00702564" w:rsidRDefault="00702564" w:rsidP="00702564">
      <w:pPr>
        <w:pStyle w:val="Rubrik3"/>
        <w:rPr>
          <w:lang w:eastAsia="sv-SE"/>
        </w:rPr>
      </w:pPr>
      <w:r w:rsidRPr="00564ED7">
        <w:rPr>
          <w:lang w:eastAsia="sv-SE"/>
        </w:rPr>
        <w:t xml:space="preserve">Senast </w:t>
      </w:r>
      <w:r w:rsidRPr="00F45E1B">
        <w:rPr>
          <w:lang w:eastAsia="sv-SE"/>
        </w:rPr>
        <w:t xml:space="preserve">uppdaterad </w:t>
      </w:r>
      <w:r>
        <w:rPr>
          <w:lang w:eastAsia="sv-SE"/>
        </w:rPr>
        <w:t>2026-03-24</w:t>
      </w:r>
    </w:p>
    <w:p w14:paraId="3D27D035" w14:textId="77777777" w:rsidR="00702564" w:rsidRPr="00993509" w:rsidRDefault="00702564" w:rsidP="00702564">
      <w:pPr>
        <w:rPr>
          <w:lang w:eastAsia="sv-SE"/>
        </w:rPr>
      </w:pPr>
    </w:p>
    <w:p w14:paraId="3B6B4357" w14:textId="77777777" w:rsidR="00702564" w:rsidRDefault="00702564" w:rsidP="00702564">
      <w:pPr>
        <w:pStyle w:val="Rubrik2"/>
        <w:spacing w:before="0"/>
        <w:rPr>
          <w:lang w:eastAsia="sv-SE"/>
        </w:rPr>
      </w:pPr>
      <w:r w:rsidRPr="00564ED7">
        <w:rPr>
          <w:lang w:eastAsia="sv-SE"/>
        </w:rPr>
        <w:t>Terapigruppsmedlem</w:t>
      </w:r>
      <w:r>
        <w:rPr>
          <w:lang w:eastAsia="sv-SE"/>
        </w:rPr>
        <w:t>mar</w:t>
      </w:r>
    </w:p>
    <w:p w14:paraId="1D034264" w14:textId="77777777" w:rsidR="00702564" w:rsidRPr="00120F24" w:rsidRDefault="00702564" w:rsidP="00702564">
      <w:pPr>
        <w:pStyle w:val="Rubrik2"/>
        <w:spacing w:before="0"/>
        <w:rPr>
          <w:rFonts w:asciiTheme="minorHAnsi" w:eastAsia="Times New Roman" w:hAnsiTheme="minorHAnsi"/>
          <w:b w:val="0"/>
          <w:bCs w:val="0"/>
          <w:sz w:val="24"/>
          <w:szCs w:val="24"/>
          <w:lang w:eastAsia="sv-SE"/>
        </w:rPr>
      </w:pPr>
      <w:r>
        <w:rPr>
          <w:lang w:eastAsia="sv-SE"/>
        </w:rPr>
        <w:br/>
      </w:r>
      <w:r w:rsidRPr="00993509">
        <w:rPr>
          <w:rFonts w:asciiTheme="minorHAnsi" w:eastAsia="Times New Roman" w:hAnsiTheme="minorHAnsi"/>
          <w:b w:val="0"/>
          <w:bCs w:val="0"/>
          <w:sz w:val="24"/>
          <w:szCs w:val="24"/>
          <w:lang w:eastAsia="sv-SE"/>
        </w:rPr>
        <w:t xml:space="preserve">István Jámbor, överläkare, Kirurgkliniken                                                           </w:t>
      </w:r>
      <w:r>
        <w:rPr>
          <w:rFonts w:asciiTheme="minorHAnsi" w:eastAsia="Times New Roman" w:hAnsiTheme="minorHAnsi"/>
          <w:b w:val="0"/>
          <w:bCs w:val="0"/>
          <w:sz w:val="24"/>
          <w:szCs w:val="24"/>
          <w:lang w:eastAsia="sv-SE"/>
        </w:rPr>
        <w:br/>
      </w:r>
      <w:r w:rsidRPr="00993509">
        <w:rPr>
          <w:rFonts w:asciiTheme="minorHAnsi" w:hAnsiTheme="minorHAnsi"/>
          <w:b w:val="0"/>
          <w:bCs w:val="0"/>
          <w:sz w:val="24"/>
          <w:szCs w:val="24"/>
        </w:rPr>
        <w:t xml:space="preserve">Denise Kling, ST-läkare, </w:t>
      </w:r>
      <w:r>
        <w:rPr>
          <w:rFonts w:asciiTheme="minorHAnsi" w:hAnsiTheme="minorHAnsi"/>
          <w:b w:val="0"/>
          <w:bCs w:val="0"/>
          <w:sz w:val="24"/>
          <w:szCs w:val="24"/>
        </w:rPr>
        <w:t>Kvinnokliniken</w:t>
      </w:r>
      <w:r>
        <w:rPr>
          <w:rFonts w:asciiTheme="minorHAnsi" w:hAnsiTheme="minorHAnsi"/>
          <w:b w:val="0"/>
          <w:bCs w:val="0"/>
          <w:sz w:val="24"/>
          <w:szCs w:val="24"/>
        </w:rPr>
        <w:br/>
        <w:t>Lisa Karavidas, specialistläkare, Ungdomsmottagningen</w:t>
      </w:r>
      <w:r>
        <w:rPr>
          <w:rFonts w:asciiTheme="minorHAnsi" w:hAnsiTheme="minorHAnsi"/>
          <w:b w:val="0"/>
          <w:bCs w:val="0"/>
          <w:sz w:val="24"/>
          <w:szCs w:val="24"/>
        </w:rPr>
        <w:br/>
      </w:r>
      <w:r w:rsidRPr="00993509">
        <w:rPr>
          <w:rFonts w:asciiTheme="minorHAnsi" w:hAnsiTheme="minorHAnsi"/>
          <w:b w:val="0"/>
          <w:bCs w:val="0"/>
          <w:sz w:val="24"/>
          <w:szCs w:val="24"/>
        </w:rPr>
        <w:t>Linda Robertsson, specialistläkare allmänmedicin, Wämö vårdcentral</w:t>
      </w:r>
      <w:r>
        <w:rPr>
          <w:rFonts w:asciiTheme="minorHAnsi" w:hAnsiTheme="minorHAnsi"/>
          <w:b w:val="0"/>
          <w:bCs w:val="0"/>
          <w:sz w:val="24"/>
          <w:szCs w:val="24"/>
        </w:rPr>
        <w:br/>
      </w:r>
      <w:r w:rsidRPr="00993509">
        <w:rPr>
          <w:rFonts w:asciiTheme="minorHAnsi" w:hAnsiTheme="minorHAnsi"/>
          <w:b w:val="0"/>
          <w:bCs w:val="0"/>
          <w:sz w:val="24"/>
          <w:szCs w:val="24"/>
        </w:rPr>
        <w:t>Ulrika Plessen-Hansson, barnmorska, Ungdomsmottagningen</w:t>
      </w:r>
      <w:r w:rsidRPr="00993509">
        <w:rPr>
          <w:rFonts w:asciiTheme="minorHAnsi" w:hAnsiTheme="minorHAnsi"/>
          <w:b w:val="0"/>
          <w:bCs w:val="0"/>
          <w:sz w:val="24"/>
          <w:szCs w:val="24"/>
        </w:rPr>
        <w:br/>
        <w:t xml:space="preserve">Birgitta Elthammar, barnmorska, </w:t>
      </w:r>
      <w:r>
        <w:rPr>
          <w:rFonts w:asciiTheme="minorHAnsi" w:hAnsiTheme="minorHAnsi"/>
          <w:b w:val="0"/>
          <w:bCs w:val="0"/>
          <w:sz w:val="24"/>
          <w:szCs w:val="24"/>
        </w:rPr>
        <w:t>KHV Lyckeby</w:t>
      </w:r>
      <w:r w:rsidRPr="00993509">
        <w:rPr>
          <w:rFonts w:asciiTheme="minorHAnsi" w:hAnsiTheme="minorHAnsi"/>
          <w:b w:val="0"/>
          <w:bCs w:val="0"/>
          <w:sz w:val="24"/>
          <w:szCs w:val="24"/>
        </w:rPr>
        <w:br/>
        <w:t>Jesper Brandstedt, Farmaceut, Läkemedelsenheten</w:t>
      </w:r>
    </w:p>
    <w:p w14:paraId="2116AB61" w14:textId="77777777" w:rsidR="00702564" w:rsidRPr="00564ED7" w:rsidRDefault="00702564" w:rsidP="00702564">
      <w:pPr>
        <w:pStyle w:val="Rubrik2"/>
        <w:rPr>
          <w:rFonts w:ascii="Open Sans" w:eastAsia="Times New Roman" w:hAnsi="Open Sans" w:cs="Open Sans"/>
          <w:color w:val="404040"/>
          <w:sz w:val="24"/>
          <w:szCs w:val="24"/>
          <w:lang w:eastAsia="sv-SE"/>
        </w:rPr>
      </w:pPr>
    </w:p>
    <w:p w14:paraId="7DB972CA" w14:textId="77777777" w:rsidR="00702564" w:rsidRDefault="00702564" w:rsidP="00702564">
      <w:pPr>
        <w:pStyle w:val="Rubrik2"/>
        <w:rPr>
          <w:lang w:eastAsia="sv-SE"/>
        </w:rPr>
      </w:pPr>
      <w:r w:rsidRPr="00564ED7">
        <w:rPr>
          <w:lang w:eastAsia="sv-SE"/>
        </w:rPr>
        <w:t>Erektil dysfunktion</w:t>
      </w:r>
    </w:p>
    <w:p w14:paraId="4E75A552" w14:textId="77777777" w:rsidR="00702564" w:rsidRDefault="00702564" w:rsidP="00702564">
      <w:pPr>
        <w:rPr>
          <w:lang w:eastAsia="sv-SE"/>
        </w:rPr>
      </w:pPr>
    </w:p>
    <w:p w14:paraId="12541109" w14:textId="77777777" w:rsidR="00702564" w:rsidRPr="00A50A81" w:rsidRDefault="00702564" w:rsidP="00702564">
      <w:pPr>
        <w:rPr>
          <w:sz w:val="24"/>
          <w:szCs w:val="24"/>
        </w:rPr>
      </w:pPr>
      <w:r w:rsidRPr="00A50A81">
        <w:rPr>
          <w:sz w:val="24"/>
          <w:szCs w:val="24"/>
        </w:rPr>
        <w:t>Fyra PDE-5-hämmare finns på marknaden. Sildenafil (Viagra) finns i tre styrkor och</w:t>
      </w:r>
    </w:p>
    <w:p w14:paraId="3E1E3C5E" w14:textId="77777777" w:rsidR="00702564" w:rsidRPr="00A50A81" w:rsidRDefault="00702564" w:rsidP="00702564">
      <w:pPr>
        <w:rPr>
          <w:sz w:val="24"/>
          <w:szCs w:val="24"/>
        </w:rPr>
      </w:pPr>
      <w:r w:rsidRPr="00A50A81">
        <w:rPr>
          <w:sz w:val="24"/>
          <w:szCs w:val="24"/>
        </w:rPr>
        <w:t>rekommenderas som förstahandsalternativ vid behandling av ED. Patienter som använder nitrater eller har instabil angina skall inte använda PDE-5-hämmare. Vid otillräcklig effekt kan någon av övriga PDE-5-hämmare prövas. Tadalafil (Cialis) vardenafil (Levitra) och avanafil (Spedra) har liknande verkningsmekanism som sildenafil (Viagra), men de skiljer sig något åt vad gäller farmakodynamik. Tadalafils (Cialis) effekt varar i ca 36 timmar, men når högsta effekt först efter ca 2 timmar. Tadalafil (Cialis) påverkas inte av samtidigt födointag. Sildenafil, vardenafil (Levitra) och avanafil (Spedra) har maximal effekt redan efter 30–60 minuter med en duration upp till 12 timmar. Tadalafils (Cialis) längre halveringstid upplevs av vissa patienter som en fördel. Tadalafil 5mg/dygn kan användas som behandling vid LUTS med eller utan erektil dysfunktion.</w:t>
      </w:r>
    </w:p>
    <w:p w14:paraId="28FEC189" w14:textId="77777777" w:rsidR="00702564" w:rsidRPr="00A50A81" w:rsidRDefault="00702564" w:rsidP="00702564">
      <w:pPr>
        <w:rPr>
          <w:sz w:val="24"/>
          <w:szCs w:val="24"/>
        </w:rPr>
      </w:pPr>
      <w:r w:rsidRPr="00A50A81">
        <w:rPr>
          <w:sz w:val="24"/>
          <w:szCs w:val="24"/>
        </w:rPr>
        <w:t>Vid terapisvikt kan alprostadil uretralstift (Bondil) eller kräm (Vitaros) provas alternativt</w:t>
      </w:r>
    </w:p>
    <w:p w14:paraId="29BD8B6E" w14:textId="1FC102A9" w:rsidR="00702564" w:rsidRPr="00A50A81" w:rsidRDefault="00702564" w:rsidP="00702564">
      <w:pPr>
        <w:rPr>
          <w:sz w:val="24"/>
          <w:szCs w:val="24"/>
          <w:lang w:eastAsia="sv-SE"/>
        </w:rPr>
      </w:pPr>
      <w:r w:rsidRPr="00A50A81">
        <w:rPr>
          <w:sz w:val="24"/>
          <w:szCs w:val="24"/>
        </w:rPr>
        <w:t>intracavenös injektion alpostadil (Caverject) eller fentolamin + aviptadil (Invicorp).</w:t>
      </w:r>
      <w:r w:rsidR="0095242E">
        <w:rPr>
          <w:sz w:val="24"/>
          <w:szCs w:val="24"/>
          <w:lang w:eastAsia="sv-SE"/>
        </w:rPr>
        <w:t xml:space="preserve"> </w:t>
      </w:r>
      <w:r w:rsidR="0095242E">
        <w:rPr>
          <w:sz w:val="24"/>
          <w:szCs w:val="24"/>
          <w:lang w:eastAsia="sv-SE"/>
        </w:rPr>
        <w:br/>
      </w:r>
      <w:r w:rsidRPr="00A50A81">
        <w:rPr>
          <w:sz w:val="24"/>
          <w:szCs w:val="24"/>
          <w:lang w:eastAsia="sv-SE"/>
        </w:rPr>
        <w:t xml:space="preserve">Fosfodiesteras-5-hämmare verkar avslappnande på glatt muskulatur i blåshals och prostata. </w:t>
      </w:r>
      <w:r w:rsidRPr="00A50A81">
        <w:rPr>
          <w:sz w:val="24"/>
          <w:szCs w:val="24"/>
          <w:lang w:eastAsia="sv-SE"/>
        </w:rPr>
        <w:br/>
        <w:t>Aktuellt vid BPH + samtidig erektil dysfunktion istället för Alfuzosim. </w:t>
      </w:r>
    </w:p>
    <w:p w14:paraId="679ABE8B" w14:textId="77777777" w:rsidR="00702564" w:rsidRPr="00A50A81" w:rsidRDefault="00702564" w:rsidP="00702564">
      <w:pPr>
        <w:rPr>
          <w:sz w:val="24"/>
          <w:szCs w:val="24"/>
          <w:lang w:eastAsia="sv-SE"/>
        </w:rPr>
      </w:pPr>
    </w:p>
    <w:p w14:paraId="368CD48E" w14:textId="77777777" w:rsidR="00702564" w:rsidRPr="00A50A81" w:rsidRDefault="00702564" w:rsidP="00702564">
      <w:pPr>
        <w:rPr>
          <w:sz w:val="24"/>
          <w:szCs w:val="24"/>
          <w:lang w:eastAsia="sv-SE"/>
        </w:rPr>
      </w:pPr>
      <w:r w:rsidRPr="00A50A81">
        <w:rPr>
          <w:sz w:val="24"/>
          <w:szCs w:val="24"/>
          <w:lang w:eastAsia="sv-SE"/>
        </w:rPr>
        <w:br w:type="page"/>
      </w:r>
    </w:p>
    <w:p w14:paraId="53C3214E" w14:textId="77777777" w:rsidR="00702564" w:rsidRPr="00564ED7" w:rsidRDefault="00702564" w:rsidP="00702564">
      <w:pPr>
        <w:pStyle w:val="Rubrik2"/>
        <w:rPr>
          <w:lang w:eastAsia="sv-SE"/>
        </w:rPr>
      </w:pPr>
      <w:r w:rsidRPr="00564ED7">
        <w:rPr>
          <w:lang w:eastAsia="sv-SE"/>
        </w:rPr>
        <w:lastRenderedPageBreak/>
        <w:t>Symptomgivande benign prostatahyperplasi</w:t>
      </w:r>
      <w:r>
        <w:rPr>
          <w:lang w:eastAsia="sv-SE"/>
        </w:rPr>
        <w:br/>
      </w:r>
    </w:p>
    <w:tbl>
      <w:tblPr>
        <w:tblW w:w="9222" w:type="dxa"/>
        <w:tblCellMar>
          <w:top w:w="15" w:type="dxa"/>
          <w:left w:w="15" w:type="dxa"/>
          <w:bottom w:w="15" w:type="dxa"/>
          <w:right w:w="15" w:type="dxa"/>
        </w:tblCellMar>
        <w:tblLook w:val="04A0" w:firstRow="1" w:lastRow="0" w:firstColumn="1" w:lastColumn="0" w:noHBand="0" w:noVBand="1"/>
      </w:tblPr>
      <w:tblGrid>
        <w:gridCol w:w="4082"/>
        <w:gridCol w:w="5140"/>
      </w:tblGrid>
      <w:tr w:rsidR="00702564" w:rsidRPr="00564ED7" w14:paraId="08E0A879" w14:textId="77777777" w:rsidTr="00632FCC">
        <w:trPr>
          <w:trHeight w:val="425"/>
          <w:tblHeader/>
        </w:trPr>
        <w:tc>
          <w:tcPr>
            <w:tcW w:w="9222" w:type="dxa"/>
            <w:gridSpan w:val="2"/>
            <w:tcBorders>
              <w:top w:val="nil"/>
              <w:left w:val="nil"/>
              <w:bottom w:val="nil"/>
              <w:right w:val="nil"/>
            </w:tcBorders>
            <w:vAlign w:val="center"/>
            <w:hideMark/>
          </w:tcPr>
          <w:p w14:paraId="7FE17F61" w14:textId="77777777" w:rsidR="00702564" w:rsidRPr="00CE55C7" w:rsidRDefault="00702564" w:rsidP="00632FCC">
            <w:pPr>
              <w:pStyle w:val="Brdtext"/>
              <w:rPr>
                <w:b/>
                <w:bCs/>
                <w:lang w:eastAsia="sv-SE"/>
              </w:rPr>
            </w:pPr>
            <w:r w:rsidRPr="00CE55C7">
              <w:rPr>
                <w:b/>
                <w:bCs/>
                <w:lang w:eastAsia="sv-SE"/>
              </w:rPr>
              <w:t xml:space="preserve">Förstahandsval </w:t>
            </w:r>
          </w:p>
        </w:tc>
      </w:tr>
      <w:tr w:rsidR="00702564" w:rsidRPr="00564ED7" w14:paraId="242C1AD8" w14:textId="77777777" w:rsidTr="00632FCC">
        <w:trPr>
          <w:trHeight w:val="378"/>
          <w:tblHeader/>
        </w:trPr>
        <w:tc>
          <w:tcPr>
            <w:tcW w:w="4082" w:type="dxa"/>
            <w:tcBorders>
              <w:top w:val="single" w:sz="6" w:space="0" w:color="000000"/>
              <w:left w:val="single" w:sz="6" w:space="0" w:color="000000"/>
              <w:bottom w:val="single" w:sz="6" w:space="0" w:color="000000"/>
              <w:right w:val="single" w:sz="6" w:space="0" w:color="000000"/>
            </w:tcBorders>
            <w:vAlign w:val="center"/>
            <w:hideMark/>
          </w:tcPr>
          <w:p w14:paraId="2DABE3BA" w14:textId="77777777" w:rsidR="00702564" w:rsidRPr="00564ED7" w:rsidRDefault="00702564" w:rsidP="00632FCC">
            <w:pPr>
              <w:tabs>
                <w:tab w:val="clear" w:pos="284"/>
              </w:tabs>
              <w:spacing w:after="240" w:line="240" w:lineRule="auto"/>
              <w:rPr>
                <w:rFonts w:asciiTheme="minorHAnsi" w:eastAsia="Times New Roman" w:hAnsiTheme="minorHAnsi" w:cs="Open Sans"/>
                <w:color w:val="404040"/>
                <w:sz w:val="24"/>
                <w:szCs w:val="24"/>
                <w:lang w:eastAsia="sv-SE"/>
              </w:rPr>
            </w:pPr>
            <w:r w:rsidRPr="00564ED7">
              <w:rPr>
                <w:rFonts w:asciiTheme="minorHAnsi" w:eastAsia="Times New Roman" w:hAnsiTheme="minorHAnsi" w:cs="Open Sans"/>
                <w:b/>
                <w:bCs/>
                <w:color w:val="404040"/>
                <w:sz w:val="24"/>
                <w:szCs w:val="24"/>
                <w:lang w:eastAsia="sv-SE"/>
              </w:rPr>
              <w:t>alfuzosin</w:t>
            </w:r>
          </w:p>
        </w:tc>
        <w:tc>
          <w:tcPr>
            <w:tcW w:w="5140" w:type="dxa"/>
            <w:tcBorders>
              <w:top w:val="single" w:sz="6" w:space="0" w:color="000000"/>
              <w:left w:val="single" w:sz="6" w:space="0" w:color="000000"/>
              <w:bottom w:val="single" w:sz="6" w:space="0" w:color="000000"/>
              <w:right w:val="single" w:sz="6" w:space="0" w:color="000000"/>
            </w:tcBorders>
            <w:vAlign w:val="center"/>
            <w:hideMark/>
          </w:tcPr>
          <w:p w14:paraId="364C3222" w14:textId="77777777" w:rsidR="00702564" w:rsidRPr="00564ED7" w:rsidRDefault="00702564" w:rsidP="00632FCC">
            <w:pPr>
              <w:tabs>
                <w:tab w:val="clear" w:pos="284"/>
              </w:tabs>
              <w:spacing w:after="240" w:line="240" w:lineRule="auto"/>
              <w:rPr>
                <w:rFonts w:asciiTheme="minorHAnsi" w:eastAsia="Times New Roman" w:hAnsiTheme="minorHAnsi" w:cs="Open Sans"/>
                <w:color w:val="404040"/>
                <w:sz w:val="24"/>
                <w:szCs w:val="24"/>
                <w:lang w:eastAsia="sv-SE"/>
              </w:rPr>
            </w:pPr>
            <w:r>
              <w:rPr>
                <w:rFonts w:asciiTheme="minorHAnsi" w:eastAsia="Times New Roman" w:hAnsiTheme="minorHAnsi" w:cs="Open Sans"/>
                <w:color w:val="404040"/>
                <w:sz w:val="24"/>
                <w:szCs w:val="24"/>
                <w:lang w:eastAsia="sv-SE"/>
              </w:rPr>
              <w:t>A</w:t>
            </w:r>
            <w:r w:rsidRPr="00564ED7">
              <w:rPr>
                <w:rFonts w:asciiTheme="minorHAnsi" w:eastAsia="Times New Roman" w:hAnsiTheme="minorHAnsi" w:cs="Open Sans"/>
                <w:color w:val="404040"/>
                <w:sz w:val="24"/>
                <w:szCs w:val="24"/>
                <w:lang w:eastAsia="sv-SE"/>
              </w:rPr>
              <w:t>lfuzosin</w:t>
            </w:r>
          </w:p>
        </w:tc>
      </w:tr>
      <w:tr w:rsidR="00702564" w:rsidRPr="00564ED7" w14:paraId="4E156CE8" w14:textId="77777777" w:rsidTr="00632FCC">
        <w:trPr>
          <w:trHeight w:val="386"/>
        </w:trPr>
        <w:tc>
          <w:tcPr>
            <w:tcW w:w="4082" w:type="dxa"/>
            <w:tcBorders>
              <w:top w:val="single" w:sz="6" w:space="0" w:color="000000"/>
              <w:left w:val="single" w:sz="6" w:space="0" w:color="000000"/>
              <w:bottom w:val="single" w:sz="6" w:space="0" w:color="000000"/>
              <w:right w:val="single" w:sz="6" w:space="0" w:color="000000"/>
            </w:tcBorders>
            <w:vAlign w:val="center"/>
            <w:hideMark/>
          </w:tcPr>
          <w:p w14:paraId="4B0E97CD" w14:textId="77777777" w:rsidR="00702564" w:rsidRPr="00564ED7" w:rsidRDefault="00702564" w:rsidP="00632FCC">
            <w:pPr>
              <w:tabs>
                <w:tab w:val="clear" w:pos="284"/>
              </w:tabs>
              <w:spacing w:after="240" w:line="240" w:lineRule="auto"/>
              <w:rPr>
                <w:rFonts w:asciiTheme="minorHAnsi" w:eastAsia="Times New Roman" w:hAnsiTheme="minorHAnsi" w:cs="Open Sans"/>
                <w:color w:val="404040"/>
                <w:sz w:val="24"/>
                <w:szCs w:val="24"/>
                <w:lang w:eastAsia="sv-SE"/>
              </w:rPr>
            </w:pPr>
            <w:r w:rsidRPr="00564ED7">
              <w:rPr>
                <w:rFonts w:asciiTheme="minorHAnsi" w:eastAsia="Times New Roman" w:hAnsiTheme="minorHAnsi" w:cs="Open Sans"/>
                <w:b/>
                <w:bCs/>
                <w:color w:val="404040"/>
                <w:sz w:val="24"/>
                <w:szCs w:val="24"/>
                <w:lang w:eastAsia="sv-SE"/>
              </w:rPr>
              <w:t>finasterid</w:t>
            </w:r>
          </w:p>
        </w:tc>
        <w:tc>
          <w:tcPr>
            <w:tcW w:w="5140" w:type="dxa"/>
            <w:tcBorders>
              <w:top w:val="single" w:sz="6" w:space="0" w:color="000000"/>
              <w:left w:val="single" w:sz="6" w:space="0" w:color="000000"/>
              <w:bottom w:val="single" w:sz="6" w:space="0" w:color="000000"/>
              <w:right w:val="single" w:sz="6" w:space="0" w:color="000000"/>
            </w:tcBorders>
            <w:vAlign w:val="center"/>
            <w:hideMark/>
          </w:tcPr>
          <w:p w14:paraId="09E26A51" w14:textId="77777777" w:rsidR="00702564" w:rsidRPr="00564ED7" w:rsidRDefault="00702564" w:rsidP="00632FCC">
            <w:pPr>
              <w:tabs>
                <w:tab w:val="clear" w:pos="284"/>
              </w:tabs>
              <w:spacing w:after="240" w:line="240" w:lineRule="auto"/>
              <w:rPr>
                <w:rFonts w:asciiTheme="minorHAnsi" w:eastAsia="Times New Roman" w:hAnsiTheme="minorHAnsi" w:cs="Open Sans"/>
                <w:color w:val="404040"/>
                <w:sz w:val="24"/>
                <w:szCs w:val="24"/>
                <w:lang w:eastAsia="sv-SE"/>
              </w:rPr>
            </w:pPr>
            <w:r w:rsidRPr="00564ED7">
              <w:rPr>
                <w:rFonts w:asciiTheme="minorHAnsi" w:eastAsia="Times New Roman" w:hAnsiTheme="minorHAnsi" w:cs="Open Sans"/>
                <w:color w:val="404040"/>
                <w:sz w:val="24"/>
                <w:szCs w:val="24"/>
                <w:lang w:eastAsia="sv-SE"/>
              </w:rPr>
              <w:t>Finasterid</w:t>
            </w:r>
            <w:r>
              <w:rPr>
                <w:rFonts w:asciiTheme="minorHAnsi" w:eastAsia="Times New Roman" w:hAnsiTheme="minorHAnsi" w:cs="Open Sans"/>
                <w:color w:val="404040"/>
                <w:sz w:val="24"/>
                <w:szCs w:val="24"/>
                <w:lang w:eastAsia="sv-SE"/>
              </w:rPr>
              <w:br/>
            </w:r>
            <w:r w:rsidRPr="000800D7">
              <w:rPr>
                <w:sz w:val="24"/>
                <w:szCs w:val="24"/>
              </w:rPr>
              <w:t>Vid verifierad förstoring av prostata (&gt; 40 ml)</w:t>
            </w:r>
          </w:p>
        </w:tc>
      </w:tr>
    </w:tbl>
    <w:p w14:paraId="26FFE510" w14:textId="77777777" w:rsidR="00702564" w:rsidRPr="00137F32" w:rsidRDefault="00702564" w:rsidP="00702564">
      <w:pPr>
        <w:spacing w:line="360" w:lineRule="auto"/>
        <w:rPr>
          <w:sz w:val="24"/>
          <w:szCs w:val="24"/>
          <w:highlight w:val="yellow"/>
        </w:rPr>
      </w:pPr>
    </w:p>
    <w:p w14:paraId="4203560D" w14:textId="77777777" w:rsidR="00702564" w:rsidRPr="00A50A81" w:rsidRDefault="00702564" w:rsidP="00702564">
      <w:pPr>
        <w:rPr>
          <w:sz w:val="24"/>
          <w:szCs w:val="24"/>
        </w:rPr>
      </w:pPr>
      <w:r w:rsidRPr="00A50A81">
        <w:rPr>
          <w:sz w:val="24"/>
          <w:szCs w:val="24"/>
        </w:rPr>
        <w:t xml:space="preserve">Förstahandsval vid behandling av prostataförstoring är </w:t>
      </w:r>
      <w:r w:rsidRPr="00A50A81">
        <w:rPr>
          <w:rFonts w:asciiTheme="minorHAnsi" w:eastAsia="Times New Roman" w:hAnsiTheme="minorHAnsi" w:cs="Open Sans"/>
          <w:sz w:val="24"/>
          <w:szCs w:val="24"/>
          <w:lang w:eastAsia="sv-SE"/>
        </w:rPr>
        <w:t xml:space="preserve">alfuzosin och </w:t>
      </w:r>
      <w:r w:rsidRPr="00A50A81">
        <w:rPr>
          <w:rFonts w:asciiTheme="minorHAnsi" w:eastAsia="Times New Roman" w:hAnsiTheme="minorHAnsi" w:cs="Open Sans"/>
          <w:color w:val="404040"/>
          <w:sz w:val="24"/>
          <w:szCs w:val="24"/>
          <w:lang w:eastAsia="sv-SE"/>
        </w:rPr>
        <w:t>finasterid</w:t>
      </w:r>
      <w:r w:rsidRPr="00A50A81">
        <w:rPr>
          <w:sz w:val="24"/>
          <w:szCs w:val="24"/>
        </w:rPr>
        <w:t xml:space="preserve">. </w:t>
      </w:r>
      <w:r w:rsidRPr="00A50A81">
        <w:rPr>
          <w:sz w:val="24"/>
          <w:szCs w:val="24"/>
        </w:rPr>
        <w:br/>
        <w:t xml:space="preserve">Behandling med alfa-receptorblockerare är symptomatisk, utan påverkan på prostatahyperplasin. Den har däremot effekt på den dynamiska komponenten i prostatiska urethra. Effekten är dock relativt måttlig och oförutsägbar, och bör alltid utvärderas med åtminstone symptomformulär (IPSS). I de fall där alfa-receptorblockerare ger symptomlindring, ses effekten oftast efter kort tids behandling. Utvärdering efter cirka 4 veckors behandling skall göras, gärna med symptomformulär. Vid utebliven effekt skall behandlingen avbrytas. Det finns olika substanser på marknaden: Doxazosin (Alfadil/Alfadil BPH), alfuzosin (Xatral/Xatral OD och generika), tamsulosin (Tamicten) Hypotension som är den viktigaste biverkan vid all behandling med alfareceptorblockerare. </w:t>
      </w:r>
    </w:p>
    <w:p w14:paraId="15091641" w14:textId="77777777" w:rsidR="00702564" w:rsidRPr="00A50A81" w:rsidRDefault="00702564" w:rsidP="00702564">
      <w:pPr>
        <w:rPr>
          <w:sz w:val="24"/>
          <w:szCs w:val="24"/>
        </w:rPr>
      </w:pPr>
      <w:r w:rsidRPr="00A50A81">
        <w:rPr>
          <w:sz w:val="24"/>
          <w:szCs w:val="24"/>
        </w:rPr>
        <w:t xml:space="preserve">Finasterid (Proscar) ger en reduktion av prostatavolymen och det behövs flera månaders behandling innan effekten kan utvärderas. Behandling med finasterid har effekt endast vid ”stor” prostata(&gt; 40 mL). Det rekommenderas en storleksbedömning av prostata innan behandlingsstart, helst med transrektalt ultraljud (enbart rektalpalpation är opålitligt). </w:t>
      </w:r>
    </w:p>
    <w:p w14:paraId="6B12AEE1" w14:textId="0BC0F054" w:rsidR="00702564" w:rsidRPr="0095242E" w:rsidRDefault="00702564" w:rsidP="00702564">
      <w:pPr>
        <w:rPr>
          <w:sz w:val="24"/>
          <w:szCs w:val="24"/>
        </w:rPr>
      </w:pPr>
      <w:r w:rsidRPr="00A50A81">
        <w:rPr>
          <w:sz w:val="24"/>
          <w:szCs w:val="24"/>
        </w:rPr>
        <w:t>Observera att man kan förvänta sig en halvering av PSA efter några månaders behandling med finasterid. Man skall alltså duplicera för att få ett användbart PSA-värde. Om inte förväntad sänkning av PSA sker, finns anledning till fortsatt utredning. Finasterid ges som en kapsel (5 mg) dagligen. En vanlig biverkan är impotens och sänkt libido. Dutasterid (Avodart) har en effekt jämförbar med Finasterid. Kliniskt förefaller det inte vara någon skillnad. Dutasterid är avsevärt dyrare och ingår inte längre i läkemedelsförmånen. Vid uttalad prostataförstoring rekommenderas kombinationsbehandling med finasterid och alfuzosin.</w:t>
      </w:r>
      <w:r w:rsidRPr="00A50A81">
        <w:rPr>
          <w:sz w:val="24"/>
          <w:szCs w:val="24"/>
        </w:rPr>
        <w:br/>
        <w:t>PDE5-hämmare (fosfodiesteras-5-hämmare) tadalafil 5 mg: verkar avslappnande på glatt muskulatur i blåshals och prostata. Tadalafil kan användas som behandling vid LUTS med eller utan erektil dysfunktion.</w:t>
      </w:r>
      <w:r w:rsidRPr="00A50A81">
        <w:rPr>
          <w:rFonts w:ascii="Arial" w:hAnsi="Arial" w:cs="Arial"/>
          <w:sz w:val="32"/>
          <w:szCs w:val="32"/>
          <w:shd w:val="clear" w:color="auto" w:fill="FFFFFF"/>
        </w:rPr>
        <w:t xml:space="preserve"> </w:t>
      </w:r>
      <w:r w:rsidRPr="00A50A81">
        <w:rPr>
          <w:rFonts w:cstheme="minorHAnsi"/>
          <w:sz w:val="24"/>
          <w:szCs w:val="24"/>
          <w:shd w:val="clear" w:color="auto" w:fill="FFFFFF"/>
        </w:rPr>
        <w:t>Effekten av tadalafil på IPSS är likvärdig med den av alfareceptorblockerare.</w:t>
      </w:r>
    </w:p>
    <w:p w14:paraId="13F91BD4" w14:textId="77777777" w:rsidR="00702564" w:rsidRPr="00564ED7" w:rsidRDefault="00702564" w:rsidP="00702564">
      <w:pPr>
        <w:pStyle w:val="Rubrik2"/>
        <w:rPr>
          <w:lang w:eastAsia="sv-SE"/>
        </w:rPr>
      </w:pPr>
      <w:r w:rsidRPr="00564ED7">
        <w:rPr>
          <w:lang w:eastAsia="sv-SE"/>
        </w:rPr>
        <w:t xml:space="preserve">Överaktiv blåsa </w:t>
      </w:r>
    </w:p>
    <w:p w14:paraId="56AD41B9" w14:textId="77777777" w:rsidR="00702564" w:rsidRPr="00A50A81" w:rsidRDefault="00702564" w:rsidP="00702564">
      <w:pPr>
        <w:rPr>
          <w:sz w:val="24"/>
          <w:szCs w:val="24"/>
        </w:rPr>
      </w:pPr>
      <w:r w:rsidRPr="00A50A81">
        <w:rPr>
          <w:sz w:val="24"/>
          <w:szCs w:val="24"/>
        </w:rPr>
        <w:t>Med "överaktiv blåsa" menas täta trängningar, tvingande trängningar samt ev.</w:t>
      </w:r>
    </w:p>
    <w:p w14:paraId="4FBF2867" w14:textId="77777777" w:rsidR="00702564" w:rsidRPr="00A50A81" w:rsidRDefault="00702564" w:rsidP="00702564">
      <w:pPr>
        <w:rPr>
          <w:sz w:val="24"/>
          <w:szCs w:val="24"/>
        </w:rPr>
      </w:pPr>
      <w:r w:rsidRPr="00A50A81">
        <w:rPr>
          <w:sz w:val="24"/>
          <w:szCs w:val="24"/>
        </w:rPr>
        <w:t>trängningsinkontinens. Observera att organisk orsak som malignitet, sten eller infektion i de</w:t>
      </w:r>
    </w:p>
    <w:p w14:paraId="737DDB38" w14:textId="77777777" w:rsidR="00702564" w:rsidRPr="00A50A81" w:rsidRDefault="00702564" w:rsidP="00702564">
      <w:pPr>
        <w:rPr>
          <w:sz w:val="24"/>
          <w:szCs w:val="24"/>
        </w:rPr>
      </w:pPr>
      <w:r w:rsidRPr="00A50A81">
        <w:rPr>
          <w:sz w:val="24"/>
          <w:szCs w:val="24"/>
        </w:rPr>
        <w:t xml:space="preserve">nedre urinvägarna alltid ska uteslutas. Blåsträning, viktminskning vid övervikt och rökstopp ska alltid inleda behandlingen. Flera preparat med antikolinerg effekt finns med indikation överaktiv blåsa. </w:t>
      </w:r>
      <w:r w:rsidRPr="001C492D">
        <w:rPr>
          <w:sz w:val="24"/>
          <w:szCs w:val="24"/>
        </w:rPr>
        <w:t>Generiskt solifenacin har bäst pris hösten 2025 av det tillgängliga antikolinerga preparaten (dock ingår inte Vesicare i förmånen). Vidare har det under en längre perdiod varit tillgänglighetsproblem med tolterodin.</w:t>
      </w:r>
      <w:r w:rsidRPr="00A50A81">
        <w:rPr>
          <w:sz w:val="24"/>
          <w:szCs w:val="24"/>
        </w:rPr>
        <w:t xml:space="preserve"> Fesoterodin (Toviaz) finns inom förmånen med </w:t>
      </w:r>
      <w:r w:rsidRPr="00A50A81">
        <w:rPr>
          <w:sz w:val="24"/>
          <w:szCs w:val="24"/>
        </w:rPr>
        <w:lastRenderedPageBreak/>
        <w:t xml:space="preserve">subventionsbegränsning, endast till patienter som inte nått behandlingsmålet med generiskt tolterodin.  Darifenacin (Emselex) och oxybutynin – transdermal (Kentera) saknar förmån, medan effekt och biverkningar är jämförbara. </w:t>
      </w:r>
    </w:p>
    <w:p w14:paraId="1BEE973B" w14:textId="77777777" w:rsidR="00702564" w:rsidRPr="00A50A81" w:rsidRDefault="00702564" w:rsidP="00702564">
      <w:pPr>
        <w:rPr>
          <w:sz w:val="24"/>
          <w:szCs w:val="24"/>
        </w:rPr>
      </w:pPr>
      <w:r w:rsidRPr="00A50A81">
        <w:rPr>
          <w:sz w:val="24"/>
          <w:szCs w:val="24"/>
        </w:rPr>
        <w:t xml:space="preserve">Dessa medel har signifikant effekt på överaktiv blåsa jämfört med placebo, men effekten är av begränsad klinisk relevans. Endast 20 % av patienterna kvarstår på behandlingen efter ett år och bara varannan patient hämtar ut andra förpackningen (TLV 2010). Detta kanske reflekterar preparatens modesta effekt alternativt besvärande biverkningar. Enligt TLV (2010) är preparaten endast kostnadseffektiva när läckage föreligger. Försiktighet bör iakttas vid behandling av äldre patienter, där de antikolinerga biverkningarna DBT och/eller 110mm Hg SBT). </w:t>
      </w:r>
      <w:r w:rsidRPr="00A50A81">
        <w:rPr>
          <w:sz w:val="24"/>
          <w:szCs w:val="24"/>
        </w:rPr>
        <w:br/>
      </w:r>
    </w:p>
    <w:p w14:paraId="2B2C6CBB" w14:textId="77777777" w:rsidR="00702564" w:rsidRPr="003474EB" w:rsidRDefault="00702564" w:rsidP="00702564">
      <w:pPr>
        <w:rPr>
          <w:sz w:val="24"/>
          <w:szCs w:val="24"/>
        </w:rPr>
      </w:pPr>
      <w:r w:rsidRPr="00A50A81">
        <w:rPr>
          <w:sz w:val="24"/>
          <w:szCs w:val="24"/>
        </w:rPr>
        <w:t xml:space="preserve">Betmiga (mirabegron) </w:t>
      </w:r>
      <w:r w:rsidRPr="00F93FFA">
        <w:rPr>
          <w:sz w:val="24"/>
          <w:szCs w:val="24"/>
        </w:rPr>
        <w:t>och Obgemsa (vibegron) är andra preparat för behandling av symptom på överaktiv blåsa</w:t>
      </w:r>
      <w:r w:rsidRPr="00A50A81">
        <w:rPr>
          <w:sz w:val="24"/>
          <w:szCs w:val="24"/>
        </w:rPr>
        <w:t xml:space="preserve">. </w:t>
      </w:r>
      <w:r>
        <w:rPr>
          <w:sz w:val="24"/>
          <w:szCs w:val="24"/>
        </w:rPr>
        <w:t>De i</w:t>
      </w:r>
      <w:r w:rsidRPr="00A50A81">
        <w:rPr>
          <w:sz w:val="24"/>
          <w:szCs w:val="24"/>
        </w:rPr>
        <w:t xml:space="preserve">ngår i läkemedelsförmånen för patienter som provat men inte tolererar antikolinergika. </w:t>
      </w:r>
      <w:r w:rsidRPr="003474EB">
        <w:rPr>
          <w:sz w:val="24"/>
          <w:szCs w:val="24"/>
        </w:rPr>
        <w:t xml:space="preserve">De har en annan verkningsmekanism (selektiv beta-3-adrenoreceptoragonist) med annan biverkningsprofil (exv färre/mindre antikolinerga biverkningar jmf med antikolinergika). </w:t>
      </w:r>
      <w:r w:rsidRPr="00A50A81">
        <w:rPr>
          <w:sz w:val="24"/>
          <w:szCs w:val="24"/>
        </w:rPr>
        <w:t xml:space="preserve">Behandling med Betmiga har i kliniska studier visat effekt i nivå med antikolinergika och likvärdig frekvens av biverkningar. Betmiga kan öka blodtrycket varför det bör kontrolleras före behandlingsstart och under behandling, speciellt hos patienter med hypertoni. Betmiga är kontraindicerad för patienter med kraftigt, okontrollerat blodtryck (≥180mm Hg). </w:t>
      </w:r>
      <w:r w:rsidRPr="003474EB">
        <w:rPr>
          <w:sz w:val="24"/>
          <w:szCs w:val="24"/>
        </w:rPr>
        <w:t xml:space="preserve">Obgemsa är relativt nytt. Erfarenheten och kunskapen om detta läkemedel är därför begränsad. Den har samma verkningsmekanism som Betmiga och bedöms av TLV ha jämförbar effekt och biverkningsprofil som Betmiga. </w:t>
      </w:r>
    </w:p>
    <w:p w14:paraId="6254018C" w14:textId="77777777" w:rsidR="00702564" w:rsidRPr="003474EB" w:rsidRDefault="00702564" w:rsidP="00702564">
      <w:pPr>
        <w:rPr>
          <w:sz w:val="24"/>
          <w:szCs w:val="24"/>
        </w:rPr>
      </w:pPr>
    </w:p>
    <w:p w14:paraId="74D4C39A" w14:textId="7DBB6FC3" w:rsidR="00702564" w:rsidRPr="000E4073" w:rsidRDefault="00702564" w:rsidP="00702564">
      <w:pPr>
        <w:rPr>
          <w:rFonts w:asciiTheme="minorHAnsi" w:hAnsiTheme="minorHAnsi" w:cs="Times New Roman"/>
          <w:kern w:val="2"/>
          <w:sz w:val="24"/>
          <w:szCs w:val="24"/>
          <w14:ligatures w14:val="standardContextual"/>
          <w14:numForm w14:val="lining"/>
        </w:rPr>
      </w:pPr>
      <w:r w:rsidRPr="003474EB">
        <w:rPr>
          <w:rFonts w:asciiTheme="minorHAnsi" w:hAnsiTheme="minorHAnsi" w:cs="Times New Roman"/>
          <w:kern w:val="2"/>
          <w:sz w:val="24"/>
          <w:szCs w:val="24"/>
          <w14:ligatures w14:val="standardContextual"/>
          <w14:numForm w14:val="lining"/>
        </w:rPr>
        <w:t>OBS! Om läkemedel sätts in, viktigt med tidig uppföljning av effekt/nytta.</w:t>
      </w:r>
      <w:r w:rsidRPr="003474EB">
        <w:rPr>
          <w:rFonts w:ascii="Roboto" w:hAnsi="Roboto" w:cs="Times New Roman"/>
          <w:kern w:val="2"/>
          <w:sz w:val="24"/>
          <w:szCs w:val="24"/>
          <w:shd w:val="clear" w:color="auto" w:fill="FFFFFF"/>
          <w14:ligatures w14:val="standardContextual"/>
        </w:rPr>
        <w:t xml:space="preserve"> </w:t>
      </w:r>
      <w:r w:rsidRPr="003474EB">
        <w:rPr>
          <w:rFonts w:asciiTheme="minorHAnsi" w:hAnsiTheme="minorHAnsi" w:cs="Times New Roman"/>
          <w:kern w:val="2"/>
          <w:sz w:val="24"/>
          <w:szCs w:val="24"/>
          <w14:ligatures w14:val="standardContextual"/>
          <w14:numForm w14:val="lining"/>
        </w:rPr>
        <w:t>Den kliniska effekten är begränsad, därför man bör utvärdera behandlingen efter 5-7 veckor med hjälp av miktionslistor.</w:t>
      </w:r>
    </w:p>
    <w:p w14:paraId="2160CF80" w14:textId="77777777" w:rsidR="00702564" w:rsidRPr="00A50A81" w:rsidRDefault="00702564" w:rsidP="00702564">
      <w:pPr>
        <w:rPr>
          <w:sz w:val="24"/>
          <w:szCs w:val="24"/>
        </w:rPr>
      </w:pPr>
      <w:r w:rsidRPr="00A50A81">
        <w:rPr>
          <w:sz w:val="24"/>
          <w:szCs w:val="24"/>
        </w:rPr>
        <w:t>Eftersom effekt och biverkningar är jämförbara mellan preparaten, bör priset vara vägledande.</w:t>
      </w:r>
    </w:p>
    <w:p w14:paraId="1A05325A" w14:textId="77777777" w:rsidR="00702564" w:rsidRPr="00564ED7" w:rsidRDefault="00702564" w:rsidP="00702564">
      <w:pPr>
        <w:pStyle w:val="Rubrik2"/>
        <w:rPr>
          <w:lang w:eastAsia="sv-SE"/>
        </w:rPr>
      </w:pPr>
      <w:r w:rsidRPr="00564ED7">
        <w:rPr>
          <w:lang w:eastAsia="sv-SE"/>
        </w:rPr>
        <w:t>Nokturi</w:t>
      </w:r>
    </w:p>
    <w:p w14:paraId="546959CC" w14:textId="77777777" w:rsidR="00702564" w:rsidRDefault="00702564" w:rsidP="00702564">
      <w:pPr>
        <w:tabs>
          <w:tab w:val="clear" w:pos="284"/>
        </w:tabs>
        <w:spacing w:after="240" w:line="240" w:lineRule="auto"/>
        <w:rPr>
          <w:rFonts w:asciiTheme="minorHAnsi" w:eastAsia="Times New Roman" w:hAnsiTheme="minorHAnsi" w:cs="Open Sans"/>
          <w:color w:val="404040"/>
          <w:sz w:val="24"/>
          <w:szCs w:val="24"/>
          <w:lang w:eastAsia="sv-SE"/>
        </w:rPr>
      </w:pPr>
      <w:r w:rsidRPr="00564ED7">
        <w:rPr>
          <w:rFonts w:asciiTheme="minorHAnsi" w:eastAsia="Times New Roman" w:hAnsiTheme="minorHAnsi" w:cs="Open Sans"/>
          <w:color w:val="404040"/>
          <w:sz w:val="24"/>
          <w:szCs w:val="24"/>
          <w:lang w:eastAsia="sv-SE"/>
        </w:rPr>
        <w:t xml:space="preserve">Nokturi (miktioner nattetid) kan vara ett symptom som följd av bland annat hjärtsvikt, </w:t>
      </w:r>
      <w:r w:rsidRPr="00220273">
        <w:rPr>
          <w:sz w:val="24"/>
          <w:szCs w:val="24"/>
        </w:rPr>
        <w:t>sömnapné</w:t>
      </w:r>
      <w:r>
        <w:rPr>
          <w:rFonts w:asciiTheme="minorHAnsi" w:eastAsia="Times New Roman" w:hAnsiTheme="minorHAnsi" w:cs="Open Sans"/>
          <w:color w:val="404040"/>
          <w:sz w:val="24"/>
          <w:szCs w:val="24"/>
          <w:lang w:eastAsia="sv-SE"/>
        </w:rPr>
        <w:t xml:space="preserve">, </w:t>
      </w:r>
      <w:r w:rsidRPr="00564ED7">
        <w:rPr>
          <w:rFonts w:asciiTheme="minorHAnsi" w:eastAsia="Times New Roman" w:hAnsiTheme="minorHAnsi" w:cs="Open Sans"/>
          <w:color w:val="404040"/>
          <w:sz w:val="24"/>
          <w:szCs w:val="24"/>
          <w:lang w:eastAsia="sv-SE"/>
        </w:rPr>
        <w:t xml:space="preserve">diabetes mellitus, diabetes insipidus eller blåsdysfunktion. Desmopressin (Nocdurna 25 mikrogram dagligen hos kvinnor, 50 mikrogram hos män) är registrerat för symptomatisk behandling av nocturi vid idiopatisk nattlig polyuri hos vuxna. Andra desmopressinpreparat (Minirin, Nocturil 0,1 och 0,2 mg) är även registrerade för behandling av nokturi med nattlig polyuri. </w:t>
      </w:r>
      <w:r w:rsidRPr="00564ED7">
        <w:rPr>
          <w:rFonts w:asciiTheme="minorHAnsi" w:eastAsia="Times New Roman" w:hAnsiTheme="minorHAnsi" w:cs="Open Sans"/>
          <w:color w:val="404040"/>
          <w:sz w:val="24"/>
          <w:szCs w:val="24"/>
          <w:lang w:eastAsia="sv-SE"/>
        </w:rPr>
        <w:br/>
        <w:t>Behandling med desmopressin kräver noggrann kontroll av elektrolytbalansen. Fortfarande saknas dock klinisk erfarenhet av såväl utredning som behandling av denna patientgrupp, varför vi väljer att inte rekommendera desmopressin för rutinbruk. Det är nödvändigt att göra en noggrann utredning innan att man börjar behandlingen.</w:t>
      </w:r>
    </w:p>
    <w:p w14:paraId="68A6BC4D" w14:textId="77777777" w:rsidR="00702564" w:rsidRDefault="00702564" w:rsidP="00702564">
      <w:pPr>
        <w:tabs>
          <w:tab w:val="clear" w:pos="284"/>
        </w:tabs>
        <w:spacing w:after="120" w:line="260" w:lineRule="atLeast"/>
        <w:rPr>
          <w:rFonts w:asciiTheme="minorHAnsi" w:eastAsia="Times New Roman" w:hAnsiTheme="minorHAnsi" w:cs="Open Sans"/>
          <w:color w:val="404040"/>
          <w:sz w:val="24"/>
          <w:szCs w:val="24"/>
          <w:lang w:eastAsia="sv-SE"/>
        </w:rPr>
      </w:pPr>
      <w:r>
        <w:rPr>
          <w:rFonts w:asciiTheme="minorHAnsi" w:eastAsia="Times New Roman" w:hAnsiTheme="minorHAnsi" w:cs="Open Sans"/>
          <w:color w:val="404040"/>
          <w:sz w:val="24"/>
          <w:szCs w:val="24"/>
          <w:lang w:eastAsia="sv-SE"/>
        </w:rPr>
        <w:br w:type="page"/>
      </w:r>
    </w:p>
    <w:p w14:paraId="5F92C3F7" w14:textId="77777777" w:rsidR="00702564" w:rsidRDefault="00702564" w:rsidP="00702564">
      <w:pPr>
        <w:pStyle w:val="Rubrik1"/>
      </w:pPr>
      <w:r>
        <w:lastRenderedPageBreak/>
        <w:t>Ögon</w:t>
      </w:r>
    </w:p>
    <w:p w14:paraId="1C74CD73" w14:textId="77777777" w:rsidR="00702564" w:rsidRPr="0071138D" w:rsidRDefault="00702564" w:rsidP="00702564">
      <w:r>
        <w:rPr>
          <w:rFonts w:ascii="Corbel" w:hAnsi="Corbel"/>
          <w:b/>
          <w:bCs/>
          <w:sz w:val="24"/>
          <w:szCs w:val="24"/>
        </w:rPr>
        <w:br/>
      </w:r>
      <w:r w:rsidRPr="00B849A2">
        <w:rPr>
          <w:rFonts w:ascii="Corbel" w:hAnsi="Corbel"/>
          <w:b/>
          <w:bCs/>
          <w:sz w:val="24"/>
          <w:szCs w:val="24"/>
        </w:rPr>
        <w:t>Senast uppdaterad 202</w:t>
      </w:r>
      <w:r>
        <w:rPr>
          <w:rFonts w:ascii="Corbel" w:hAnsi="Corbel"/>
          <w:b/>
          <w:bCs/>
          <w:sz w:val="24"/>
          <w:szCs w:val="24"/>
        </w:rPr>
        <w:t>3</w:t>
      </w:r>
      <w:r w:rsidRPr="00B849A2">
        <w:rPr>
          <w:rFonts w:ascii="Corbel" w:hAnsi="Corbel"/>
          <w:b/>
          <w:bCs/>
          <w:sz w:val="24"/>
          <w:szCs w:val="24"/>
        </w:rPr>
        <w:t>-</w:t>
      </w:r>
      <w:r>
        <w:rPr>
          <w:rFonts w:ascii="Corbel" w:hAnsi="Corbel"/>
          <w:b/>
          <w:bCs/>
          <w:sz w:val="24"/>
          <w:szCs w:val="24"/>
        </w:rPr>
        <w:t>09-21</w:t>
      </w:r>
    </w:p>
    <w:p w14:paraId="47FA6BC6" w14:textId="77777777" w:rsidR="00702564" w:rsidRPr="00B849A2" w:rsidRDefault="00702564" w:rsidP="00702564">
      <w:pPr>
        <w:pStyle w:val="Rubrik2"/>
      </w:pPr>
      <w:r w:rsidRPr="00B849A2">
        <w:t>Terapigruppsmedlemmar</w:t>
      </w:r>
      <w:r>
        <w:t xml:space="preserve">  </w:t>
      </w:r>
    </w:p>
    <w:p w14:paraId="6D057134" w14:textId="77777777" w:rsidR="00702564" w:rsidRPr="00B849A2" w:rsidRDefault="00702564" w:rsidP="00702564">
      <w:pPr>
        <w:rPr>
          <w:rFonts w:asciiTheme="minorHAnsi" w:hAnsiTheme="minorHAnsi" w:cs="Arial"/>
          <w:sz w:val="24"/>
          <w:szCs w:val="24"/>
        </w:rPr>
      </w:pPr>
      <w:r>
        <w:rPr>
          <w:rFonts w:asciiTheme="minorHAnsi" w:hAnsiTheme="minorHAnsi" w:cs="Arial"/>
          <w:sz w:val="24"/>
          <w:szCs w:val="24"/>
        </w:rPr>
        <w:t>Martin Andersson</w:t>
      </w:r>
      <w:r w:rsidRPr="00B849A2">
        <w:rPr>
          <w:rFonts w:asciiTheme="minorHAnsi" w:hAnsiTheme="minorHAnsi" w:cs="Arial"/>
          <w:sz w:val="24"/>
          <w:szCs w:val="24"/>
        </w:rPr>
        <w:t>, överläkare, ögonkliniken BLS</w:t>
      </w:r>
    </w:p>
    <w:p w14:paraId="04D4D5C6" w14:textId="77777777" w:rsidR="00702564" w:rsidRDefault="00702564" w:rsidP="00702564">
      <w:pPr>
        <w:rPr>
          <w:rFonts w:cs="Arial"/>
          <w:szCs w:val="24"/>
        </w:rPr>
      </w:pPr>
      <w:r>
        <w:rPr>
          <w:rFonts w:asciiTheme="minorHAnsi" w:hAnsiTheme="minorHAnsi" w:cs="Arial"/>
          <w:sz w:val="24"/>
          <w:szCs w:val="24"/>
        </w:rPr>
        <w:t>Hanna Justad</w:t>
      </w:r>
      <w:r w:rsidRPr="00B849A2">
        <w:rPr>
          <w:rFonts w:asciiTheme="minorHAnsi" w:hAnsiTheme="minorHAnsi" w:cs="Arial"/>
          <w:sz w:val="24"/>
          <w:szCs w:val="24"/>
        </w:rPr>
        <w:t>, apotekare, Enheten för kvalitet och utveckling</w:t>
      </w:r>
    </w:p>
    <w:p w14:paraId="7419C666" w14:textId="77777777" w:rsidR="00702564" w:rsidRPr="0071138D" w:rsidRDefault="00702564" w:rsidP="00702564">
      <w:pPr>
        <w:rPr>
          <w:rFonts w:cs="Arial"/>
          <w:szCs w:val="24"/>
        </w:rPr>
      </w:pPr>
    </w:p>
    <w:p w14:paraId="1BDD1D1C" w14:textId="77777777" w:rsidR="00702564" w:rsidRPr="00B849A2" w:rsidRDefault="00702564" w:rsidP="00702564">
      <w:pPr>
        <w:pStyle w:val="Rubrik2"/>
      </w:pPr>
      <w:r w:rsidRPr="00B849A2">
        <w:t>Konjunktivit Kornealskador/Svetsblänk</w:t>
      </w:r>
    </w:p>
    <w:p w14:paraId="0CB27DF0" w14:textId="77777777" w:rsidR="00702564" w:rsidRPr="00C63783" w:rsidRDefault="00702564" w:rsidP="007025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702564" w:rsidRPr="00644CB4" w14:paraId="17BCFE36" w14:textId="77777777" w:rsidTr="00632FCC">
        <w:tc>
          <w:tcPr>
            <w:tcW w:w="4536" w:type="dxa"/>
          </w:tcPr>
          <w:p w14:paraId="36960D98" w14:textId="77777777" w:rsidR="00702564" w:rsidRPr="00644CB4" w:rsidRDefault="00702564" w:rsidP="00632FCC">
            <w:pPr>
              <w:rPr>
                <w:rFonts w:cs="Arial"/>
                <w:b/>
                <w:sz w:val="24"/>
                <w:szCs w:val="28"/>
              </w:rPr>
            </w:pPr>
            <w:r w:rsidRPr="00644CB4">
              <w:rPr>
                <w:rFonts w:cs="Arial"/>
                <w:b/>
                <w:sz w:val="24"/>
                <w:szCs w:val="28"/>
              </w:rPr>
              <w:t>1 kloramfenikol</w:t>
            </w:r>
          </w:p>
        </w:tc>
        <w:tc>
          <w:tcPr>
            <w:tcW w:w="4536" w:type="dxa"/>
          </w:tcPr>
          <w:p w14:paraId="35945CE8" w14:textId="77777777" w:rsidR="00702564" w:rsidRPr="00644CB4" w:rsidRDefault="00702564" w:rsidP="00632FCC">
            <w:pPr>
              <w:rPr>
                <w:rFonts w:cs="Arial"/>
                <w:b/>
                <w:sz w:val="24"/>
                <w:szCs w:val="28"/>
              </w:rPr>
            </w:pPr>
            <w:r w:rsidRPr="00644CB4">
              <w:rPr>
                <w:rFonts w:cs="Arial"/>
                <w:iCs/>
                <w:sz w:val="24"/>
                <w:szCs w:val="28"/>
              </w:rPr>
              <w:t>Kloramfenikol salva</w:t>
            </w:r>
            <w:r w:rsidRPr="00644CB4">
              <w:rPr>
                <w:rFonts w:cs="Arial"/>
                <w:iCs/>
                <w:sz w:val="24"/>
                <w:szCs w:val="28"/>
              </w:rPr>
              <w:br/>
            </w:r>
            <w:r w:rsidRPr="00644CB4">
              <w:rPr>
                <w:sz w:val="24"/>
                <w:szCs w:val="28"/>
              </w:rPr>
              <w:t>Vid restnotering välj droppar + eventuellt smörjande.</w:t>
            </w:r>
          </w:p>
        </w:tc>
      </w:tr>
      <w:tr w:rsidR="00702564" w:rsidRPr="00644CB4" w14:paraId="3BEDD5F7" w14:textId="77777777" w:rsidTr="00632FCC">
        <w:tc>
          <w:tcPr>
            <w:tcW w:w="4536" w:type="dxa"/>
          </w:tcPr>
          <w:p w14:paraId="48710D7F" w14:textId="77777777" w:rsidR="00702564" w:rsidRPr="00644CB4" w:rsidRDefault="00702564" w:rsidP="00632FCC">
            <w:pPr>
              <w:rPr>
                <w:rFonts w:cs="Arial"/>
                <w:b/>
                <w:bCs/>
                <w:sz w:val="24"/>
                <w:szCs w:val="24"/>
              </w:rPr>
            </w:pPr>
            <w:r w:rsidRPr="199D024B">
              <w:rPr>
                <w:rFonts w:cs="Arial"/>
                <w:b/>
                <w:bCs/>
                <w:sz w:val="24"/>
                <w:szCs w:val="24"/>
              </w:rPr>
              <w:t xml:space="preserve">2 </w:t>
            </w:r>
            <w:r w:rsidRPr="004F1D6A">
              <w:rPr>
                <w:rFonts w:cs="Arial"/>
                <w:b/>
                <w:bCs/>
                <w:sz w:val="24"/>
                <w:szCs w:val="24"/>
              </w:rPr>
              <w:t>fusidinsyra</w:t>
            </w:r>
            <w:r w:rsidRPr="00644CB4">
              <w:rPr>
                <w:rFonts w:cs="Arial"/>
                <w:b/>
                <w:iCs/>
                <w:sz w:val="24"/>
                <w:szCs w:val="28"/>
              </w:rPr>
              <w:tab/>
            </w:r>
          </w:p>
        </w:tc>
        <w:tc>
          <w:tcPr>
            <w:tcW w:w="4536" w:type="dxa"/>
          </w:tcPr>
          <w:p w14:paraId="341F9D99" w14:textId="77777777" w:rsidR="00702564" w:rsidRPr="00644CB4" w:rsidRDefault="00702564" w:rsidP="00632FCC">
            <w:pPr>
              <w:rPr>
                <w:rFonts w:cs="Arial"/>
                <w:b/>
                <w:sz w:val="24"/>
                <w:szCs w:val="28"/>
              </w:rPr>
            </w:pPr>
            <w:r w:rsidRPr="00644CB4">
              <w:rPr>
                <w:rFonts w:cs="Arial"/>
                <w:iCs/>
                <w:sz w:val="24"/>
                <w:szCs w:val="28"/>
              </w:rPr>
              <w:t>Fucithalmic</w:t>
            </w:r>
          </w:p>
        </w:tc>
      </w:tr>
      <w:tr w:rsidR="00702564" w:rsidRPr="00644CB4" w14:paraId="19B9DCB8" w14:textId="77777777" w:rsidTr="00632FCC">
        <w:tc>
          <w:tcPr>
            <w:tcW w:w="4536" w:type="dxa"/>
          </w:tcPr>
          <w:p w14:paraId="2E364756" w14:textId="77777777" w:rsidR="00702564" w:rsidRPr="00644CB4" w:rsidRDefault="00702564" w:rsidP="00632FCC">
            <w:pPr>
              <w:rPr>
                <w:rFonts w:cs="Arial"/>
                <w:b/>
                <w:sz w:val="24"/>
                <w:szCs w:val="28"/>
              </w:rPr>
            </w:pPr>
            <w:r w:rsidRPr="00644CB4">
              <w:rPr>
                <w:rFonts w:cs="Arial"/>
                <w:b/>
                <w:iCs/>
                <w:sz w:val="24"/>
                <w:szCs w:val="28"/>
              </w:rPr>
              <w:t>3 azitromycin</w:t>
            </w:r>
          </w:p>
        </w:tc>
        <w:tc>
          <w:tcPr>
            <w:tcW w:w="4536" w:type="dxa"/>
          </w:tcPr>
          <w:p w14:paraId="735B8994" w14:textId="77777777" w:rsidR="00702564" w:rsidRPr="00644CB4" w:rsidRDefault="00702564" w:rsidP="00632FCC">
            <w:pPr>
              <w:rPr>
                <w:rFonts w:cs="Arial"/>
                <w:b/>
                <w:sz w:val="24"/>
                <w:szCs w:val="28"/>
              </w:rPr>
            </w:pPr>
            <w:r w:rsidRPr="00644CB4">
              <w:rPr>
                <w:rFonts w:cs="Arial"/>
                <w:iCs/>
                <w:sz w:val="24"/>
                <w:szCs w:val="28"/>
              </w:rPr>
              <w:t>Azyter</w:t>
            </w:r>
          </w:p>
        </w:tc>
      </w:tr>
    </w:tbl>
    <w:p w14:paraId="0A552C54" w14:textId="77777777" w:rsidR="00702564" w:rsidRDefault="00702564" w:rsidP="00702564"/>
    <w:p w14:paraId="00924FD0" w14:textId="77777777" w:rsidR="00702564" w:rsidRDefault="00702564" w:rsidP="00702564">
      <w:pPr>
        <w:rPr>
          <w:sz w:val="24"/>
          <w:szCs w:val="24"/>
        </w:rPr>
      </w:pPr>
      <w:r w:rsidRPr="004F1D6A">
        <w:rPr>
          <w:sz w:val="24"/>
          <w:szCs w:val="24"/>
        </w:rPr>
        <w:t xml:space="preserve">Vid lindrig varig konjunktivit har rengöring och sköljning med fysiologisk NaCl nästan lika bra effekt som fusidinsyra eller kloramfenikol. Fucidinsyra har fördelen med endast två applikationer medan kloramfenikol har minst fyra. Nackdelen är ett något smalare spektrum och högre pris än kloramfenikol. Fusidinsyra svider. Kloramfenikol finns som både droppar och salva. </w:t>
      </w:r>
      <w:r>
        <w:rPr>
          <w:sz w:val="24"/>
          <w:szCs w:val="24"/>
        </w:rPr>
        <w:br/>
      </w:r>
      <w:r w:rsidRPr="004F1D6A">
        <w:rPr>
          <w:sz w:val="24"/>
          <w:szCs w:val="24"/>
        </w:rPr>
        <w:t>Vid kornealskador är salvan är att föredra då den lindrar</w:t>
      </w:r>
      <w:r>
        <w:rPr>
          <w:sz w:val="24"/>
          <w:szCs w:val="24"/>
        </w:rPr>
        <w:t xml:space="preserve"> </w:t>
      </w:r>
      <w:r w:rsidRPr="004F1D6A">
        <w:rPr>
          <w:sz w:val="24"/>
          <w:szCs w:val="24"/>
        </w:rPr>
        <w:t>smärtan i ögat. Kloramfenikol skyddar det skadade ytepitelet mot infektion. Vid leveransproblem välj droppar och smörjande gel (Oftagel). Lokalanestetika undviks, förutom diagnostiskt, då det försenar/förhindrar läkning av kornealepitel. Azitromycin är ett alternativ vid complianceproblem. Enkel dosering, 1x2 i 3 dagar. Är också den enda lokala antibiotika som är verksam mot klamydia.</w:t>
      </w:r>
      <w:r w:rsidRPr="199D024B">
        <w:rPr>
          <w:sz w:val="24"/>
          <w:szCs w:val="24"/>
        </w:rPr>
        <w:t xml:space="preserve">     </w:t>
      </w:r>
      <w:r>
        <w:rPr>
          <w:sz w:val="24"/>
          <w:szCs w:val="24"/>
        </w:rPr>
        <w:br/>
      </w:r>
    </w:p>
    <w:p w14:paraId="080C8202" w14:textId="77777777" w:rsidR="00702564" w:rsidRPr="00B849A2" w:rsidRDefault="00702564" w:rsidP="00702564">
      <w:pPr>
        <w:pStyle w:val="Rubrik2"/>
      </w:pPr>
      <w:r w:rsidRPr="00B849A2">
        <w:t>Hordeolum, inflammerad vagel, kronisk varig blefarokonjunktivit</w:t>
      </w:r>
      <w:r>
        <w:br/>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4"/>
        <w:gridCol w:w="5670"/>
      </w:tblGrid>
      <w:tr w:rsidR="00702564" w:rsidRPr="00B82908" w14:paraId="66B01696" w14:textId="77777777" w:rsidTr="00632FCC">
        <w:tc>
          <w:tcPr>
            <w:tcW w:w="3964" w:type="dxa"/>
          </w:tcPr>
          <w:p w14:paraId="62E436FB" w14:textId="77777777" w:rsidR="00702564" w:rsidRPr="00B82908" w:rsidRDefault="00702564" w:rsidP="00632FCC">
            <w:pPr>
              <w:rPr>
                <w:rFonts w:cs="Arial"/>
                <w:b/>
                <w:sz w:val="24"/>
                <w:szCs w:val="28"/>
              </w:rPr>
            </w:pPr>
            <w:r w:rsidRPr="00B82908">
              <w:rPr>
                <w:rFonts w:cs="Arial"/>
                <w:b/>
                <w:sz w:val="24"/>
                <w:szCs w:val="28"/>
              </w:rPr>
              <w:t>Hydrokortison + antiinfektiva</w:t>
            </w:r>
          </w:p>
        </w:tc>
        <w:tc>
          <w:tcPr>
            <w:tcW w:w="5670" w:type="dxa"/>
          </w:tcPr>
          <w:p w14:paraId="681E1F9F" w14:textId="77777777" w:rsidR="00702564" w:rsidRPr="00B82908" w:rsidRDefault="00702564" w:rsidP="00632FCC">
            <w:pPr>
              <w:rPr>
                <w:rFonts w:cs="Arial"/>
                <w:b/>
                <w:sz w:val="24"/>
                <w:szCs w:val="28"/>
              </w:rPr>
            </w:pPr>
            <w:r w:rsidRPr="199D024B">
              <w:rPr>
                <w:rFonts w:cs="Arial"/>
                <w:sz w:val="24"/>
                <w:szCs w:val="24"/>
              </w:rPr>
              <w:t xml:space="preserve">Terracortril med Polymyxin B </w:t>
            </w:r>
            <w:r w:rsidRPr="004F1D6A">
              <w:rPr>
                <w:rFonts w:cs="Arial"/>
                <w:sz w:val="24"/>
                <w:szCs w:val="24"/>
              </w:rPr>
              <w:t>salva</w:t>
            </w:r>
            <w:r>
              <w:rPr>
                <w:rFonts w:cs="Arial"/>
                <w:sz w:val="24"/>
                <w:szCs w:val="24"/>
              </w:rPr>
              <w:t xml:space="preserve"> </w:t>
            </w:r>
            <w:r w:rsidRPr="00B82908">
              <w:rPr>
                <w:rFonts w:cs="Arial"/>
                <w:sz w:val="24"/>
                <w:szCs w:val="28"/>
              </w:rPr>
              <w:t>(max 7–10 dagar)</w:t>
            </w:r>
          </w:p>
        </w:tc>
      </w:tr>
      <w:tr w:rsidR="00702564" w:rsidRPr="00B82908" w14:paraId="5AA61569" w14:textId="77777777" w:rsidTr="00632FCC">
        <w:tc>
          <w:tcPr>
            <w:tcW w:w="3964" w:type="dxa"/>
          </w:tcPr>
          <w:p w14:paraId="0C5F740D" w14:textId="77777777" w:rsidR="00702564" w:rsidRPr="00B82908" w:rsidRDefault="00702564" w:rsidP="00632FCC">
            <w:pPr>
              <w:rPr>
                <w:rFonts w:cs="Arial"/>
                <w:b/>
                <w:sz w:val="24"/>
                <w:szCs w:val="28"/>
              </w:rPr>
            </w:pPr>
            <w:r w:rsidRPr="00B82908">
              <w:rPr>
                <w:rFonts w:cs="Arial"/>
                <w:b/>
                <w:sz w:val="24"/>
                <w:szCs w:val="28"/>
              </w:rPr>
              <w:t>kloramfenikol</w:t>
            </w:r>
          </w:p>
        </w:tc>
        <w:tc>
          <w:tcPr>
            <w:tcW w:w="5670" w:type="dxa"/>
          </w:tcPr>
          <w:p w14:paraId="44F3DE5B" w14:textId="77777777" w:rsidR="00702564" w:rsidRPr="00B82908" w:rsidRDefault="00702564" w:rsidP="00632FCC">
            <w:pPr>
              <w:rPr>
                <w:rFonts w:cs="Arial"/>
                <w:b/>
                <w:sz w:val="24"/>
                <w:szCs w:val="28"/>
              </w:rPr>
            </w:pPr>
            <w:r w:rsidRPr="00B82908">
              <w:rPr>
                <w:rFonts w:cs="Arial"/>
                <w:sz w:val="24"/>
                <w:szCs w:val="28"/>
              </w:rPr>
              <w:t>Kloramfenikol</w:t>
            </w:r>
            <w:r w:rsidRPr="00B82908">
              <w:rPr>
                <w:rFonts w:cs="Arial"/>
                <w:b/>
                <w:sz w:val="24"/>
                <w:szCs w:val="28"/>
              </w:rPr>
              <w:t xml:space="preserve"> </w:t>
            </w:r>
            <w:r w:rsidRPr="00B82908">
              <w:rPr>
                <w:rFonts w:cs="Arial"/>
                <w:sz w:val="24"/>
                <w:szCs w:val="28"/>
              </w:rPr>
              <w:t>salva</w:t>
            </w:r>
          </w:p>
        </w:tc>
      </w:tr>
    </w:tbl>
    <w:p w14:paraId="30903A82" w14:textId="77777777" w:rsidR="00702564" w:rsidRDefault="00702564" w:rsidP="00702564">
      <w:pPr>
        <w:rPr>
          <w:rFonts w:cs="Arial"/>
          <w:b/>
          <w:sz w:val="28"/>
          <w:szCs w:val="28"/>
        </w:rPr>
      </w:pPr>
    </w:p>
    <w:p w14:paraId="28214D24" w14:textId="77777777" w:rsidR="00702564" w:rsidRDefault="00702564" w:rsidP="00702564">
      <w:pPr>
        <w:rPr>
          <w:sz w:val="24"/>
          <w:szCs w:val="24"/>
        </w:rPr>
      </w:pPr>
      <w:r w:rsidRPr="004F1D6A">
        <w:rPr>
          <w:sz w:val="24"/>
          <w:szCs w:val="24"/>
        </w:rPr>
        <w:t>Särskilt vid återkommande eller kroniska besvär viktigt med rengöring och återfuktande droppar/salva. Varma kompresser och sedan rengöring med bomullspinne. Särskilda våtservetter för att rengöra ögonlockskanter, t ex Blephaclean, finns på apotek. Att behandla med antibiotika och steroid i kombination ger fördelar jämfört med enbart antibiotika vid dessa tillstånd.</w:t>
      </w:r>
    </w:p>
    <w:p w14:paraId="20993599" w14:textId="77777777" w:rsidR="00702564" w:rsidRDefault="00702564" w:rsidP="00702564">
      <w:r w:rsidRPr="004F1D6A">
        <w:rPr>
          <w:sz w:val="24"/>
          <w:szCs w:val="24"/>
        </w:rPr>
        <w:t>Den granulomatösa inflammationskomponenten leder vid hordeolum annars ibland till kroniskt chalazion. Det är vanligt att vageln inte helt läker ut inom 10–14 dagar men då hjälper sällan ytterligare lokalbehandling. Om kvarstående chalazion som ger problem övervägs kirurgiskt öppnande tidigast efter 6 månader. Kontraindikation: anamnes på tidigare herpeskeratit. Kloramfenikol om man vill undvika steroider.</w:t>
      </w:r>
      <w:r w:rsidRPr="00B849A2">
        <w:rPr>
          <w:sz w:val="24"/>
          <w:szCs w:val="24"/>
        </w:rPr>
        <w:t xml:space="preserve"> </w:t>
      </w:r>
    </w:p>
    <w:p w14:paraId="30A9E80E" w14:textId="77777777" w:rsidR="00702564" w:rsidRPr="00C80502" w:rsidRDefault="00702564" w:rsidP="00702564">
      <w:pPr>
        <w:pStyle w:val="Rubrik2"/>
      </w:pPr>
      <w:r w:rsidRPr="00C80502">
        <w:lastRenderedPageBreak/>
        <w:t>Antiallergika</w:t>
      </w:r>
      <w:r>
        <w:t xml:space="preserve"> </w:t>
      </w:r>
      <w:r w:rsidRPr="00C80502">
        <w:t>/</w:t>
      </w:r>
      <w:r>
        <w:t xml:space="preserve"> </w:t>
      </w:r>
      <w:r w:rsidRPr="00C80502">
        <w:t>Avsvällande medel</w:t>
      </w:r>
    </w:p>
    <w:p w14:paraId="013820C7" w14:textId="77777777" w:rsidR="00702564" w:rsidRDefault="00702564" w:rsidP="00702564">
      <w:pPr>
        <w:rPr>
          <w:rFonts w:cs="Arial"/>
          <w:b/>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962"/>
      </w:tblGrid>
      <w:tr w:rsidR="00702564" w14:paraId="789D3EED" w14:textId="77777777" w:rsidTr="00632FCC">
        <w:tc>
          <w:tcPr>
            <w:tcW w:w="4531" w:type="dxa"/>
          </w:tcPr>
          <w:p w14:paraId="614E34E7" w14:textId="77777777" w:rsidR="00702564" w:rsidRPr="004F1D6A" w:rsidRDefault="00702564" w:rsidP="00632FCC">
            <w:pPr>
              <w:pStyle w:val="Rubrik3"/>
            </w:pPr>
            <w:r w:rsidRPr="004F1D6A">
              <w:t>Receptfria</w:t>
            </w:r>
          </w:p>
        </w:tc>
        <w:tc>
          <w:tcPr>
            <w:tcW w:w="4962" w:type="dxa"/>
          </w:tcPr>
          <w:p w14:paraId="10506E1E" w14:textId="77777777" w:rsidR="00702564" w:rsidRPr="004F1D6A" w:rsidRDefault="00702564" w:rsidP="00632FCC">
            <w:pPr>
              <w:rPr>
                <w:rFonts w:cs="Arial"/>
              </w:rPr>
            </w:pPr>
          </w:p>
        </w:tc>
      </w:tr>
      <w:tr w:rsidR="00702564" w:rsidRPr="00B82908" w14:paraId="20A73261" w14:textId="77777777" w:rsidTr="00632FCC">
        <w:tc>
          <w:tcPr>
            <w:tcW w:w="4531" w:type="dxa"/>
          </w:tcPr>
          <w:p w14:paraId="4383F59F" w14:textId="77777777" w:rsidR="00702564" w:rsidRPr="004F1D6A" w:rsidRDefault="00702564" w:rsidP="00632FCC">
            <w:pPr>
              <w:rPr>
                <w:rFonts w:cs="Arial"/>
                <w:b/>
                <w:bCs/>
                <w:sz w:val="24"/>
                <w:szCs w:val="24"/>
              </w:rPr>
            </w:pPr>
            <w:r w:rsidRPr="004F1D6A">
              <w:rPr>
                <w:rFonts w:cs="Arial"/>
                <w:b/>
                <w:bCs/>
                <w:sz w:val="24"/>
                <w:szCs w:val="24"/>
              </w:rPr>
              <w:t>1 natriumkromoglikat</w:t>
            </w:r>
          </w:p>
        </w:tc>
        <w:tc>
          <w:tcPr>
            <w:tcW w:w="4962" w:type="dxa"/>
          </w:tcPr>
          <w:p w14:paraId="3872A16A" w14:textId="77777777" w:rsidR="00702564" w:rsidRPr="004F1D6A" w:rsidRDefault="00702564" w:rsidP="00632FCC">
            <w:pPr>
              <w:rPr>
                <w:rFonts w:cs="Arial"/>
                <w:b/>
                <w:bCs/>
                <w:sz w:val="24"/>
                <w:szCs w:val="24"/>
              </w:rPr>
            </w:pPr>
            <w:r w:rsidRPr="004F1D6A">
              <w:rPr>
                <w:rFonts w:cs="Arial"/>
                <w:sz w:val="24"/>
                <w:szCs w:val="24"/>
              </w:rPr>
              <w:t>Lecrolyn sine</w:t>
            </w:r>
          </w:p>
        </w:tc>
      </w:tr>
      <w:tr w:rsidR="00702564" w:rsidRPr="00B82908" w14:paraId="5BE0BF7B" w14:textId="77777777" w:rsidTr="00632FCC">
        <w:tc>
          <w:tcPr>
            <w:tcW w:w="4531" w:type="dxa"/>
          </w:tcPr>
          <w:p w14:paraId="49448908" w14:textId="77777777" w:rsidR="00702564" w:rsidRPr="004F1D6A" w:rsidRDefault="00702564" w:rsidP="00632FCC">
            <w:pPr>
              <w:rPr>
                <w:rFonts w:cs="Arial"/>
                <w:b/>
                <w:bCs/>
                <w:sz w:val="24"/>
                <w:szCs w:val="24"/>
              </w:rPr>
            </w:pPr>
            <w:r w:rsidRPr="004F1D6A">
              <w:rPr>
                <w:rFonts w:cs="Arial"/>
                <w:b/>
                <w:bCs/>
                <w:sz w:val="24"/>
                <w:szCs w:val="24"/>
              </w:rPr>
              <w:t>2 ketotifen</w:t>
            </w:r>
          </w:p>
        </w:tc>
        <w:tc>
          <w:tcPr>
            <w:tcW w:w="4962" w:type="dxa"/>
          </w:tcPr>
          <w:p w14:paraId="6549D0EB" w14:textId="77777777" w:rsidR="00702564" w:rsidRPr="004F1D6A" w:rsidRDefault="00702564" w:rsidP="00632FCC">
            <w:pPr>
              <w:rPr>
                <w:rFonts w:cs="Arial"/>
                <w:sz w:val="24"/>
                <w:szCs w:val="24"/>
              </w:rPr>
            </w:pPr>
            <w:r w:rsidRPr="004F1D6A">
              <w:rPr>
                <w:rFonts w:cs="Arial"/>
                <w:sz w:val="24"/>
                <w:szCs w:val="24"/>
              </w:rPr>
              <w:t>Zaditen</w:t>
            </w:r>
          </w:p>
        </w:tc>
      </w:tr>
      <w:tr w:rsidR="00702564" w:rsidRPr="00B82908" w14:paraId="3B732393" w14:textId="77777777" w:rsidTr="00632FCC">
        <w:trPr>
          <w:trHeight w:val="677"/>
        </w:trPr>
        <w:tc>
          <w:tcPr>
            <w:tcW w:w="4531" w:type="dxa"/>
          </w:tcPr>
          <w:p w14:paraId="581EB20A" w14:textId="77777777" w:rsidR="00702564" w:rsidRPr="004F1D6A" w:rsidRDefault="00702564" w:rsidP="00632FCC">
            <w:r>
              <w:rPr>
                <w:rFonts w:asciiTheme="majorHAnsi" w:eastAsiaTheme="majorEastAsia" w:hAnsiTheme="majorHAnsi"/>
                <w:b/>
                <w:bCs/>
                <w:sz w:val="24"/>
                <w:szCs w:val="24"/>
              </w:rPr>
              <w:br/>
            </w:r>
            <w:r w:rsidRPr="004F1D6A">
              <w:rPr>
                <w:rFonts w:asciiTheme="majorHAnsi" w:eastAsiaTheme="majorEastAsia" w:hAnsiTheme="majorHAnsi"/>
                <w:b/>
                <w:bCs/>
                <w:sz w:val="24"/>
                <w:szCs w:val="24"/>
              </w:rPr>
              <w:t>Receptbelagda</w:t>
            </w:r>
          </w:p>
        </w:tc>
        <w:tc>
          <w:tcPr>
            <w:tcW w:w="4962" w:type="dxa"/>
          </w:tcPr>
          <w:p w14:paraId="2CA11A1A" w14:textId="77777777" w:rsidR="00702564" w:rsidRPr="004F1D6A" w:rsidRDefault="00702564" w:rsidP="00632FCC">
            <w:pPr>
              <w:rPr>
                <w:rFonts w:cs="Arial"/>
                <w:sz w:val="24"/>
                <w:szCs w:val="24"/>
              </w:rPr>
            </w:pPr>
          </w:p>
        </w:tc>
      </w:tr>
      <w:tr w:rsidR="00702564" w14:paraId="2D8BE4EC" w14:textId="77777777" w:rsidTr="00632FCC">
        <w:trPr>
          <w:trHeight w:val="275"/>
        </w:trPr>
        <w:tc>
          <w:tcPr>
            <w:tcW w:w="4531" w:type="dxa"/>
          </w:tcPr>
          <w:p w14:paraId="4B2886DC" w14:textId="77777777" w:rsidR="00702564" w:rsidRPr="004F1D6A" w:rsidRDefault="00702564" w:rsidP="00632FCC">
            <w:pPr>
              <w:rPr>
                <w:rFonts w:cs="Arial"/>
                <w:b/>
                <w:bCs/>
              </w:rPr>
            </w:pPr>
            <w:r w:rsidRPr="004F1D6A">
              <w:rPr>
                <w:b/>
                <w:bCs/>
                <w:sz w:val="24"/>
                <w:szCs w:val="24"/>
              </w:rPr>
              <w:t>2 emedastin</w:t>
            </w:r>
          </w:p>
        </w:tc>
        <w:tc>
          <w:tcPr>
            <w:tcW w:w="4962" w:type="dxa"/>
          </w:tcPr>
          <w:p w14:paraId="6CCA7232" w14:textId="77777777" w:rsidR="00702564" w:rsidRPr="004F1D6A" w:rsidRDefault="00702564" w:rsidP="00632FCC">
            <w:pPr>
              <w:rPr>
                <w:rFonts w:cs="Arial"/>
                <w:sz w:val="24"/>
                <w:szCs w:val="24"/>
              </w:rPr>
            </w:pPr>
            <w:r w:rsidRPr="004F1D6A">
              <w:rPr>
                <w:rFonts w:eastAsiaTheme="minorEastAsia"/>
                <w:sz w:val="24"/>
                <w:szCs w:val="24"/>
              </w:rPr>
              <w:t>Emadine</w:t>
            </w:r>
          </w:p>
        </w:tc>
      </w:tr>
      <w:tr w:rsidR="00702564" w:rsidRPr="00B82908" w14:paraId="4B7C3600" w14:textId="77777777" w:rsidTr="00632FCC">
        <w:tc>
          <w:tcPr>
            <w:tcW w:w="4531" w:type="dxa"/>
          </w:tcPr>
          <w:p w14:paraId="6AD9F5D8" w14:textId="77777777" w:rsidR="00702564" w:rsidRPr="004F1D6A" w:rsidRDefault="00702564" w:rsidP="00632FCC">
            <w:pPr>
              <w:rPr>
                <w:rFonts w:ascii="Arial" w:eastAsia="Arial" w:hAnsi="Arial" w:cs="Arial"/>
                <w:sz w:val="24"/>
                <w:szCs w:val="24"/>
              </w:rPr>
            </w:pPr>
            <w:r w:rsidRPr="004F1D6A">
              <w:rPr>
                <w:rFonts w:cs="Arial"/>
                <w:b/>
                <w:bCs/>
                <w:sz w:val="24"/>
                <w:szCs w:val="24"/>
              </w:rPr>
              <w:t xml:space="preserve">2 olopatadin </w:t>
            </w:r>
          </w:p>
        </w:tc>
        <w:tc>
          <w:tcPr>
            <w:tcW w:w="4962" w:type="dxa"/>
          </w:tcPr>
          <w:p w14:paraId="46B93D94" w14:textId="77777777" w:rsidR="00702564" w:rsidRPr="004F1D6A" w:rsidRDefault="00702564" w:rsidP="00632FCC">
            <w:pPr>
              <w:rPr>
                <w:rFonts w:cs="Arial"/>
                <w:sz w:val="24"/>
                <w:szCs w:val="24"/>
              </w:rPr>
            </w:pPr>
            <w:r w:rsidRPr="004F1D6A">
              <w:rPr>
                <w:rFonts w:cs="Arial"/>
                <w:sz w:val="24"/>
                <w:szCs w:val="24"/>
              </w:rPr>
              <w:t>Olopatadin</w:t>
            </w:r>
          </w:p>
        </w:tc>
      </w:tr>
    </w:tbl>
    <w:p w14:paraId="18ABEDB4" w14:textId="77777777" w:rsidR="00702564" w:rsidRDefault="00702564" w:rsidP="00702564">
      <w:pPr>
        <w:rPr>
          <w:rFonts w:cs="Arial"/>
          <w:b/>
          <w:szCs w:val="24"/>
        </w:rPr>
      </w:pPr>
    </w:p>
    <w:p w14:paraId="16CAD54E" w14:textId="77777777" w:rsidR="00702564" w:rsidRPr="00B849A2" w:rsidRDefault="00702564" w:rsidP="00702564">
      <w:pPr>
        <w:pStyle w:val="Liststycke"/>
        <w:numPr>
          <w:ilvl w:val="0"/>
          <w:numId w:val="27"/>
        </w:numPr>
        <w:contextualSpacing/>
        <w:rPr>
          <w:rFonts w:cs="Arial"/>
          <w:b/>
          <w:sz w:val="24"/>
          <w:szCs w:val="24"/>
        </w:rPr>
      </w:pPr>
      <w:r w:rsidRPr="00B849A2">
        <w:rPr>
          <w:sz w:val="24"/>
          <w:szCs w:val="24"/>
        </w:rPr>
        <w:t>Natriumkromoglikat är 1:a handsval vid allergi.</w:t>
      </w:r>
    </w:p>
    <w:p w14:paraId="7E65CCAD" w14:textId="77777777" w:rsidR="00702564" w:rsidRPr="00B849A2" w:rsidRDefault="00702564" w:rsidP="00702564">
      <w:pPr>
        <w:pStyle w:val="Liststycke"/>
        <w:numPr>
          <w:ilvl w:val="0"/>
          <w:numId w:val="27"/>
        </w:numPr>
        <w:contextualSpacing/>
        <w:rPr>
          <w:rFonts w:cs="Arial"/>
          <w:b/>
          <w:sz w:val="24"/>
          <w:szCs w:val="24"/>
        </w:rPr>
      </w:pPr>
      <w:r w:rsidRPr="00B849A2">
        <w:rPr>
          <w:sz w:val="24"/>
          <w:szCs w:val="24"/>
        </w:rPr>
        <w:t xml:space="preserve">Antihistamin till exempel emedastin och ketotifen ges vid otillräcklig effekt. </w:t>
      </w:r>
      <w:r>
        <w:rPr>
          <w:sz w:val="24"/>
          <w:szCs w:val="24"/>
        </w:rPr>
        <w:br/>
      </w:r>
      <w:r w:rsidRPr="00B849A2">
        <w:rPr>
          <w:sz w:val="24"/>
          <w:szCs w:val="24"/>
        </w:rPr>
        <w:t>Samtliga dessa receptfria.</w:t>
      </w:r>
    </w:p>
    <w:p w14:paraId="581B12C8" w14:textId="55A42A70" w:rsidR="00702564" w:rsidRPr="000E4073" w:rsidRDefault="00702564" w:rsidP="00702564">
      <w:pPr>
        <w:pStyle w:val="Liststycke"/>
        <w:numPr>
          <w:ilvl w:val="0"/>
          <w:numId w:val="27"/>
        </w:numPr>
        <w:contextualSpacing/>
        <w:rPr>
          <w:rFonts w:cs="Arial"/>
          <w:b/>
          <w:sz w:val="24"/>
          <w:szCs w:val="24"/>
        </w:rPr>
      </w:pPr>
      <w:r w:rsidRPr="00B849A2">
        <w:rPr>
          <w:sz w:val="24"/>
          <w:szCs w:val="24"/>
        </w:rPr>
        <w:t>Kortisonpreparat förbehålls specialisten.</w:t>
      </w:r>
      <w:r w:rsidR="000E4073">
        <w:rPr>
          <w:sz w:val="24"/>
          <w:szCs w:val="24"/>
        </w:rPr>
        <w:br/>
      </w:r>
    </w:p>
    <w:p w14:paraId="6BD86C25" w14:textId="17C397FE" w:rsidR="00702564" w:rsidRPr="000E4073" w:rsidRDefault="00702564" w:rsidP="000E4073">
      <w:pPr>
        <w:rPr>
          <w:rFonts w:cs="Arial"/>
          <w:sz w:val="24"/>
          <w:szCs w:val="24"/>
        </w:rPr>
      </w:pPr>
      <w:r w:rsidRPr="00B849A2">
        <w:rPr>
          <w:rFonts w:cs="Arial"/>
          <w:sz w:val="24"/>
          <w:szCs w:val="24"/>
        </w:rPr>
        <w:t xml:space="preserve">Vid allergi är det ofta bra med kombinerad behandling, lokalt och systemiskt. </w:t>
      </w:r>
    </w:p>
    <w:p w14:paraId="35DFE825" w14:textId="45AA9DDA" w:rsidR="00702564" w:rsidRDefault="00702564" w:rsidP="00702564">
      <w:pPr>
        <w:rPr>
          <w:rFonts w:cs="Arial"/>
          <w:sz w:val="24"/>
          <w:szCs w:val="24"/>
        </w:rPr>
      </w:pPr>
      <w:r w:rsidRPr="004F1D6A">
        <w:rPr>
          <w:rFonts w:cs="Arial"/>
          <w:sz w:val="24"/>
          <w:szCs w:val="24"/>
        </w:rPr>
        <w:t>Olopatadin har två verkningsmekanismer, både antihistamin och mastcellsstabiliserande. Är ett andrahandspreparat med något högre pris som ska användas när övriga inte gett önskad effekt.</w:t>
      </w:r>
      <w:r w:rsidRPr="199D024B">
        <w:rPr>
          <w:rFonts w:cs="Arial"/>
          <w:sz w:val="24"/>
          <w:szCs w:val="24"/>
        </w:rPr>
        <w:t xml:space="preserve"> </w:t>
      </w:r>
    </w:p>
    <w:p w14:paraId="69D9B24C" w14:textId="77777777" w:rsidR="00702564" w:rsidRPr="00B849A2" w:rsidRDefault="00702564" w:rsidP="00702564">
      <w:pPr>
        <w:pStyle w:val="Rubrik2"/>
      </w:pPr>
      <w:r w:rsidRPr="00B849A2">
        <w:t>Tårsubstitut</w:t>
      </w:r>
    </w:p>
    <w:p w14:paraId="5F9A0C29" w14:textId="77777777" w:rsidR="00702564" w:rsidRPr="007B6699" w:rsidRDefault="00702564" w:rsidP="00702564">
      <w:pPr>
        <w:rPr>
          <w:rFonts w:cs="Arial"/>
          <w:bCs/>
          <w:sz w:val="24"/>
          <w:szCs w:val="28"/>
        </w:rPr>
      </w:pPr>
      <w:r w:rsidRPr="007B6699">
        <w:rPr>
          <w:rFonts w:asciiTheme="minorHAnsi" w:hAnsiTheme="minorHAnsi"/>
          <w:sz w:val="24"/>
          <w:szCs w:val="24"/>
        </w:rPr>
        <w:t xml:space="preserve">Vid torra ögon utan bakomliggande sjukdom rekommenderas receptfria produkter. </w:t>
      </w:r>
      <w:r w:rsidRPr="007B6699">
        <w:rPr>
          <w:rFonts w:asciiTheme="minorHAnsi" w:hAnsiTheme="minorHAnsi"/>
          <w:sz w:val="24"/>
          <w:szCs w:val="24"/>
        </w:rPr>
        <w:br/>
        <w:t>Tänk på att torra ögon kan orsakas av läkemedel.</w:t>
      </w:r>
      <w:r w:rsidRPr="007B6699">
        <w:rPr>
          <w:rFonts w:asciiTheme="minorHAnsi" w:hAnsiTheme="minorHAnsi"/>
          <w:sz w:val="24"/>
          <w:szCs w:val="24"/>
        </w:rPr>
        <w:br/>
        <w:t>Vid bakomliggande sjukdom kan nedanstående recept förskrivas.</w:t>
      </w:r>
      <w:r w:rsidRPr="007B6699">
        <w:rPr>
          <w:rFonts w:cs="Arial"/>
          <w:bCs/>
          <w:sz w:val="24"/>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2"/>
        <w:gridCol w:w="4530"/>
      </w:tblGrid>
      <w:tr w:rsidR="00702564" w:rsidRPr="00B82908" w14:paraId="68DB1C33" w14:textId="77777777" w:rsidTr="00632FCC">
        <w:tc>
          <w:tcPr>
            <w:tcW w:w="4532" w:type="dxa"/>
          </w:tcPr>
          <w:p w14:paraId="33D17915" w14:textId="77777777" w:rsidR="00702564" w:rsidRPr="00B82908" w:rsidRDefault="00702564" w:rsidP="00632FCC">
            <w:pPr>
              <w:rPr>
                <w:rFonts w:cs="Arial"/>
                <w:bCs/>
                <w:sz w:val="24"/>
                <w:szCs w:val="28"/>
              </w:rPr>
            </w:pPr>
            <w:r w:rsidRPr="00B82908">
              <w:rPr>
                <w:rFonts w:cs="Arial"/>
                <w:bCs/>
                <w:sz w:val="24"/>
                <w:szCs w:val="28"/>
              </w:rPr>
              <w:t xml:space="preserve">Utan konserveringsmedel: </w:t>
            </w:r>
          </w:p>
        </w:tc>
        <w:tc>
          <w:tcPr>
            <w:tcW w:w="4530" w:type="dxa"/>
          </w:tcPr>
          <w:p w14:paraId="061EDB98" w14:textId="77777777" w:rsidR="00702564" w:rsidRPr="00B82908" w:rsidRDefault="00702564" w:rsidP="00632FCC">
            <w:pPr>
              <w:rPr>
                <w:rFonts w:cs="Arial"/>
                <w:b/>
                <w:sz w:val="24"/>
                <w:szCs w:val="28"/>
              </w:rPr>
            </w:pPr>
          </w:p>
        </w:tc>
      </w:tr>
      <w:tr w:rsidR="00702564" w:rsidRPr="00B82908" w14:paraId="065EDE2A" w14:textId="77777777" w:rsidTr="00632FCC">
        <w:tc>
          <w:tcPr>
            <w:tcW w:w="4532" w:type="dxa"/>
          </w:tcPr>
          <w:p w14:paraId="38D5C365" w14:textId="77777777" w:rsidR="00702564" w:rsidRPr="00B82908" w:rsidRDefault="00702564" w:rsidP="00632FCC">
            <w:pPr>
              <w:rPr>
                <w:rFonts w:cs="Arial"/>
                <w:b/>
                <w:sz w:val="24"/>
                <w:szCs w:val="28"/>
              </w:rPr>
            </w:pPr>
            <w:r w:rsidRPr="00B82908">
              <w:rPr>
                <w:rFonts w:cs="Arial"/>
                <w:b/>
                <w:sz w:val="24"/>
                <w:szCs w:val="28"/>
              </w:rPr>
              <w:t>hypromellos</w:t>
            </w:r>
          </w:p>
        </w:tc>
        <w:tc>
          <w:tcPr>
            <w:tcW w:w="4530" w:type="dxa"/>
          </w:tcPr>
          <w:p w14:paraId="7BB5BE9F" w14:textId="77777777" w:rsidR="00702564" w:rsidRPr="00B82908" w:rsidRDefault="00702564" w:rsidP="00632FCC">
            <w:pPr>
              <w:rPr>
                <w:rFonts w:cs="Arial"/>
                <w:b/>
                <w:sz w:val="24"/>
                <w:szCs w:val="28"/>
              </w:rPr>
            </w:pPr>
            <w:r w:rsidRPr="00B82908">
              <w:rPr>
                <w:rFonts w:cs="Arial"/>
                <w:iCs/>
                <w:sz w:val="24"/>
                <w:szCs w:val="28"/>
              </w:rPr>
              <w:t>Hyprosan ögondroppar</w:t>
            </w:r>
          </w:p>
        </w:tc>
      </w:tr>
      <w:tr w:rsidR="00702564" w:rsidRPr="00B82908" w14:paraId="71DD6AAB" w14:textId="77777777" w:rsidTr="00632FCC">
        <w:tc>
          <w:tcPr>
            <w:tcW w:w="9062" w:type="dxa"/>
            <w:gridSpan w:val="2"/>
          </w:tcPr>
          <w:p w14:paraId="007DA33D" w14:textId="77777777" w:rsidR="00702564" w:rsidRPr="00B82908" w:rsidRDefault="00702564" w:rsidP="00632FCC">
            <w:pPr>
              <w:rPr>
                <w:rFonts w:cs="Arial"/>
                <w:bCs/>
                <w:sz w:val="24"/>
                <w:szCs w:val="28"/>
              </w:rPr>
            </w:pPr>
          </w:p>
          <w:p w14:paraId="6EEC148D" w14:textId="77777777" w:rsidR="00702564" w:rsidRPr="00B82908" w:rsidRDefault="00702564" w:rsidP="00632FCC">
            <w:pPr>
              <w:rPr>
                <w:rFonts w:cs="Arial"/>
                <w:bCs/>
                <w:sz w:val="24"/>
                <w:szCs w:val="28"/>
              </w:rPr>
            </w:pPr>
            <w:r w:rsidRPr="00B82908">
              <w:rPr>
                <w:rFonts w:cs="Arial"/>
                <w:bCs/>
                <w:sz w:val="24"/>
                <w:szCs w:val="28"/>
              </w:rPr>
              <w:t>Med konserveringsmedel (flaska) och utan konserveringsmedel (engångspipett):</w:t>
            </w:r>
          </w:p>
        </w:tc>
      </w:tr>
      <w:tr w:rsidR="00702564" w:rsidRPr="00B82908" w14:paraId="671749D8" w14:textId="77777777" w:rsidTr="00632FCC">
        <w:tc>
          <w:tcPr>
            <w:tcW w:w="4532" w:type="dxa"/>
          </w:tcPr>
          <w:p w14:paraId="56521AD4" w14:textId="77777777" w:rsidR="00702564" w:rsidRPr="00B82908" w:rsidRDefault="00702564" w:rsidP="00632FCC">
            <w:pPr>
              <w:rPr>
                <w:rFonts w:cs="Arial"/>
                <w:b/>
                <w:sz w:val="24"/>
                <w:szCs w:val="28"/>
              </w:rPr>
            </w:pPr>
            <w:r w:rsidRPr="00B82908">
              <w:rPr>
                <w:rFonts w:cs="Arial"/>
                <w:b/>
                <w:sz w:val="24"/>
                <w:szCs w:val="28"/>
              </w:rPr>
              <w:t>povidon</w:t>
            </w:r>
          </w:p>
        </w:tc>
        <w:tc>
          <w:tcPr>
            <w:tcW w:w="4530" w:type="dxa"/>
          </w:tcPr>
          <w:p w14:paraId="26DC28D5" w14:textId="77777777" w:rsidR="00702564" w:rsidRPr="00B82908" w:rsidRDefault="00702564" w:rsidP="00632FCC">
            <w:pPr>
              <w:rPr>
                <w:rFonts w:cs="Arial"/>
                <w:b/>
                <w:sz w:val="24"/>
                <w:szCs w:val="28"/>
              </w:rPr>
            </w:pPr>
            <w:r w:rsidRPr="00B82908">
              <w:rPr>
                <w:rFonts w:cs="Arial"/>
                <w:iCs/>
                <w:sz w:val="24"/>
                <w:szCs w:val="28"/>
              </w:rPr>
              <w:t>Oculac ögondroppar</w:t>
            </w:r>
          </w:p>
        </w:tc>
      </w:tr>
      <w:tr w:rsidR="00702564" w:rsidRPr="00B82908" w14:paraId="3EB36492" w14:textId="77777777" w:rsidTr="00632FCC">
        <w:tc>
          <w:tcPr>
            <w:tcW w:w="4532" w:type="dxa"/>
          </w:tcPr>
          <w:p w14:paraId="0378D4D7" w14:textId="77777777" w:rsidR="00702564" w:rsidRPr="00B82908" w:rsidRDefault="00702564" w:rsidP="00632FCC">
            <w:pPr>
              <w:rPr>
                <w:rFonts w:cs="Arial"/>
                <w:b/>
                <w:sz w:val="24"/>
                <w:szCs w:val="28"/>
              </w:rPr>
            </w:pPr>
            <w:r w:rsidRPr="00B82908">
              <w:rPr>
                <w:rFonts w:cs="Arial"/>
                <w:b/>
                <w:iCs/>
                <w:sz w:val="24"/>
                <w:szCs w:val="28"/>
              </w:rPr>
              <w:t>karbomer</w:t>
            </w:r>
          </w:p>
        </w:tc>
        <w:tc>
          <w:tcPr>
            <w:tcW w:w="4530" w:type="dxa"/>
          </w:tcPr>
          <w:p w14:paraId="4D89E8C3" w14:textId="77777777" w:rsidR="00702564" w:rsidRPr="00B82908" w:rsidRDefault="00702564" w:rsidP="00632FCC">
            <w:pPr>
              <w:rPr>
                <w:rFonts w:cs="Arial"/>
                <w:b/>
                <w:sz w:val="24"/>
                <w:szCs w:val="28"/>
              </w:rPr>
            </w:pPr>
            <w:r w:rsidRPr="00B82908">
              <w:rPr>
                <w:rFonts w:cs="Arial"/>
                <w:iCs/>
                <w:sz w:val="24"/>
                <w:szCs w:val="28"/>
              </w:rPr>
              <w:t xml:space="preserve">Oftagel gel  </w:t>
            </w:r>
          </w:p>
        </w:tc>
      </w:tr>
      <w:tr w:rsidR="00702564" w:rsidRPr="00B82908" w14:paraId="61EC7C76" w14:textId="77777777" w:rsidTr="00632FCC">
        <w:tc>
          <w:tcPr>
            <w:tcW w:w="4532" w:type="dxa"/>
          </w:tcPr>
          <w:p w14:paraId="032605D1" w14:textId="77777777" w:rsidR="00702564" w:rsidRPr="00B82908" w:rsidRDefault="00702564" w:rsidP="00632FCC">
            <w:pPr>
              <w:rPr>
                <w:rFonts w:cs="Arial"/>
                <w:b/>
                <w:sz w:val="24"/>
                <w:szCs w:val="28"/>
              </w:rPr>
            </w:pPr>
          </w:p>
          <w:p w14:paraId="64B9CF0E" w14:textId="77777777" w:rsidR="00702564" w:rsidRPr="00B82908" w:rsidRDefault="00702564" w:rsidP="00632FCC">
            <w:pPr>
              <w:rPr>
                <w:rFonts w:cs="Arial"/>
                <w:sz w:val="24"/>
                <w:szCs w:val="28"/>
              </w:rPr>
            </w:pPr>
            <w:r w:rsidRPr="00B82908">
              <w:rPr>
                <w:rFonts w:cs="Arial"/>
                <w:b/>
                <w:sz w:val="24"/>
                <w:szCs w:val="28"/>
              </w:rPr>
              <w:t xml:space="preserve">oculentum simplex </w:t>
            </w:r>
            <w:r w:rsidRPr="00B82908">
              <w:rPr>
                <w:rFonts w:cs="Arial"/>
                <w:sz w:val="24"/>
                <w:szCs w:val="28"/>
              </w:rPr>
              <w:t>(inert ögonsalva)</w:t>
            </w:r>
            <w:r w:rsidRPr="00B82908">
              <w:rPr>
                <w:rFonts w:cs="Arial"/>
                <w:sz w:val="24"/>
                <w:szCs w:val="28"/>
              </w:rPr>
              <w:br/>
            </w:r>
          </w:p>
        </w:tc>
        <w:tc>
          <w:tcPr>
            <w:tcW w:w="4530" w:type="dxa"/>
          </w:tcPr>
          <w:p w14:paraId="47494BC4" w14:textId="77777777" w:rsidR="00702564" w:rsidRPr="00B82908" w:rsidRDefault="00702564" w:rsidP="00632FCC">
            <w:pPr>
              <w:rPr>
                <w:rFonts w:cs="Arial"/>
                <w:b/>
                <w:sz w:val="24"/>
                <w:szCs w:val="28"/>
              </w:rPr>
            </w:pPr>
          </w:p>
        </w:tc>
      </w:tr>
    </w:tbl>
    <w:p w14:paraId="486FA80A" w14:textId="77777777" w:rsidR="00702564" w:rsidRDefault="00702564" w:rsidP="00702564">
      <w:pPr>
        <w:rPr>
          <w:sz w:val="24"/>
          <w:szCs w:val="24"/>
        </w:rPr>
      </w:pPr>
    </w:p>
    <w:p w14:paraId="25729734" w14:textId="77777777" w:rsidR="000E4073" w:rsidRDefault="000E4073" w:rsidP="000E4073">
      <w:pPr>
        <w:tabs>
          <w:tab w:val="clear" w:pos="284"/>
        </w:tabs>
        <w:spacing w:after="120" w:line="260" w:lineRule="atLeast"/>
        <w:rPr>
          <w:sz w:val="24"/>
          <w:szCs w:val="24"/>
        </w:rPr>
      </w:pPr>
    </w:p>
    <w:p w14:paraId="289CBB54" w14:textId="77777777" w:rsidR="000E4073" w:rsidRDefault="000E4073" w:rsidP="000E4073">
      <w:pPr>
        <w:tabs>
          <w:tab w:val="clear" w:pos="284"/>
        </w:tabs>
        <w:spacing w:after="120" w:line="260" w:lineRule="atLeast"/>
        <w:rPr>
          <w:sz w:val="24"/>
          <w:szCs w:val="24"/>
        </w:rPr>
      </w:pPr>
    </w:p>
    <w:p w14:paraId="534A8EF4" w14:textId="77777777" w:rsidR="000E4073" w:rsidRDefault="000E4073" w:rsidP="000E4073">
      <w:pPr>
        <w:tabs>
          <w:tab w:val="clear" w:pos="284"/>
        </w:tabs>
        <w:spacing w:after="120" w:line="260" w:lineRule="atLeast"/>
        <w:rPr>
          <w:sz w:val="24"/>
          <w:szCs w:val="24"/>
        </w:rPr>
      </w:pPr>
    </w:p>
    <w:p w14:paraId="335C69CC" w14:textId="77777777" w:rsidR="000E4073" w:rsidRDefault="000E4073" w:rsidP="000E4073">
      <w:pPr>
        <w:tabs>
          <w:tab w:val="clear" w:pos="284"/>
        </w:tabs>
        <w:spacing w:after="120" w:line="260" w:lineRule="atLeast"/>
        <w:rPr>
          <w:sz w:val="24"/>
          <w:szCs w:val="24"/>
        </w:rPr>
      </w:pPr>
    </w:p>
    <w:p w14:paraId="4EF55712" w14:textId="77777777" w:rsidR="000E4073" w:rsidRDefault="000E4073" w:rsidP="000E4073">
      <w:pPr>
        <w:tabs>
          <w:tab w:val="clear" w:pos="284"/>
        </w:tabs>
        <w:spacing w:after="120" w:line="260" w:lineRule="atLeast"/>
        <w:rPr>
          <w:sz w:val="24"/>
          <w:szCs w:val="24"/>
        </w:rPr>
      </w:pPr>
    </w:p>
    <w:p w14:paraId="353BA7C7" w14:textId="7B538A80" w:rsidR="00702564" w:rsidRPr="00B849A2" w:rsidRDefault="00702564" w:rsidP="000E4073">
      <w:pPr>
        <w:tabs>
          <w:tab w:val="clear" w:pos="284"/>
        </w:tabs>
        <w:spacing w:after="120" w:line="260" w:lineRule="atLeast"/>
        <w:rPr>
          <w:sz w:val="24"/>
          <w:szCs w:val="24"/>
        </w:rPr>
      </w:pPr>
      <w:r w:rsidRPr="00B849A2">
        <w:rPr>
          <w:sz w:val="24"/>
          <w:szCs w:val="24"/>
        </w:rPr>
        <w:lastRenderedPageBreak/>
        <w:t>Besvär med torra ögon är vanligt hos bland annat äldre personer. Tårsubstitut finns att köpa receptfritt. Skrivs på recept endast vid sjukdomsrelaterade torra ögon som keratokonjuntivitis sicca och lagoftalmus i samband med facialispares. Det finns ett flertal ofta nyare preparat än de som går att skriva på recept och dessa är minst lika effektiva.</w:t>
      </w:r>
    </w:p>
    <w:p w14:paraId="4CA05F86" w14:textId="77777777" w:rsidR="00702564" w:rsidRPr="00B849A2" w:rsidRDefault="00702564" w:rsidP="00702564">
      <w:pPr>
        <w:pStyle w:val="Liststycke"/>
        <w:numPr>
          <w:ilvl w:val="0"/>
          <w:numId w:val="28"/>
        </w:numPr>
        <w:contextualSpacing/>
        <w:rPr>
          <w:sz w:val="24"/>
          <w:szCs w:val="24"/>
        </w:rPr>
      </w:pPr>
      <w:r w:rsidRPr="00B849A2">
        <w:rPr>
          <w:sz w:val="24"/>
          <w:szCs w:val="24"/>
        </w:rPr>
        <w:t>Vid regelbunden användning rekommenderas preparat utan konserveringsmedel, engångspipetter eller Hyprosan. Preparat i flytande form ger ingen synpåverkan vid applikationen men endast kortvarig effekt.</w:t>
      </w:r>
      <w:r>
        <w:rPr>
          <w:sz w:val="24"/>
          <w:szCs w:val="24"/>
        </w:rPr>
        <w:br/>
      </w:r>
    </w:p>
    <w:p w14:paraId="3F7D768A" w14:textId="77777777" w:rsidR="00702564" w:rsidRPr="000B59A9" w:rsidRDefault="00702564" w:rsidP="00702564">
      <w:pPr>
        <w:pStyle w:val="Liststycke"/>
        <w:numPr>
          <w:ilvl w:val="0"/>
          <w:numId w:val="28"/>
        </w:numPr>
        <w:contextualSpacing/>
        <w:rPr>
          <w:sz w:val="24"/>
          <w:szCs w:val="24"/>
        </w:rPr>
      </w:pPr>
      <w:r w:rsidRPr="000B59A9">
        <w:rPr>
          <w:sz w:val="24"/>
          <w:szCs w:val="24"/>
        </w:rPr>
        <w:t>Karbomer har gelkonsistens som ger längre verkningstid men också lätt slöjig synskärpa under några minuter.</w:t>
      </w:r>
      <w:r w:rsidRPr="000B59A9">
        <w:br/>
      </w:r>
    </w:p>
    <w:p w14:paraId="4B396453" w14:textId="77777777" w:rsidR="00702564" w:rsidRPr="000B59A9" w:rsidRDefault="00702564" w:rsidP="00702564">
      <w:pPr>
        <w:pStyle w:val="Liststycke"/>
        <w:numPr>
          <w:ilvl w:val="0"/>
          <w:numId w:val="28"/>
        </w:numPr>
        <w:contextualSpacing/>
      </w:pPr>
      <w:r w:rsidRPr="000B59A9">
        <w:rPr>
          <w:sz w:val="24"/>
          <w:szCs w:val="24"/>
        </w:rPr>
        <w:t>Vid behov av smörjande, fuktande nattetid krävs tjockare salva, Oculentum simplex eller VitA-POS. Vid svår skavning kan den tas även dagtid men blir mer kladdig, ogenomskinlig. Vid stora problem med att sluta ögat (lagoftalmus) behövs fuktig kammare= urglasförband nattetid.</w:t>
      </w:r>
    </w:p>
    <w:p w14:paraId="73CA95F9" w14:textId="77777777" w:rsidR="00702564" w:rsidRPr="00080C5F" w:rsidRDefault="00702564" w:rsidP="00702564">
      <w:pPr>
        <w:pStyle w:val="Rubrik2"/>
      </w:pPr>
      <w:r w:rsidRPr="00080C5F">
        <w:t xml:space="preserve">Herpes </w:t>
      </w:r>
    </w:p>
    <w:p w14:paraId="3DE858C9" w14:textId="77777777" w:rsidR="00702564" w:rsidRDefault="00702564" w:rsidP="007025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7"/>
        <w:gridCol w:w="4103"/>
      </w:tblGrid>
      <w:tr w:rsidR="00702564" w:rsidRPr="000B59A9" w14:paraId="661CE279" w14:textId="77777777" w:rsidTr="00632FCC">
        <w:tc>
          <w:tcPr>
            <w:tcW w:w="4957" w:type="dxa"/>
          </w:tcPr>
          <w:p w14:paraId="15A2DD15" w14:textId="77777777" w:rsidR="00702564" w:rsidRPr="000B59A9" w:rsidRDefault="00702564" w:rsidP="00632FCC">
            <w:pPr>
              <w:tabs>
                <w:tab w:val="clear" w:pos="284"/>
              </w:tabs>
              <w:autoSpaceDE w:val="0"/>
              <w:autoSpaceDN w:val="0"/>
              <w:adjustRightInd w:val="0"/>
              <w:spacing w:line="240" w:lineRule="auto"/>
              <w:rPr>
                <w:rFonts w:ascii="Corbel" w:eastAsia="Gesta-Bold" w:hAnsi="Corbel" w:cs="Gesta-Bold"/>
                <w:b/>
                <w:bCs/>
                <w:sz w:val="24"/>
                <w:szCs w:val="24"/>
              </w:rPr>
            </w:pPr>
            <w:r w:rsidRPr="000B59A9">
              <w:rPr>
                <w:rFonts w:ascii="Corbel" w:eastAsia="Gesta-Bold" w:hAnsi="Corbel" w:cs="Gesta-Bold"/>
                <w:b/>
                <w:bCs/>
                <w:sz w:val="24"/>
                <w:szCs w:val="24"/>
              </w:rPr>
              <w:t>Herpes simplex</w:t>
            </w:r>
          </w:p>
        </w:tc>
        <w:tc>
          <w:tcPr>
            <w:tcW w:w="4103" w:type="dxa"/>
          </w:tcPr>
          <w:p w14:paraId="24081BBD" w14:textId="77777777" w:rsidR="00702564" w:rsidRPr="000B59A9" w:rsidRDefault="00702564" w:rsidP="00632FCC"/>
        </w:tc>
      </w:tr>
      <w:tr w:rsidR="00702564" w:rsidRPr="000B59A9" w14:paraId="76298173" w14:textId="77777777" w:rsidTr="00632FCC">
        <w:tc>
          <w:tcPr>
            <w:tcW w:w="4957" w:type="dxa"/>
          </w:tcPr>
          <w:p w14:paraId="7D291A5D" w14:textId="77777777" w:rsidR="00702564" w:rsidRPr="000B59A9" w:rsidRDefault="00702564" w:rsidP="00632FCC">
            <w:pPr>
              <w:rPr>
                <w:sz w:val="24"/>
                <w:szCs w:val="24"/>
              </w:rPr>
            </w:pPr>
            <w:r w:rsidRPr="000B59A9">
              <w:rPr>
                <w:rFonts w:eastAsia="Gesta-Bold" w:cs="Gesta-Bold"/>
                <w:b/>
                <w:bCs/>
                <w:sz w:val="24"/>
                <w:szCs w:val="24"/>
              </w:rPr>
              <w:t>aciklovir</w:t>
            </w:r>
          </w:p>
        </w:tc>
        <w:tc>
          <w:tcPr>
            <w:tcW w:w="4103" w:type="dxa"/>
          </w:tcPr>
          <w:p w14:paraId="2CE55CE5" w14:textId="77777777" w:rsidR="00702564" w:rsidRPr="000B59A9" w:rsidRDefault="00702564" w:rsidP="00632FCC">
            <w:pPr>
              <w:tabs>
                <w:tab w:val="clear" w:pos="284"/>
              </w:tabs>
              <w:autoSpaceDE w:val="0"/>
              <w:autoSpaceDN w:val="0"/>
              <w:adjustRightInd w:val="0"/>
              <w:spacing w:line="240" w:lineRule="auto"/>
              <w:rPr>
                <w:rFonts w:eastAsia="Gesta-Bold" w:cs="Gesta-Italic"/>
                <w:sz w:val="24"/>
                <w:szCs w:val="24"/>
              </w:rPr>
            </w:pPr>
            <w:r w:rsidRPr="000B59A9">
              <w:rPr>
                <w:rFonts w:eastAsia="Gesta-Bold" w:cs="Gesta-Italic"/>
                <w:sz w:val="24"/>
                <w:szCs w:val="24"/>
              </w:rPr>
              <w:t>Xorox*</w:t>
            </w:r>
          </w:p>
        </w:tc>
      </w:tr>
      <w:tr w:rsidR="00702564" w:rsidRPr="000B59A9" w14:paraId="60A75DBD" w14:textId="77777777" w:rsidTr="00632FCC">
        <w:tc>
          <w:tcPr>
            <w:tcW w:w="4957" w:type="dxa"/>
          </w:tcPr>
          <w:p w14:paraId="315804D3" w14:textId="77777777" w:rsidR="00702564" w:rsidRPr="000B59A9" w:rsidRDefault="00702564" w:rsidP="00632FCC">
            <w:pPr>
              <w:tabs>
                <w:tab w:val="clear" w:pos="284"/>
              </w:tabs>
              <w:autoSpaceDE w:val="0"/>
              <w:autoSpaceDN w:val="0"/>
              <w:adjustRightInd w:val="0"/>
              <w:spacing w:line="240" w:lineRule="auto"/>
              <w:rPr>
                <w:rFonts w:ascii="Gesta-Bold" w:eastAsia="Gesta-Bold" w:hAnsiTheme="minorHAnsi" w:cs="Gesta-Bold"/>
                <w:b/>
                <w:bCs/>
                <w:sz w:val="18"/>
                <w:szCs w:val="18"/>
              </w:rPr>
            </w:pPr>
          </w:p>
          <w:p w14:paraId="18BDE9CC" w14:textId="77777777" w:rsidR="00702564" w:rsidRPr="000B59A9" w:rsidRDefault="00702564" w:rsidP="00632FCC">
            <w:pPr>
              <w:tabs>
                <w:tab w:val="clear" w:pos="284"/>
              </w:tabs>
              <w:autoSpaceDE w:val="0"/>
              <w:autoSpaceDN w:val="0"/>
              <w:adjustRightInd w:val="0"/>
              <w:spacing w:line="240" w:lineRule="auto"/>
              <w:rPr>
                <w:rFonts w:ascii="Corbel" w:eastAsia="Gesta-Bold" w:hAnsi="Corbel" w:cs="Gesta-Bold"/>
                <w:b/>
                <w:bCs/>
                <w:sz w:val="24"/>
                <w:szCs w:val="24"/>
              </w:rPr>
            </w:pPr>
            <w:r w:rsidRPr="000B59A9">
              <w:rPr>
                <w:rFonts w:ascii="Corbel" w:eastAsia="Gesta-Bold" w:hAnsi="Corbel" w:cs="Gesta-Bold"/>
                <w:b/>
                <w:bCs/>
                <w:sz w:val="24"/>
                <w:szCs w:val="24"/>
              </w:rPr>
              <w:t>Herpes zoster oftalmikus</w:t>
            </w:r>
          </w:p>
        </w:tc>
        <w:tc>
          <w:tcPr>
            <w:tcW w:w="4103" w:type="dxa"/>
          </w:tcPr>
          <w:p w14:paraId="48BEF41A" w14:textId="77777777" w:rsidR="00702564" w:rsidRPr="000B59A9" w:rsidRDefault="00702564" w:rsidP="00632FCC"/>
        </w:tc>
      </w:tr>
      <w:tr w:rsidR="00702564" w:rsidRPr="000B59A9" w14:paraId="4C1F0505" w14:textId="77777777" w:rsidTr="00632FCC">
        <w:tc>
          <w:tcPr>
            <w:tcW w:w="4957" w:type="dxa"/>
          </w:tcPr>
          <w:p w14:paraId="0FC402C4" w14:textId="77777777" w:rsidR="00702564" w:rsidRPr="000B59A9" w:rsidRDefault="00702564" w:rsidP="00632FCC">
            <w:pPr>
              <w:rPr>
                <w:sz w:val="24"/>
                <w:szCs w:val="24"/>
              </w:rPr>
            </w:pPr>
            <w:r w:rsidRPr="000B59A9">
              <w:rPr>
                <w:rFonts w:eastAsia="Gesta-Bold" w:cs="Gesta-Bold"/>
                <w:b/>
                <w:bCs/>
                <w:sz w:val="24"/>
                <w:szCs w:val="24"/>
              </w:rPr>
              <w:t>valaciklovir</w:t>
            </w:r>
          </w:p>
        </w:tc>
        <w:tc>
          <w:tcPr>
            <w:tcW w:w="4103" w:type="dxa"/>
          </w:tcPr>
          <w:p w14:paraId="6DAACA47" w14:textId="77777777" w:rsidR="00702564" w:rsidRPr="000B59A9" w:rsidRDefault="00702564" w:rsidP="00632FCC">
            <w:pPr>
              <w:tabs>
                <w:tab w:val="clear" w:pos="284"/>
              </w:tabs>
              <w:autoSpaceDE w:val="0"/>
              <w:autoSpaceDN w:val="0"/>
              <w:adjustRightInd w:val="0"/>
              <w:spacing w:line="240" w:lineRule="auto"/>
              <w:rPr>
                <w:rFonts w:eastAsia="Gesta-Light" w:cs="Gesta-Light"/>
                <w:sz w:val="24"/>
                <w:szCs w:val="24"/>
              </w:rPr>
            </w:pPr>
            <w:r w:rsidRPr="000B59A9">
              <w:rPr>
                <w:rFonts w:eastAsia="Gesta-Bold" w:cs="Gesta-Italic"/>
                <w:sz w:val="24"/>
                <w:szCs w:val="24"/>
              </w:rPr>
              <w:t xml:space="preserve">Valaciclovir </w:t>
            </w:r>
            <w:r w:rsidRPr="000B59A9">
              <w:rPr>
                <w:rFonts w:eastAsia="Gesta-Light" w:cs="Gesta-Light"/>
                <w:sz w:val="24"/>
                <w:szCs w:val="24"/>
              </w:rPr>
              <w:t>tabl.</w:t>
            </w:r>
          </w:p>
        </w:tc>
      </w:tr>
      <w:tr w:rsidR="00702564" w:rsidRPr="000B59A9" w14:paraId="18DF7D7E" w14:textId="77777777" w:rsidTr="00632FCC">
        <w:tc>
          <w:tcPr>
            <w:tcW w:w="4957" w:type="dxa"/>
          </w:tcPr>
          <w:p w14:paraId="5D107B23" w14:textId="77777777" w:rsidR="00702564" w:rsidRPr="000B59A9" w:rsidRDefault="00702564" w:rsidP="00632FCC">
            <w:pPr>
              <w:tabs>
                <w:tab w:val="clear" w:pos="284"/>
              </w:tabs>
              <w:autoSpaceDE w:val="0"/>
              <w:autoSpaceDN w:val="0"/>
              <w:adjustRightInd w:val="0"/>
              <w:spacing w:line="240" w:lineRule="auto"/>
              <w:rPr>
                <w:rFonts w:ascii="Gesta-Bold" w:eastAsia="Gesta-Bold" w:hAnsiTheme="minorHAnsi" w:cs="Gesta-Bold"/>
                <w:b/>
                <w:bCs/>
                <w:sz w:val="18"/>
                <w:szCs w:val="18"/>
              </w:rPr>
            </w:pPr>
          </w:p>
          <w:p w14:paraId="5C50E440" w14:textId="77777777" w:rsidR="00702564" w:rsidRPr="000B59A9" w:rsidRDefault="00702564" w:rsidP="00632FCC">
            <w:pPr>
              <w:tabs>
                <w:tab w:val="clear" w:pos="284"/>
              </w:tabs>
              <w:autoSpaceDE w:val="0"/>
              <w:autoSpaceDN w:val="0"/>
              <w:adjustRightInd w:val="0"/>
              <w:spacing w:line="240" w:lineRule="auto"/>
              <w:rPr>
                <w:rFonts w:ascii="Corbel" w:eastAsia="Gesta-Bold" w:hAnsi="Corbel" w:cs="Gesta-Bold"/>
                <w:b/>
                <w:bCs/>
                <w:sz w:val="24"/>
                <w:szCs w:val="24"/>
              </w:rPr>
            </w:pPr>
            <w:r w:rsidRPr="000B59A9">
              <w:rPr>
                <w:rFonts w:ascii="Corbel" w:eastAsia="Gesta-Bold" w:hAnsi="Corbel" w:cs="Gesta-Bold"/>
                <w:b/>
                <w:bCs/>
                <w:sz w:val="24"/>
                <w:szCs w:val="24"/>
              </w:rPr>
              <w:t>Vid sekundärinfektion</w:t>
            </w:r>
          </w:p>
        </w:tc>
        <w:tc>
          <w:tcPr>
            <w:tcW w:w="4103" w:type="dxa"/>
          </w:tcPr>
          <w:p w14:paraId="265152BA" w14:textId="77777777" w:rsidR="00702564" w:rsidRPr="000B59A9" w:rsidRDefault="00702564" w:rsidP="00632FCC"/>
        </w:tc>
      </w:tr>
      <w:tr w:rsidR="00702564" w:rsidRPr="000B59A9" w14:paraId="283314A2" w14:textId="77777777" w:rsidTr="00632FCC">
        <w:tc>
          <w:tcPr>
            <w:tcW w:w="4957" w:type="dxa"/>
          </w:tcPr>
          <w:p w14:paraId="50DE0F08" w14:textId="77777777" w:rsidR="00702564" w:rsidRPr="000B59A9" w:rsidRDefault="00702564" w:rsidP="00632FCC">
            <w:pPr>
              <w:rPr>
                <w:sz w:val="24"/>
                <w:szCs w:val="24"/>
              </w:rPr>
            </w:pPr>
            <w:r w:rsidRPr="000B59A9">
              <w:rPr>
                <w:rFonts w:eastAsia="Gesta-Bold" w:cs="Gesta-Bold"/>
                <w:b/>
                <w:bCs/>
                <w:sz w:val="24"/>
                <w:szCs w:val="24"/>
              </w:rPr>
              <w:t>kloramfenikol</w:t>
            </w:r>
          </w:p>
        </w:tc>
        <w:tc>
          <w:tcPr>
            <w:tcW w:w="4103" w:type="dxa"/>
          </w:tcPr>
          <w:p w14:paraId="71F391F3" w14:textId="77777777" w:rsidR="00702564" w:rsidRPr="000B59A9" w:rsidRDefault="00702564" w:rsidP="00632FCC">
            <w:pPr>
              <w:rPr>
                <w:sz w:val="24"/>
                <w:szCs w:val="24"/>
              </w:rPr>
            </w:pPr>
            <w:r w:rsidRPr="000B59A9">
              <w:rPr>
                <w:rFonts w:eastAsia="Gesta-Bold" w:cs="Gesta-Italic"/>
                <w:sz w:val="24"/>
                <w:szCs w:val="24"/>
              </w:rPr>
              <w:t>Kloramfenikol</w:t>
            </w:r>
          </w:p>
        </w:tc>
      </w:tr>
      <w:tr w:rsidR="00702564" w:rsidRPr="00B82908" w14:paraId="18D84B31" w14:textId="77777777" w:rsidTr="00632FCC">
        <w:tc>
          <w:tcPr>
            <w:tcW w:w="4957" w:type="dxa"/>
          </w:tcPr>
          <w:p w14:paraId="4AAB6058" w14:textId="77777777" w:rsidR="00702564" w:rsidRPr="000B59A9" w:rsidRDefault="00702564" w:rsidP="00632FCC">
            <w:pPr>
              <w:rPr>
                <w:sz w:val="24"/>
                <w:szCs w:val="24"/>
              </w:rPr>
            </w:pPr>
            <w:r w:rsidRPr="000B59A9">
              <w:rPr>
                <w:rFonts w:eastAsia="Gesta-Bold" w:cs="Gesta-Bold"/>
                <w:b/>
                <w:bCs/>
                <w:sz w:val="24"/>
                <w:szCs w:val="24"/>
              </w:rPr>
              <w:t>fusidinsyra</w:t>
            </w:r>
          </w:p>
        </w:tc>
        <w:tc>
          <w:tcPr>
            <w:tcW w:w="4103" w:type="dxa"/>
          </w:tcPr>
          <w:p w14:paraId="2B9BF37A" w14:textId="77777777" w:rsidR="00702564" w:rsidRPr="00B82908" w:rsidRDefault="00702564" w:rsidP="00632FCC">
            <w:pPr>
              <w:rPr>
                <w:sz w:val="24"/>
                <w:szCs w:val="24"/>
              </w:rPr>
            </w:pPr>
            <w:r w:rsidRPr="000B59A9">
              <w:rPr>
                <w:rFonts w:eastAsia="Gesta-Bold" w:cs="Gesta-Italic"/>
                <w:sz w:val="24"/>
                <w:szCs w:val="24"/>
              </w:rPr>
              <w:t>Fucithalmic</w:t>
            </w:r>
          </w:p>
        </w:tc>
      </w:tr>
    </w:tbl>
    <w:p w14:paraId="3CC94F4C" w14:textId="77777777" w:rsidR="00702564" w:rsidRDefault="00702564" w:rsidP="00702564">
      <w:r>
        <w:t>* Läkemedlet ingår inte i Läkemedelsförsäkringen.</w:t>
      </w:r>
    </w:p>
    <w:p w14:paraId="11F3EECE" w14:textId="77777777" w:rsidR="00702564" w:rsidRPr="00080C5F" w:rsidRDefault="00702564" w:rsidP="00702564">
      <w:pPr>
        <w:pStyle w:val="Rubrik3"/>
      </w:pPr>
      <w:r w:rsidRPr="00080C5F">
        <w:t>Herpes simplex</w:t>
      </w:r>
    </w:p>
    <w:p w14:paraId="561D004B" w14:textId="77777777" w:rsidR="00702564" w:rsidRPr="000B59A9" w:rsidRDefault="00702564" w:rsidP="00702564">
      <w:pPr>
        <w:rPr>
          <w:rStyle w:val="Hyperlnk"/>
          <w:color w:val="0070C0"/>
          <w:sz w:val="24"/>
          <w:szCs w:val="24"/>
        </w:rPr>
      </w:pPr>
      <w:r w:rsidRPr="00B849A2">
        <w:rPr>
          <w:sz w:val="24"/>
          <w:szCs w:val="24"/>
        </w:rPr>
        <w:t xml:space="preserve">Då FASS-text saknas för Xorox hänvisas för mer information till den bipacksedel och produktresumé som finns på Läkemedelsverkets hemsida </w:t>
      </w:r>
      <w:hyperlink r:id="rId208" w:history="1">
        <w:r w:rsidRPr="000B59A9">
          <w:rPr>
            <w:rStyle w:val="Hyperlnk"/>
            <w:color w:val="0070C0"/>
            <w:sz w:val="24"/>
            <w:szCs w:val="24"/>
          </w:rPr>
          <w:t>Xorox 30 mg/g ögonsalva (lakemedelsverket.se)</w:t>
        </w:r>
      </w:hyperlink>
    </w:p>
    <w:p w14:paraId="31A12493" w14:textId="77777777" w:rsidR="00702564" w:rsidRDefault="00702564" w:rsidP="00702564">
      <w:pPr>
        <w:rPr>
          <w:sz w:val="24"/>
          <w:szCs w:val="24"/>
        </w:rPr>
      </w:pPr>
      <w:r w:rsidRPr="00B849A2">
        <w:rPr>
          <w:sz w:val="24"/>
          <w:szCs w:val="24"/>
        </w:rPr>
        <w:t>Doseringen: Om inte annat ordinerats ska 1 cm salva placeras på insidan av det nedre ögonlocket fem gånger om dagen (med cirka 4 timmars mellanrum). Behandlingen ska fortsätta i minst 3 dagar efter att läkning är klar.</w:t>
      </w:r>
      <w:r>
        <w:rPr>
          <w:sz w:val="24"/>
          <w:szCs w:val="24"/>
        </w:rPr>
        <w:t xml:space="preserve"> </w:t>
      </w:r>
      <w:r w:rsidRPr="00B849A2">
        <w:rPr>
          <w:sz w:val="24"/>
          <w:szCs w:val="24"/>
        </w:rPr>
        <w:t>Xorox omfattas inte av läkemedelsförsäkringen. Det innebär en risk att man som patient inte får ersättning vid en skada orsakad av läkemedlet.</w:t>
      </w:r>
    </w:p>
    <w:p w14:paraId="0E04E164" w14:textId="77777777" w:rsidR="00702564" w:rsidRDefault="00702564" w:rsidP="00702564">
      <w:pPr>
        <w:tabs>
          <w:tab w:val="clear" w:pos="284"/>
        </w:tabs>
        <w:spacing w:after="120" w:line="260" w:lineRule="atLeast"/>
        <w:rPr>
          <w:sz w:val="24"/>
          <w:szCs w:val="24"/>
        </w:rPr>
      </w:pPr>
      <w:r>
        <w:rPr>
          <w:sz w:val="24"/>
          <w:szCs w:val="24"/>
        </w:rPr>
        <w:br w:type="page"/>
      </w:r>
    </w:p>
    <w:p w14:paraId="09264388" w14:textId="7778F41D" w:rsidR="00702564" w:rsidRPr="005E17B1" w:rsidRDefault="00702564" w:rsidP="007B6699">
      <w:pPr>
        <w:pStyle w:val="Rubrik1"/>
      </w:pPr>
      <w:r w:rsidRPr="00133662">
        <w:lastRenderedPageBreak/>
        <w:t>Öron</w:t>
      </w:r>
      <w:r>
        <w:t xml:space="preserve"> </w:t>
      </w:r>
    </w:p>
    <w:p w14:paraId="1BF97015" w14:textId="77777777" w:rsidR="00702564" w:rsidRPr="0068399E" w:rsidRDefault="00702564" w:rsidP="00702564">
      <w:pPr>
        <w:pStyle w:val="Brdtext"/>
        <w:ind w:left="0"/>
        <w:rPr>
          <w:rFonts w:asciiTheme="majorHAnsi" w:hAnsiTheme="majorHAnsi"/>
          <w:lang w:val="sv-SE"/>
        </w:rPr>
      </w:pPr>
      <w:r w:rsidRPr="00E92007">
        <w:rPr>
          <w:rStyle w:val="Rubrik3Char"/>
          <w:rFonts w:eastAsia="Garamond"/>
        </w:rPr>
        <w:t xml:space="preserve">Senast uppdaterad </w:t>
      </w:r>
      <w:r>
        <w:rPr>
          <w:rStyle w:val="Rubrik3Char"/>
          <w:rFonts w:eastAsia="Garamond"/>
        </w:rPr>
        <w:t>2026-03-24</w:t>
      </w:r>
    </w:p>
    <w:p w14:paraId="4B4D8788" w14:textId="77777777" w:rsidR="00702564" w:rsidRPr="00116604" w:rsidRDefault="00702564" w:rsidP="00702564">
      <w:pPr>
        <w:pStyle w:val="Rubrik2"/>
      </w:pPr>
      <w:r w:rsidRPr="0068399E">
        <w:t>Terapigruppsmedlem</w:t>
      </w:r>
    </w:p>
    <w:p w14:paraId="78554531" w14:textId="77777777" w:rsidR="00702564" w:rsidRDefault="00702564" w:rsidP="00702564">
      <w:r>
        <w:rPr>
          <w:rFonts w:cs="Arial"/>
          <w:sz w:val="24"/>
          <w:szCs w:val="24"/>
        </w:rPr>
        <w:t>Ola Trobbe, överläkare, ÖNH-kliniken</w:t>
      </w:r>
    </w:p>
    <w:p w14:paraId="7A4C725E" w14:textId="77777777" w:rsidR="00702564" w:rsidRPr="00116604" w:rsidRDefault="00702564" w:rsidP="00702564">
      <w:pPr>
        <w:pStyle w:val="Rubrik2"/>
      </w:pPr>
      <w:r w:rsidRPr="00116604">
        <w:t>Extern otit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702564" w:rsidRPr="00B82908" w14:paraId="1FCD19D7" w14:textId="77777777" w:rsidTr="00632FCC">
        <w:tc>
          <w:tcPr>
            <w:tcW w:w="4536" w:type="dxa"/>
          </w:tcPr>
          <w:p w14:paraId="61CC6CDE" w14:textId="77777777" w:rsidR="00702564" w:rsidRPr="00B82908" w:rsidRDefault="00702564" w:rsidP="00632FCC">
            <w:pPr>
              <w:rPr>
                <w:sz w:val="24"/>
                <w:szCs w:val="24"/>
              </w:rPr>
            </w:pPr>
            <w:r w:rsidRPr="00B82908">
              <w:rPr>
                <w:b/>
                <w:bCs/>
                <w:sz w:val="24"/>
                <w:szCs w:val="24"/>
              </w:rPr>
              <w:t>1 hydrokortison +antiinfektiva</w:t>
            </w:r>
          </w:p>
        </w:tc>
        <w:tc>
          <w:tcPr>
            <w:tcW w:w="4536" w:type="dxa"/>
          </w:tcPr>
          <w:p w14:paraId="7A797010" w14:textId="77777777" w:rsidR="00702564" w:rsidRPr="00B82908" w:rsidRDefault="00702564" w:rsidP="00632FCC">
            <w:pPr>
              <w:rPr>
                <w:sz w:val="24"/>
                <w:szCs w:val="24"/>
              </w:rPr>
            </w:pPr>
            <w:r w:rsidRPr="00B82908">
              <w:rPr>
                <w:sz w:val="24"/>
                <w:szCs w:val="24"/>
              </w:rPr>
              <w:t>Terracortril med Polymyxin B</w:t>
            </w:r>
          </w:p>
        </w:tc>
      </w:tr>
      <w:tr w:rsidR="00702564" w:rsidRPr="00B82908" w14:paraId="086E97CE" w14:textId="77777777" w:rsidTr="00632FCC">
        <w:tc>
          <w:tcPr>
            <w:tcW w:w="4536" w:type="dxa"/>
          </w:tcPr>
          <w:p w14:paraId="1A6502AF" w14:textId="77777777" w:rsidR="00702564" w:rsidRPr="00B82908" w:rsidRDefault="00702564" w:rsidP="00632FCC">
            <w:pPr>
              <w:rPr>
                <w:sz w:val="24"/>
                <w:szCs w:val="24"/>
              </w:rPr>
            </w:pPr>
            <w:r w:rsidRPr="00B82908">
              <w:rPr>
                <w:b/>
                <w:bCs/>
                <w:sz w:val="24"/>
                <w:szCs w:val="24"/>
              </w:rPr>
              <w:t>2 hydrocortisonbutyrat</w:t>
            </w:r>
          </w:p>
        </w:tc>
        <w:tc>
          <w:tcPr>
            <w:tcW w:w="4536" w:type="dxa"/>
          </w:tcPr>
          <w:p w14:paraId="3024A22E" w14:textId="77777777" w:rsidR="00702564" w:rsidRPr="00B82908" w:rsidRDefault="00702564" w:rsidP="00632FCC">
            <w:pPr>
              <w:rPr>
                <w:sz w:val="24"/>
                <w:szCs w:val="24"/>
              </w:rPr>
            </w:pPr>
            <w:r w:rsidRPr="00B82908">
              <w:rPr>
                <w:sz w:val="24"/>
                <w:szCs w:val="24"/>
              </w:rPr>
              <w:t>Locoid kutan lösning</w:t>
            </w:r>
          </w:p>
        </w:tc>
      </w:tr>
      <w:tr w:rsidR="00702564" w:rsidRPr="00B82908" w14:paraId="1EC03C54" w14:textId="77777777" w:rsidTr="00632FCC">
        <w:tc>
          <w:tcPr>
            <w:tcW w:w="4536" w:type="dxa"/>
          </w:tcPr>
          <w:p w14:paraId="15C26C31" w14:textId="77777777" w:rsidR="00702564" w:rsidRPr="00B82908" w:rsidRDefault="00702564" w:rsidP="00632FCC">
            <w:pPr>
              <w:rPr>
                <w:sz w:val="24"/>
                <w:szCs w:val="24"/>
              </w:rPr>
            </w:pPr>
            <w:r w:rsidRPr="00B82908">
              <w:rPr>
                <w:b/>
                <w:bCs/>
                <w:sz w:val="24"/>
                <w:szCs w:val="24"/>
              </w:rPr>
              <w:t>3 betametason</w:t>
            </w:r>
          </w:p>
        </w:tc>
        <w:tc>
          <w:tcPr>
            <w:tcW w:w="4536" w:type="dxa"/>
          </w:tcPr>
          <w:p w14:paraId="5EBD49AC" w14:textId="77777777" w:rsidR="00702564" w:rsidRPr="00B82908" w:rsidRDefault="00702564" w:rsidP="00632FCC">
            <w:pPr>
              <w:rPr>
                <w:sz w:val="24"/>
                <w:szCs w:val="24"/>
              </w:rPr>
            </w:pPr>
            <w:r w:rsidRPr="00B82908">
              <w:rPr>
                <w:sz w:val="24"/>
                <w:szCs w:val="24"/>
              </w:rPr>
              <w:t>Diprotit</w:t>
            </w:r>
          </w:p>
        </w:tc>
      </w:tr>
    </w:tbl>
    <w:p w14:paraId="4FD72B1F" w14:textId="77777777" w:rsidR="00702564" w:rsidRPr="00116604" w:rsidRDefault="00702564" w:rsidP="00702564">
      <w:pPr>
        <w:pStyle w:val="Rubrik2"/>
      </w:pPr>
      <w:r w:rsidRPr="00116604">
        <w:t xml:space="preserve">Förstahandspreparat </w:t>
      </w:r>
    </w:p>
    <w:p w14:paraId="0C9E1E7B" w14:textId="77777777" w:rsidR="00702564" w:rsidRPr="00116604" w:rsidRDefault="00702564" w:rsidP="00702564">
      <w:pPr>
        <w:rPr>
          <w:rFonts w:asciiTheme="minorHAnsi" w:hAnsiTheme="minorHAnsi"/>
          <w:sz w:val="24"/>
          <w:szCs w:val="24"/>
        </w:rPr>
      </w:pPr>
      <w:r w:rsidRPr="00116604">
        <w:rPr>
          <w:rFonts w:asciiTheme="minorHAnsi" w:hAnsiTheme="minorHAnsi"/>
          <w:sz w:val="24"/>
          <w:szCs w:val="24"/>
        </w:rPr>
        <w:t>Grupp I-steroid + oxytetracyklin och polymyxin B, Terracortril med polymyxin B.</w:t>
      </w:r>
    </w:p>
    <w:p w14:paraId="18F972BE" w14:textId="77777777" w:rsidR="00702564" w:rsidRPr="0071138D" w:rsidRDefault="00702564" w:rsidP="00702564">
      <w:r w:rsidRPr="00116604">
        <w:rPr>
          <w:rFonts w:asciiTheme="minorHAnsi" w:hAnsiTheme="minorHAnsi"/>
          <w:sz w:val="24"/>
          <w:szCs w:val="24"/>
        </w:rPr>
        <w:t>Används av alla otologer sedan 60-talet. Polymyxin B har även viss effekt vid pseudomonasinfektioner. Terracortril med Polymyxin B har ingen ototoxisk effekt och kan användas vid förekomst av trumhinneperforation och är förstahandspreparat vid plaströrsflytning (plaströrsotit).</w:t>
      </w:r>
    </w:p>
    <w:p w14:paraId="34B3B31F" w14:textId="77777777" w:rsidR="00702564" w:rsidRPr="00116604" w:rsidRDefault="00702564" w:rsidP="00702564">
      <w:pPr>
        <w:pStyle w:val="Rubrik2"/>
      </w:pPr>
      <w:r w:rsidRPr="00116604">
        <w:t xml:space="preserve">Andrahandspreparat </w:t>
      </w:r>
    </w:p>
    <w:p w14:paraId="2384399C" w14:textId="29E3CD82" w:rsidR="00702564" w:rsidRPr="00116604" w:rsidRDefault="00702564" w:rsidP="00702564">
      <w:pPr>
        <w:rPr>
          <w:sz w:val="24"/>
          <w:szCs w:val="24"/>
        </w:rPr>
      </w:pPr>
      <w:r w:rsidRPr="00116604">
        <w:rPr>
          <w:sz w:val="24"/>
          <w:szCs w:val="24"/>
        </w:rPr>
        <w:t>Grupp II-steroid utan antibiotika som i Locoid kutan lösning 1 % ges 3–5 droppar i hörselgången 3 gånger dagligen i några dagar sedan minskas dosen till 2–3 droppar 1 gång dagligen. Behandlingen bör avslutas efter cirka 10 dagar. I ett skandinaviskt arbete anges att Locoid är effektivare än Terracortril med Polymyxin B och Locoid kutan lösning används av öronläkare med god effekt.</w:t>
      </w:r>
    </w:p>
    <w:p w14:paraId="5C83EC06" w14:textId="234FC992" w:rsidR="00702564" w:rsidRPr="00116604" w:rsidRDefault="00702564" w:rsidP="00702564">
      <w:pPr>
        <w:rPr>
          <w:sz w:val="24"/>
          <w:szCs w:val="24"/>
        </w:rPr>
      </w:pPr>
      <w:r w:rsidRPr="00116604">
        <w:rPr>
          <w:sz w:val="24"/>
          <w:szCs w:val="24"/>
        </w:rPr>
        <w:t xml:space="preserve">Grupp III-steroid utan antibiotika eller fungicid, Diproderm. </w:t>
      </w:r>
      <w:r w:rsidRPr="00116604">
        <w:rPr>
          <w:sz w:val="24"/>
          <w:szCs w:val="24"/>
          <w:lang w:val="en-US"/>
        </w:rPr>
        <w:t xml:space="preserve">Trots detta har forskning visat (Emgård Per, External otitis and its treatment: Is a group III steroid without antibiotics sufficient therapy? – Experimental and clinical studies. </w:t>
      </w:r>
      <w:r w:rsidRPr="00116604">
        <w:rPr>
          <w:sz w:val="24"/>
          <w:szCs w:val="24"/>
        </w:rPr>
        <w:t xml:space="preserve">Doctoral thesis, Umeå 051011) att en extern otit kan behandlas effektivt med grupp III-steroid både vid bakteriell och/eller svampinflammation. Detta gäller för en hörselgångsinflammation med i övrigt normal trumhinnestatus. </w:t>
      </w:r>
    </w:p>
    <w:p w14:paraId="265185F5" w14:textId="7639FE75" w:rsidR="007B6699" w:rsidRPr="00116604" w:rsidRDefault="00702564" w:rsidP="00702564">
      <w:pPr>
        <w:rPr>
          <w:sz w:val="24"/>
          <w:szCs w:val="24"/>
        </w:rPr>
      </w:pPr>
      <w:r w:rsidRPr="00116604">
        <w:rPr>
          <w:sz w:val="24"/>
          <w:szCs w:val="24"/>
        </w:rPr>
        <w:t>Grupp II och III-steroid är kontraindicerad vid trumhinneperforation och skall inte användas till behandling av plaströrsflytning. En nackdel är att dropparna svider vilket minskar compliance både hos vuxna och speciellt hos barn.</w:t>
      </w:r>
    </w:p>
    <w:p w14:paraId="1867C5F4" w14:textId="77777777" w:rsidR="00702564" w:rsidRPr="00116604" w:rsidRDefault="00702564" w:rsidP="00702564">
      <w:pPr>
        <w:pStyle w:val="Rubrik2"/>
      </w:pPr>
      <w:r w:rsidRPr="00116604">
        <w:t>Plaströrsflytning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702564" w14:paraId="5FBAAEEF" w14:textId="77777777" w:rsidTr="00632FCC">
        <w:tc>
          <w:tcPr>
            <w:tcW w:w="4536" w:type="dxa"/>
          </w:tcPr>
          <w:p w14:paraId="6021E5E6" w14:textId="77777777" w:rsidR="00702564" w:rsidRPr="00B80F99" w:rsidRDefault="00702564" w:rsidP="00632FCC">
            <w:pPr>
              <w:rPr>
                <w:sz w:val="24"/>
                <w:szCs w:val="24"/>
              </w:rPr>
            </w:pPr>
            <w:r w:rsidRPr="00B80F99">
              <w:rPr>
                <w:b/>
                <w:bCs/>
                <w:sz w:val="24"/>
                <w:szCs w:val="24"/>
              </w:rPr>
              <w:t>Hydrokortison +antiinfektiva</w:t>
            </w:r>
          </w:p>
        </w:tc>
        <w:tc>
          <w:tcPr>
            <w:tcW w:w="4536" w:type="dxa"/>
          </w:tcPr>
          <w:p w14:paraId="0F7D949B" w14:textId="77777777" w:rsidR="00702564" w:rsidRPr="00B80F99" w:rsidRDefault="00702564" w:rsidP="00632FCC">
            <w:pPr>
              <w:rPr>
                <w:sz w:val="24"/>
                <w:szCs w:val="24"/>
              </w:rPr>
            </w:pPr>
            <w:r w:rsidRPr="00B80F99">
              <w:rPr>
                <w:sz w:val="24"/>
                <w:szCs w:val="24"/>
              </w:rPr>
              <w:t>Terracortril med Polymyxin B</w:t>
            </w:r>
            <w:r w:rsidRPr="00B80F99">
              <w:rPr>
                <w:sz w:val="24"/>
                <w:szCs w:val="24"/>
              </w:rPr>
              <w:br/>
            </w:r>
          </w:p>
        </w:tc>
      </w:tr>
    </w:tbl>
    <w:p w14:paraId="17D6029C" w14:textId="77777777" w:rsidR="00702564" w:rsidRPr="0071138D" w:rsidRDefault="00702564" w:rsidP="00702564"/>
    <w:p w14:paraId="082ED0D9" w14:textId="77777777" w:rsidR="00702564" w:rsidRPr="00116604" w:rsidRDefault="00702564" w:rsidP="00702564">
      <w:pPr>
        <w:rPr>
          <w:sz w:val="24"/>
          <w:szCs w:val="24"/>
        </w:rPr>
      </w:pPr>
      <w:r w:rsidRPr="00116604">
        <w:rPr>
          <w:sz w:val="24"/>
          <w:szCs w:val="24"/>
        </w:rPr>
        <w:t>Vid plaströrsotit kan som andrahandspreparat användas: 3 % ciprofloxacinlösning, Ciloxan örondroppar (2:</w:t>
      </w:r>
      <w:r>
        <w:rPr>
          <w:sz w:val="24"/>
          <w:szCs w:val="24"/>
        </w:rPr>
        <w:t xml:space="preserve"> </w:t>
      </w:r>
      <w:r w:rsidRPr="00116604">
        <w:rPr>
          <w:sz w:val="24"/>
          <w:szCs w:val="24"/>
        </w:rPr>
        <w:t>a handspreparat i Skånelistan).</w:t>
      </w:r>
    </w:p>
    <w:p w14:paraId="62602105" w14:textId="77777777" w:rsidR="00702564" w:rsidRDefault="00702564" w:rsidP="00702564">
      <w:pPr>
        <w:tabs>
          <w:tab w:val="clear" w:pos="284"/>
        </w:tabs>
        <w:spacing w:after="120" w:line="260" w:lineRule="atLeast"/>
      </w:pPr>
    </w:p>
    <w:bookmarkEnd w:id="91"/>
    <w:p w14:paraId="4B219FFE" w14:textId="77777777" w:rsidR="00702564" w:rsidRDefault="00702564" w:rsidP="00702564">
      <w:pPr>
        <w:tabs>
          <w:tab w:val="clear" w:pos="284"/>
        </w:tabs>
        <w:spacing w:after="120" w:line="260" w:lineRule="atLeast"/>
      </w:pPr>
    </w:p>
    <w:sectPr w:rsidR="00702564" w:rsidSect="00702564">
      <w:headerReference w:type="default" r:id="rId209"/>
      <w:footerReference w:type="default" r:id="rId210"/>
      <w:headerReference w:type="first" r:id="rId211"/>
      <w:footerReference w:type="first" r:id="rId212"/>
      <w:pgSz w:w="11906" w:h="16838" w:code="9"/>
      <w:pgMar w:top="1701" w:right="680" w:bottom="1560" w:left="1985" w:header="709" w:footer="13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05414" w14:textId="77777777" w:rsidR="007D0143" w:rsidRDefault="007D0143">
      <w:r>
        <w:separator/>
      </w:r>
    </w:p>
    <w:p w14:paraId="79466139" w14:textId="77777777" w:rsidR="007D0143" w:rsidRDefault="007D0143"/>
  </w:endnote>
  <w:endnote w:type="continuationSeparator" w:id="0">
    <w:p w14:paraId="30165623" w14:textId="77777777" w:rsidR="007D0143" w:rsidRDefault="007D0143">
      <w:r>
        <w:continuationSeparator/>
      </w:r>
    </w:p>
    <w:p w14:paraId="63F34026" w14:textId="77777777" w:rsidR="007D0143" w:rsidRDefault="007D0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DokChampa">
    <w:charset w:val="DE"/>
    <w:family w:val="swiss"/>
    <w:pitch w:val="variable"/>
    <w:sig w:usb0="83000003" w:usb1="00000000" w:usb2="00000000" w:usb3="00000000" w:csb0="0001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sta L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GaramondBerthBQ-Regular">
    <w:altName w:val="Calibri"/>
    <w:panose1 w:val="00000000000000000000"/>
    <w:charset w:val="00"/>
    <w:family w:val="auto"/>
    <w:notTrueType/>
    <w:pitch w:val="default"/>
    <w:sig w:usb0="00000003" w:usb1="00000000" w:usb2="00000000" w:usb3="00000000" w:csb0="00000001" w:csb1="00000000"/>
  </w:font>
  <w:font w:name="NewsGothic-Bold">
    <w:altName w:val="MS Gothic"/>
    <w:panose1 w:val="00000000000000000000"/>
    <w:charset w:val="80"/>
    <w:family w:val="swiss"/>
    <w:notTrueType/>
    <w:pitch w:val="default"/>
    <w:sig w:usb0="00000001" w:usb1="08070000" w:usb2="00000010" w:usb3="00000000" w:csb0="00020000" w:csb1="00000000"/>
  </w:font>
  <w:font w:name="TimesNewRoman">
    <w:panose1 w:val="00000000000000000000"/>
    <w:charset w:val="00"/>
    <w:family w:val="auto"/>
    <w:notTrueType/>
    <w:pitch w:val="default"/>
    <w:sig w:usb0="00000003" w:usb1="00000000" w:usb2="00000000" w:usb3="00000000" w:csb0="00000001" w:csb1="00000000"/>
  </w:font>
  <w:font w:name="TimesNewRomanPSMT">
    <w:altName w:val="Yu Gothic"/>
    <w:panose1 w:val="00000000000000000000"/>
    <w:charset w:val="00"/>
    <w:family w:val="roman"/>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Gesta-Bold">
    <w:altName w:val="Yu Gothic"/>
    <w:panose1 w:val="00000000000000000000"/>
    <w:charset w:val="80"/>
    <w:family w:val="swiss"/>
    <w:notTrueType/>
    <w:pitch w:val="default"/>
    <w:sig w:usb0="00000001" w:usb1="08070000" w:usb2="00000010" w:usb3="00000000" w:csb0="00020000" w:csb1="00000000"/>
  </w:font>
  <w:font w:name="Gesta-Italic">
    <w:altName w:val="Calibri"/>
    <w:panose1 w:val="00000000000000000000"/>
    <w:charset w:val="00"/>
    <w:family w:val="swiss"/>
    <w:notTrueType/>
    <w:pitch w:val="default"/>
    <w:sig w:usb0="00000003" w:usb1="00000000" w:usb2="00000000" w:usb3="00000000" w:csb0="00000001" w:csb1="00000000"/>
  </w:font>
  <w:font w:name="Gesta-Light">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48327"/>
      <w:docPartObj>
        <w:docPartGallery w:val="Page Numbers (Bottom of Page)"/>
        <w:docPartUnique/>
      </w:docPartObj>
    </w:sdtPr>
    <w:sdtContent>
      <w:p w14:paraId="10E49757" w14:textId="77777777" w:rsidR="00EC79BD" w:rsidRDefault="00EC79BD">
        <w:pPr>
          <w:pStyle w:val="Sidfot"/>
          <w:jc w:val="right"/>
        </w:pPr>
        <w:r>
          <w:fldChar w:fldCharType="begin"/>
        </w:r>
        <w:r>
          <w:instrText>PAGE   \* MERGEFORMAT</w:instrText>
        </w:r>
        <w:r>
          <w:fldChar w:fldCharType="separate"/>
        </w:r>
        <w:r>
          <w:t>2</w:t>
        </w:r>
        <w:r>
          <w:fldChar w:fldCharType="end"/>
        </w:r>
      </w:p>
    </w:sdtContent>
  </w:sdt>
  <w:p w14:paraId="2C8EA160" w14:textId="77777777" w:rsidR="00EC79BD" w:rsidRPr="005E2F84" w:rsidRDefault="00EC79BD" w:rsidP="005E2F84">
    <w:pPr>
      <w:pStyle w:val="Sidfo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CB378" w14:textId="77777777" w:rsidR="00EC79BD" w:rsidRPr="00C71C5F" w:rsidRDefault="00EC79BD" w:rsidP="00BA05F1">
    <w:pPr>
      <w:pStyle w:val="Sidfot"/>
      <w:spacing w:line="240" w:lineRule="auto"/>
      <w:rPr>
        <w:sz w:val="2"/>
        <w:szCs w:val="2"/>
      </w:rPr>
    </w:pPr>
    <w:r>
      <w:rPr>
        <w:sz w:val="2"/>
        <w:szCs w:val="2"/>
      </w:rPr>
      <w:t>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9E87" w14:textId="77777777" w:rsidR="00702564" w:rsidRDefault="0070256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392784"/>
      <w:docPartObj>
        <w:docPartGallery w:val="Page Numbers (Bottom of Page)"/>
        <w:docPartUnique/>
      </w:docPartObj>
    </w:sdtPr>
    <w:sdtContent>
      <w:p w14:paraId="7A91BB4E" w14:textId="77777777" w:rsidR="00702564" w:rsidRDefault="00702564">
        <w:pPr>
          <w:pStyle w:val="Sidfot"/>
          <w:jc w:val="right"/>
        </w:pPr>
        <w:r>
          <w:fldChar w:fldCharType="begin"/>
        </w:r>
        <w:r>
          <w:instrText>PAGE   \* MERGEFORMAT</w:instrText>
        </w:r>
        <w:r>
          <w:fldChar w:fldCharType="separate"/>
        </w:r>
        <w:r>
          <w:t>2</w:t>
        </w:r>
        <w:r>
          <w:fldChar w:fldCharType="end"/>
        </w:r>
      </w:p>
    </w:sdtContent>
  </w:sdt>
  <w:p w14:paraId="43CB90DA" w14:textId="77777777" w:rsidR="00702564" w:rsidRDefault="0070256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F3FFB" w14:textId="77777777" w:rsidR="00702564" w:rsidRDefault="0070256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Sidfot"/>
    </w:tblPr>
    <w:tblGrid>
      <w:gridCol w:w="8088"/>
      <w:gridCol w:w="1153"/>
    </w:tblGrid>
    <w:tr w:rsidR="005E2F84" w:rsidRPr="00213C44" w14:paraId="3A0FAEA4" w14:textId="77777777" w:rsidTr="00CE1A69">
      <w:trPr>
        <w:tblHeader/>
      </w:trPr>
      <w:tc>
        <w:tcPr>
          <w:tcW w:w="6946" w:type="dxa"/>
          <w:vAlign w:val="bottom"/>
        </w:tcPr>
        <w:p w14:paraId="286CD93E" w14:textId="77777777" w:rsidR="005E2F84" w:rsidRPr="00213C44" w:rsidRDefault="005E2F84" w:rsidP="005229A3">
          <w:pPr>
            <w:pStyle w:val="Sidfot"/>
          </w:pPr>
        </w:p>
      </w:tc>
      <w:tc>
        <w:tcPr>
          <w:tcW w:w="990" w:type="dxa"/>
          <w:tcMar>
            <w:left w:w="284" w:type="dxa"/>
            <w:right w:w="0" w:type="dxa"/>
          </w:tcMar>
          <w:vAlign w:val="bottom"/>
        </w:tcPr>
        <w:p w14:paraId="72D6EB59" w14:textId="77777777" w:rsidR="005E2F84" w:rsidRPr="00213C44" w:rsidRDefault="005E2F8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06ABA66B" w14:textId="77777777" w:rsidR="00A85088" w:rsidRPr="005E2F84" w:rsidRDefault="00A85088" w:rsidP="005E2F84">
    <w:pPr>
      <w:pStyle w:val="Sidfot"/>
      <w:spacing w:line="240" w:lineRule="auto"/>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Adress i sidfot"/>
    </w:tblPr>
    <w:tblGrid>
      <w:gridCol w:w="8088"/>
      <w:gridCol w:w="1153"/>
    </w:tblGrid>
    <w:tr w:rsidR="00A85088" w:rsidRPr="00213C44" w14:paraId="3707DD02" w14:textId="77777777" w:rsidTr="00F62FFA">
      <w:trPr>
        <w:tblHeader/>
      </w:trPr>
      <w:tc>
        <w:tcPr>
          <w:tcW w:w="6946" w:type="dxa"/>
          <w:vAlign w:val="bottom"/>
        </w:tcPr>
        <w:p w14:paraId="633EBE3D" w14:textId="77777777" w:rsidR="00A85088" w:rsidRPr="00213C44" w:rsidRDefault="00A85088" w:rsidP="005229A3">
          <w:pPr>
            <w:pStyle w:val="Sidfot"/>
          </w:pPr>
        </w:p>
      </w:tc>
      <w:tc>
        <w:tcPr>
          <w:tcW w:w="990" w:type="dxa"/>
          <w:tcMar>
            <w:left w:w="284" w:type="dxa"/>
            <w:right w:w="0" w:type="dxa"/>
          </w:tcMar>
          <w:vAlign w:val="bottom"/>
        </w:tcPr>
        <w:p w14:paraId="79150904" w14:textId="77777777" w:rsidR="00A85088" w:rsidRPr="00213C44" w:rsidRDefault="00213C4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43B667A0" w14:textId="77777777" w:rsidR="00A85088" w:rsidRPr="00C71C5F" w:rsidRDefault="00A85088" w:rsidP="00BA05F1">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5889A" w14:textId="77777777" w:rsidR="007D0143" w:rsidRDefault="007D0143">
      <w:r>
        <w:separator/>
      </w:r>
    </w:p>
  </w:footnote>
  <w:footnote w:type="continuationSeparator" w:id="0">
    <w:p w14:paraId="50672291" w14:textId="77777777" w:rsidR="007D0143" w:rsidRDefault="007D0143" w:rsidP="007B7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DC76" w14:textId="77777777" w:rsidR="00EC79BD" w:rsidRDefault="00EC79BD">
    <w:pPr>
      <w:pStyle w:val="Sidhuvud"/>
    </w:pPr>
    <w:r>
      <w:rPr>
        <w:noProof/>
      </w:rPr>
      <w:drawing>
        <wp:anchor distT="0" distB="0" distL="114300" distR="114300" simplePos="0" relativeHeight="251658240" behindDoc="0" locked="0" layoutInCell="1" allowOverlap="1" wp14:anchorId="61EDCAB5" wp14:editId="7A86652E">
          <wp:simplePos x="0" y="0"/>
          <wp:positionH relativeFrom="column">
            <wp:posOffset>5343098</wp:posOffset>
          </wp:positionH>
          <wp:positionV relativeFrom="paragraph">
            <wp:posOffset>-184965</wp:posOffset>
          </wp:positionV>
          <wp:extent cx="1350000" cy="266400"/>
          <wp:effectExtent l="0" t="0" r="3175" b="635"/>
          <wp:wrapSquare wrapText="bothSides"/>
          <wp:docPr id="67690999" name="Bildobjekt 67690999"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C0CD" w14:textId="77777777" w:rsidR="00EC79BD" w:rsidRPr="00E87846" w:rsidRDefault="00EC79BD" w:rsidP="00ED307E">
    <w:pPr>
      <w:pStyle w:val="Sidhuvud"/>
      <w:tabs>
        <w:tab w:val="clear" w:pos="284"/>
        <w:tab w:val="clear" w:pos="4536"/>
        <w:tab w:val="clear" w:pos="9072"/>
        <w:tab w:val="left" w:pos="3589"/>
      </w:tabs>
      <w:ind w:left="-2098"/>
      <w:rPr>
        <w:sz w:val="2"/>
        <w:szCs w:val="2"/>
      </w:rPr>
    </w:pPr>
    <w:r>
      <w:rPr>
        <w:sz w:val="2"/>
        <w:szCs w:val="2"/>
      </w:rPr>
      <w:tab/>
    </w:r>
  </w:p>
  <w:p w14:paraId="0A0C753B" w14:textId="77777777" w:rsidR="00EC79BD" w:rsidRPr="00D86CD5" w:rsidRDefault="00EC79BD" w:rsidP="0022235C">
    <w:pPr>
      <w:pStyle w:val="Sidhuvud"/>
      <w:rPr>
        <w:sz w:val="2"/>
        <w:szCs w:val="2"/>
      </w:rPr>
    </w:pPr>
  </w:p>
  <w:p w14:paraId="1AFA1C79" w14:textId="77777777" w:rsidR="00EC79BD" w:rsidRPr="00187E2B" w:rsidRDefault="00EC79BD" w:rsidP="003D4CD5">
    <w:pPr>
      <w:pStyle w:val="Sidhuvud"/>
      <w:ind w:left="-851"/>
      <w:rPr>
        <w:sz w:val="2"/>
        <w:szCs w:val="2"/>
      </w:rPr>
    </w:pPr>
    <w:r>
      <w:rPr>
        <w:noProof/>
      </w:rPr>
      <w:drawing>
        <wp:anchor distT="0" distB="0" distL="114300" distR="114300" simplePos="0" relativeHeight="251659264" behindDoc="0" locked="0" layoutInCell="1" allowOverlap="1" wp14:anchorId="419355A7" wp14:editId="4C49BBF6">
          <wp:simplePos x="0" y="0"/>
          <wp:positionH relativeFrom="column">
            <wp:posOffset>7499037</wp:posOffset>
          </wp:positionH>
          <wp:positionV relativeFrom="paragraph">
            <wp:posOffset>-18662</wp:posOffset>
          </wp:positionV>
          <wp:extent cx="1350000" cy="266400"/>
          <wp:effectExtent l="0" t="0" r="3175" b="635"/>
          <wp:wrapSquare wrapText="bothSides"/>
          <wp:docPr id="855474095" name="Bildobjekt 855474095"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EEBF" w14:textId="77777777" w:rsidR="00702564" w:rsidRDefault="0070256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0627" w14:textId="77777777" w:rsidR="00702564" w:rsidRDefault="00702564">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D7F87" w14:textId="77777777" w:rsidR="00702564" w:rsidRDefault="00702564">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7652"/>
      <w:gridCol w:w="3056"/>
    </w:tblGrid>
    <w:tr w:rsidR="00213C44" w14:paraId="0634ED37" w14:textId="77777777" w:rsidTr="00612AD4">
      <w:trPr>
        <w:tblHeader/>
      </w:trPr>
      <w:tc>
        <w:tcPr>
          <w:tcW w:w="6579" w:type="dxa"/>
        </w:tcPr>
        <w:p w14:paraId="0351DECA" w14:textId="77777777" w:rsidR="00213C44" w:rsidRDefault="00213C44" w:rsidP="00213C44"/>
      </w:tc>
      <w:tc>
        <w:tcPr>
          <w:tcW w:w="2627" w:type="dxa"/>
        </w:tcPr>
        <w:p w14:paraId="76DC8DB2" w14:textId="77777777" w:rsidR="00213C44" w:rsidRDefault="00213C44" w:rsidP="00213C44">
          <w:pPr>
            <w:pStyle w:val="Sidhuvud"/>
            <w:jc w:val="right"/>
            <w:rPr>
              <w:sz w:val="2"/>
              <w:szCs w:val="2"/>
            </w:rPr>
          </w:pPr>
          <w:r>
            <w:rPr>
              <w:noProof/>
            </w:rPr>
            <w:drawing>
              <wp:anchor distT="0" distB="0" distL="114300" distR="114300" simplePos="0" relativeHeight="251657216" behindDoc="0" locked="0" layoutInCell="1" allowOverlap="1" wp14:anchorId="12D07BF1" wp14:editId="21F59F9C">
                <wp:simplePos x="0" y="0"/>
                <wp:positionH relativeFrom="column">
                  <wp:posOffset>257810</wp:posOffset>
                </wp:positionH>
                <wp:positionV relativeFrom="paragraph">
                  <wp:posOffset>0</wp:posOffset>
                </wp:positionV>
                <wp:extent cx="1350000" cy="266400"/>
                <wp:effectExtent l="0" t="0" r="3175" b="635"/>
                <wp:wrapSquare wrapText="bothSides"/>
                <wp:docPr id="1374786560" name="Bildobjekt 1374786560"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anchor>
            </w:drawing>
          </w:r>
        </w:p>
      </w:tc>
    </w:tr>
  </w:tbl>
  <w:p w14:paraId="377D11A6" w14:textId="77777777" w:rsidR="00A85088" w:rsidRDefault="00A85088" w:rsidP="00824C5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36684" w14:textId="57DADBE6" w:rsidR="00A85088" w:rsidRPr="00E87846" w:rsidRDefault="00E70873" w:rsidP="00962910">
    <w:pPr>
      <w:pStyle w:val="Sidhuvud"/>
      <w:ind w:left="-2098"/>
      <w:rPr>
        <w:sz w:val="2"/>
        <w:szCs w:val="2"/>
      </w:rPr>
    </w:pPr>
    <w:r>
      <w:rPr>
        <w:noProof/>
      </w:rPr>
      <w:drawing>
        <wp:anchor distT="0" distB="0" distL="114300" distR="114300" simplePos="0" relativeHeight="251656192" behindDoc="0" locked="0" layoutInCell="1" allowOverlap="1" wp14:anchorId="32660629" wp14:editId="6A7C2129">
          <wp:simplePos x="0" y="0"/>
          <wp:positionH relativeFrom="column">
            <wp:posOffset>5345658</wp:posOffset>
          </wp:positionH>
          <wp:positionV relativeFrom="paragraph">
            <wp:posOffset>8484</wp:posOffset>
          </wp:positionV>
          <wp:extent cx="1350000" cy="266400"/>
          <wp:effectExtent l="0" t="0" r="3175" b="635"/>
          <wp:wrapSquare wrapText="bothSides"/>
          <wp:docPr id="1374786561" name="Bildobjekt 1374786561"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anchor>
      </w:drawing>
    </w:r>
    <w:r w:rsidR="00FA55DB">
      <w:rPr>
        <w:sz w:val="2"/>
        <w:szCs w:val="2"/>
      </w:rPr>
      <w:t>u</w:t>
    </w:r>
  </w:p>
  <w:tbl>
    <w:tblPr>
      <w:tblStyle w:val="Tabellrutnt"/>
      <w:tblW w:w="5074" w:type="pct"/>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692"/>
      <w:gridCol w:w="2676"/>
    </w:tblGrid>
    <w:tr w:rsidR="005144CF" w14:paraId="276B639C" w14:textId="77777777" w:rsidTr="00FA55DB">
      <w:trPr>
        <w:tblHeader/>
      </w:trPr>
      <w:tc>
        <w:tcPr>
          <w:tcW w:w="6568" w:type="dxa"/>
        </w:tcPr>
        <w:p w14:paraId="48508CCE" w14:textId="1533269E" w:rsidR="005144CF" w:rsidRDefault="005144CF" w:rsidP="005144CF"/>
      </w:tc>
      <w:tc>
        <w:tcPr>
          <w:tcW w:w="2626" w:type="dxa"/>
        </w:tcPr>
        <w:p w14:paraId="553683CE" w14:textId="1A15F814" w:rsidR="005144CF" w:rsidRDefault="005144CF" w:rsidP="00E70873">
          <w:pPr>
            <w:pStyle w:val="Sidhuvud"/>
            <w:ind w:left="1304"/>
            <w:jc w:val="right"/>
            <w:rPr>
              <w:sz w:val="2"/>
              <w:szCs w:val="2"/>
            </w:rPr>
          </w:pPr>
        </w:p>
      </w:tc>
    </w:tr>
  </w:tbl>
  <w:p w14:paraId="5DD90F1E" w14:textId="77777777" w:rsidR="00A85088" w:rsidRPr="00D86CD5" w:rsidRDefault="00A85088" w:rsidP="0022235C">
    <w:pPr>
      <w:pStyle w:val="Sidhuvud"/>
      <w:rPr>
        <w:sz w:val="2"/>
        <w:szCs w:val="2"/>
      </w:rPr>
    </w:pPr>
  </w:p>
  <w:p w14:paraId="6B25DB9F" w14:textId="77777777" w:rsidR="00A85088" w:rsidRPr="00187E2B" w:rsidRDefault="00A85088" w:rsidP="003D4CD5">
    <w:pPr>
      <w:pStyle w:val="Sidhuvud"/>
      <w:ind w:left="-85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09B5D1C"/>
    <w:multiLevelType w:val="hybridMultilevel"/>
    <w:tmpl w:val="82128C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1316247"/>
    <w:multiLevelType w:val="hybridMultilevel"/>
    <w:tmpl w:val="6E763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035801C7"/>
    <w:multiLevelType w:val="hybridMultilevel"/>
    <w:tmpl w:val="A36281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4735D37"/>
    <w:multiLevelType w:val="multilevel"/>
    <w:tmpl w:val="87DA1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C769A9"/>
    <w:multiLevelType w:val="multilevel"/>
    <w:tmpl w:val="AA4A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DE4FCD"/>
    <w:multiLevelType w:val="hybridMultilevel"/>
    <w:tmpl w:val="444ECF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067B4135"/>
    <w:multiLevelType w:val="multilevel"/>
    <w:tmpl w:val="7E36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DB21A8"/>
    <w:multiLevelType w:val="hybridMultilevel"/>
    <w:tmpl w:val="E730ACD6"/>
    <w:lvl w:ilvl="0" w:tplc="40C8CE8C">
      <w:start w:val="9"/>
      <w:numFmt w:val="decimal"/>
      <w:lvlText w:val="%1."/>
      <w:lvlJc w:val="left"/>
      <w:pPr>
        <w:ind w:left="644" w:hanging="360"/>
      </w:pPr>
      <w:rPr>
        <w:rFonts w:hint="default"/>
        <w:b w:val="0"/>
        <w:bCs/>
        <w:u w:val="single"/>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0"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11" w15:restartNumberingAfterBreak="0">
    <w:nsid w:val="087641F6"/>
    <w:multiLevelType w:val="multilevel"/>
    <w:tmpl w:val="46E415C6"/>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360"/>
      </w:pPr>
      <w:rPr>
        <w:rFonts w:hint="default"/>
        <w:sz w:val="20"/>
      </w:rPr>
    </w:lvl>
    <w:lvl w:ilvl="3">
      <w:start w:val="1"/>
      <w:numFmt w:val="decimal"/>
      <w:lvlText w:val="%4."/>
      <w:lvlJc w:val="left"/>
      <w:pPr>
        <w:tabs>
          <w:tab w:val="num" w:pos="2880"/>
        </w:tabs>
        <w:ind w:left="2880" w:hanging="360"/>
      </w:pPr>
      <w:rPr>
        <w:rFonts w:hint="default"/>
        <w:sz w:val="20"/>
      </w:rPr>
    </w:lvl>
    <w:lvl w:ilvl="4">
      <w:start w:val="1"/>
      <w:numFmt w:val="decimal"/>
      <w:lvlText w:val="%5)"/>
      <w:lvlJc w:val="left"/>
      <w:pPr>
        <w:ind w:left="3600" w:hanging="360"/>
      </w:pPr>
      <w:rPr>
        <w:rFonts w:ascii="Times New Roman" w:hAnsi="Times New Roman" w:cs="Times New Roman" w:hint="default"/>
        <w:b w:val="0"/>
        <w:color w:val="auto"/>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2" w15:restartNumberingAfterBreak="0">
    <w:nsid w:val="08B81D0E"/>
    <w:multiLevelType w:val="hybridMultilevel"/>
    <w:tmpl w:val="3174AED2"/>
    <w:lvl w:ilvl="0" w:tplc="90544C4A">
      <w:start w:val="4"/>
      <w:numFmt w:val="bullet"/>
      <w:lvlText w:val="-"/>
      <w:lvlJc w:val="left"/>
      <w:pPr>
        <w:ind w:left="720" w:hanging="360"/>
      </w:pPr>
      <w:rPr>
        <w:rFonts w:ascii="Segoe UI Symbol" w:eastAsia="Garamond" w:hAnsi="Segoe UI 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8C6374A"/>
    <w:multiLevelType w:val="hybridMultilevel"/>
    <w:tmpl w:val="8110C8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9070067"/>
    <w:multiLevelType w:val="hybridMultilevel"/>
    <w:tmpl w:val="3CC22D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0AFD2BE0"/>
    <w:multiLevelType w:val="hybridMultilevel"/>
    <w:tmpl w:val="F702C5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0C9319B3"/>
    <w:multiLevelType w:val="hybridMultilevel"/>
    <w:tmpl w:val="604CB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0CA00B5A"/>
    <w:multiLevelType w:val="hybridMultilevel"/>
    <w:tmpl w:val="5BBEF2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0CBA5DBE"/>
    <w:multiLevelType w:val="hybridMultilevel"/>
    <w:tmpl w:val="79B6CE18"/>
    <w:lvl w:ilvl="0" w:tplc="0794290E">
      <w:start w:val="1"/>
      <w:numFmt w:val="lowerLetter"/>
      <w:lvlText w:val="%1)"/>
      <w:lvlJc w:val="left"/>
      <w:pPr>
        <w:ind w:left="2880" w:hanging="360"/>
      </w:pPr>
      <w:rPr>
        <w:rFonts w:eastAsiaTheme="minorHAnsi" w:hint="default"/>
      </w:rPr>
    </w:lvl>
    <w:lvl w:ilvl="1" w:tplc="041D0019" w:tentative="1">
      <w:start w:val="1"/>
      <w:numFmt w:val="lowerLetter"/>
      <w:lvlText w:val="%2."/>
      <w:lvlJc w:val="left"/>
      <w:pPr>
        <w:ind w:left="3600" w:hanging="360"/>
      </w:pPr>
    </w:lvl>
    <w:lvl w:ilvl="2" w:tplc="041D001B" w:tentative="1">
      <w:start w:val="1"/>
      <w:numFmt w:val="lowerRoman"/>
      <w:lvlText w:val="%3."/>
      <w:lvlJc w:val="right"/>
      <w:pPr>
        <w:ind w:left="4320" w:hanging="180"/>
      </w:pPr>
    </w:lvl>
    <w:lvl w:ilvl="3" w:tplc="041D000F" w:tentative="1">
      <w:start w:val="1"/>
      <w:numFmt w:val="decimal"/>
      <w:lvlText w:val="%4."/>
      <w:lvlJc w:val="left"/>
      <w:pPr>
        <w:ind w:left="5040" w:hanging="360"/>
      </w:pPr>
    </w:lvl>
    <w:lvl w:ilvl="4" w:tplc="041D0019" w:tentative="1">
      <w:start w:val="1"/>
      <w:numFmt w:val="lowerLetter"/>
      <w:lvlText w:val="%5."/>
      <w:lvlJc w:val="left"/>
      <w:pPr>
        <w:ind w:left="5760" w:hanging="360"/>
      </w:pPr>
    </w:lvl>
    <w:lvl w:ilvl="5" w:tplc="041D001B" w:tentative="1">
      <w:start w:val="1"/>
      <w:numFmt w:val="lowerRoman"/>
      <w:lvlText w:val="%6."/>
      <w:lvlJc w:val="right"/>
      <w:pPr>
        <w:ind w:left="6480" w:hanging="180"/>
      </w:pPr>
    </w:lvl>
    <w:lvl w:ilvl="6" w:tplc="041D000F" w:tentative="1">
      <w:start w:val="1"/>
      <w:numFmt w:val="decimal"/>
      <w:lvlText w:val="%7."/>
      <w:lvlJc w:val="left"/>
      <w:pPr>
        <w:ind w:left="7200" w:hanging="360"/>
      </w:pPr>
    </w:lvl>
    <w:lvl w:ilvl="7" w:tplc="041D0019" w:tentative="1">
      <w:start w:val="1"/>
      <w:numFmt w:val="lowerLetter"/>
      <w:lvlText w:val="%8."/>
      <w:lvlJc w:val="left"/>
      <w:pPr>
        <w:ind w:left="7920" w:hanging="360"/>
      </w:pPr>
    </w:lvl>
    <w:lvl w:ilvl="8" w:tplc="041D001B" w:tentative="1">
      <w:start w:val="1"/>
      <w:numFmt w:val="lowerRoman"/>
      <w:lvlText w:val="%9."/>
      <w:lvlJc w:val="right"/>
      <w:pPr>
        <w:ind w:left="8640" w:hanging="180"/>
      </w:pPr>
    </w:lvl>
  </w:abstractNum>
  <w:abstractNum w:abstractNumId="19" w15:restartNumberingAfterBreak="0">
    <w:nsid w:val="0D3B3312"/>
    <w:multiLevelType w:val="hybridMultilevel"/>
    <w:tmpl w:val="FBB84484"/>
    <w:lvl w:ilvl="0" w:tplc="53426CCA">
      <w:start w:val="1"/>
      <w:numFmt w:val="decimal"/>
      <w:lvlText w:val="%1."/>
      <w:lvlJc w:val="left"/>
      <w:pPr>
        <w:ind w:left="1140" w:hanging="360"/>
      </w:pPr>
      <w:rPr>
        <w:rFonts w:ascii="Calibri" w:eastAsia="Times New Roman" w:hAnsi="Calibri" w:cs="Calibri"/>
      </w:rPr>
    </w:lvl>
    <w:lvl w:ilvl="1" w:tplc="041D0019">
      <w:start w:val="1"/>
      <w:numFmt w:val="lowerLetter"/>
      <w:lvlText w:val="%2."/>
      <w:lvlJc w:val="left"/>
      <w:pPr>
        <w:ind w:left="1860" w:hanging="360"/>
      </w:pPr>
    </w:lvl>
    <w:lvl w:ilvl="2" w:tplc="041D001B" w:tentative="1">
      <w:start w:val="1"/>
      <w:numFmt w:val="lowerRoman"/>
      <w:lvlText w:val="%3."/>
      <w:lvlJc w:val="right"/>
      <w:pPr>
        <w:ind w:left="2580" w:hanging="180"/>
      </w:pPr>
    </w:lvl>
    <w:lvl w:ilvl="3" w:tplc="041D000F" w:tentative="1">
      <w:start w:val="1"/>
      <w:numFmt w:val="decimal"/>
      <w:lvlText w:val="%4."/>
      <w:lvlJc w:val="left"/>
      <w:pPr>
        <w:ind w:left="3300" w:hanging="360"/>
      </w:pPr>
    </w:lvl>
    <w:lvl w:ilvl="4" w:tplc="041D0019" w:tentative="1">
      <w:start w:val="1"/>
      <w:numFmt w:val="lowerLetter"/>
      <w:lvlText w:val="%5."/>
      <w:lvlJc w:val="left"/>
      <w:pPr>
        <w:ind w:left="4020" w:hanging="360"/>
      </w:pPr>
    </w:lvl>
    <w:lvl w:ilvl="5" w:tplc="041D001B" w:tentative="1">
      <w:start w:val="1"/>
      <w:numFmt w:val="lowerRoman"/>
      <w:lvlText w:val="%6."/>
      <w:lvlJc w:val="right"/>
      <w:pPr>
        <w:ind w:left="4740" w:hanging="180"/>
      </w:pPr>
    </w:lvl>
    <w:lvl w:ilvl="6" w:tplc="041D000F" w:tentative="1">
      <w:start w:val="1"/>
      <w:numFmt w:val="decimal"/>
      <w:lvlText w:val="%7."/>
      <w:lvlJc w:val="left"/>
      <w:pPr>
        <w:ind w:left="5460" w:hanging="360"/>
      </w:pPr>
    </w:lvl>
    <w:lvl w:ilvl="7" w:tplc="041D0019" w:tentative="1">
      <w:start w:val="1"/>
      <w:numFmt w:val="lowerLetter"/>
      <w:lvlText w:val="%8."/>
      <w:lvlJc w:val="left"/>
      <w:pPr>
        <w:ind w:left="6180" w:hanging="360"/>
      </w:pPr>
    </w:lvl>
    <w:lvl w:ilvl="8" w:tplc="041D001B" w:tentative="1">
      <w:start w:val="1"/>
      <w:numFmt w:val="lowerRoman"/>
      <w:lvlText w:val="%9."/>
      <w:lvlJc w:val="right"/>
      <w:pPr>
        <w:ind w:left="6900" w:hanging="180"/>
      </w:pPr>
    </w:lvl>
  </w:abstractNum>
  <w:abstractNum w:abstractNumId="20" w15:restartNumberingAfterBreak="0">
    <w:nsid w:val="0DB810AC"/>
    <w:multiLevelType w:val="hybridMultilevel"/>
    <w:tmpl w:val="A6BE67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0EE04E35"/>
    <w:multiLevelType w:val="hybridMultilevel"/>
    <w:tmpl w:val="1460ED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0F520089"/>
    <w:multiLevelType w:val="hybridMultilevel"/>
    <w:tmpl w:val="8012BF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12766E4E"/>
    <w:multiLevelType w:val="hybridMultilevel"/>
    <w:tmpl w:val="CD20E1AA"/>
    <w:lvl w:ilvl="0" w:tplc="90544C4A">
      <w:start w:val="4"/>
      <w:numFmt w:val="bullet"/>
      <w:lvlText w:val="-"/>
      <w:lvlJc w:val="left"/>
      <w:pPr>
        <w:ind w:left="720" w:hanging="360"/>
      </w:pPr>
      <w:rPr>
        <w:rFonts w:ascii="Segoe UI Symbol" w:eastAsia="Garamond" w:hAnsi="Segoe UI 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13AC63B0"/>
    <w:multiLevelType w:val="hybridMultilevel"/>
    <w:tmpl w:val="5DAE4A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149D7934"/>
    <w:multiLevelType w:val="hybridMultilevel"/>
    <w:tmpl w:val="155AA5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16FB5D2E"/>
    <w:multiLevelType w:val="hybridMultilevel"/>
    <w:tmpl w:val="DC5EB386"/>
    <w:lvl w:ilvl="0" w:tplc="B7B8A860">
      <w:start w:val="1"/>
      <w:numFmt w:val="lowerLetter"/>
      <w:lvlText w:val="%1)"/>
      <w:lvlJc w:val="left"/>
      <w:pPr>
        <w:ind w:left="2968" w:hanging="360"/>
      </w:pPr>
      <w:rPr>
        <w:rFonts w:eastAsiaTheme="minorHAnsi" w:hint="default"/>
      </w:rPr>
    </w:lvl>
    <w:lvl w:ilvl="1" w:tplc="041D0019" w:tentative="1">
      <w:start w:val="1"/>
      <w:numFmt w:val="lowerLetter"/>
      <w:lvlText w:val="%2."/>
      <w:lvlJc w:val="left"/>
      <w:pPr>
        <w:ind w:left="3688" w:hanging="360"/>
      </w:pPr>
    </w:lvl>
    <w:lvl w:ilvl="2" w:tplc="041D001B" w:tentative="1">
      <w:start w:val="1"/>
      <w:numFmt w:val="lowerRoman"/>
      <w:lvlText w:val="%3."/>
      <w:lvlJc w:val="right"/>
      <w:pPr>
        <w:ind w:left="4408" w:hanging="180"/>
      </w:pPr>
    </w:lvl>
    <w:lvl w:ilvl="3" w:tplc="041D000F" w:tentative="1">
      <w:start w:val="1"/>
      <w:numFmt w:val="decimal"/>
      <w:lvlText w:val="%4."/>
      <w:lvlJc w:val="left"/>
      <w:pPr>
        <w:ind w:left="5128" w:hanging="360"/>
      </w:pPr>
    </w:lvl>
    <w:lvl w:ilvl="4" w:tplc="041D0019" w:tentative="1">
      <w:start w:val="1"/>
      <w:numFmt w:val="lowerLetter"/>
      <w:lvlText w:val="%5."/>
      <w:lvlJc w:val="left"/>
      <w:pPr>
        <w:ind w:left="5848" w:hanging="360"/>
      </w:pPr>
    </w:lvl>
    <w:lvl w:ilvl="5" w:tplc="041D001B" w:tentative="1">
      <w:start w:val="1"/>
      <w:numFmt w:val="lowerRoman"/>
      <w:lvlText w:val="%6."/>
      <w:lvlJc w:val="right"/>
      <w:pPr>
        <w:ind w:left="6568" w:hanging="180"/>
      </w:pPr>
    </w:lvl>
    <w:lvl w:ilvl="6" w:tplc="041D000F" w:tentative="1">
      <w:start w:val="1"/>
      <w:numFmt w:val="decimal"/>
      <w:lvlText w:val="%7."/>
      <w:lvlJc w:val="left"/>
      <w:pPr>
        <w:ind w:left="7288" w:hanging="360"/>
      </w:pPr>
    </w:lvl>
    <w:lvl w:ilvl="7" w:tplc="041D0019" w:tentative="1">
      <w:start w:val="1"/>
      <w:numFmt w:val="lowerLetter"/>
      <w:lvlText w:val="%8."/>
      <w:lvlJc w:val="left"/>
      <w:pPr>
        <w:ind w:left="8008" w:hanging="360"/>
      </w:pPr>
    </w:lvl>
    <w:lvl w:ilvl="8" w:tplc="041D001B" w:tentative="1">
      <w:start w:val="1"/>
      <w:numFmt w:val="lowerRoman"/>
      <w:lvlText w:val="%9."/>
      <w:lvlJc w:val="right"/>
      <w:pPr>
        <w:ind w:left="8728" w:hanging="180"/>
      </w:pPr>
    </w:lvl>
  </w:abstractNum>
  <w:abstractNum w:abstractNumId="27" w15:restartNumberingAfterBreak="0">
    <w:nsid w:val="17845558"/>
    <w:multiLevelType w:val="multilevel"/>
    <w:tmpl w:val="CD10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830CEF"/>
    <w:multiLevelType w:val="hybridMultilevel"/>
    <w:tmpl w:val="B6DA6D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18BD3CB0"/>
    <w:multiLevelType w:val="hybridMultilevel"/>
    <w:tmpl w:val="FACE32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194A748E"/>
    <w:multiLevelType w:val="hybridMultilevel"/>
    <w:tmpl w:val="5F0A68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197B4895"/>
    <w:multiLevelType w:val="hybridMultilevel"/>
    <w:tmpl w:val="82C06F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1B320953"/>
    <w:multiLevelType w:val="multilevel"/>
    <w:tmpl w:val="40AC5520"/>
    <w:lvl w:ilvl="0">
      <w:start w:val="1"/>
      <w:numFmt w:val="decimal"/>
      <w:lvlText w:val="%1."/>
      <w:lvlJc w:val="left"/>
      <w:pPr>
        <w:tabs>
          <w:tab w:val="num" w:pos="1440"/>
        </w:tabs>
        <w:ind w:left="1440" w:hanging="360"/>
      </w:pPr>
      <w:rPr>
        <w:b w:val="0"/>
        <w:bCs w:val="0"/>
      </w:rPr>
    </w:lvl>
    <w:lvl w:ilvl="1">
      <w:start w:val="1"/>
      <w:numFmt w:val="lowerLetter"/>
      <w:lvlText w:val="%2)"/>
      <w:lvlJc w:val="left"/>
      <w:pPr>
        <w:ind w:left="2160" w:hanging="360"/>
      </w:pPr>
      <w:rPr>
        <w:b w:val="0"/>
        <w:bCs w:val="0"/>
        <w:color w:val="000000" w:themeColor="text1"/>
      </w:rPr>
    </w:lvl>
    <w:lvl w:ilvl="2">
      <w:start w:val="1"/>
      <w:numFmt w:val="decimal"/>
      <w:lvlText w:val="%3."/>
      <w:lvlJc w:val="left"/>
      <w:pPr>
        <w:tabs>
          <w:tab w:val="num" w:pos="2880"/>
        </w:tabs>
        <w:ind w:left="2880" w:hanging="360"/>
      </w:pPr>
      <w:rPr>
        <w:rFonts w:asciiTheme="minorHAnsi" w:hAnsiTheme="minorHAnsi" w:hint="default"/>
        <w:b w:val="0"/>
        <w:bCs w:val="0"/>
        <w:color w:val="000000" w:themeColor="text1"/>
      </w:rPr>
    </w:lvl>
    <w:lvl w:ilvl="3">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3" w15:restartNumberingAfterBreak="0">
    <w:nsid w:val="1D004EE5"/>
    <w:multiLevelType w:val="multilevel"/>
    <w:tmpl w:val="49269F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D49434A"/>
    <w:multiLevelType w:val="hybridMultilevel"/>
    <w:tmpl w:val="8E164E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1EAB374F"/>
    <w:multiLevelType w:val="hybridMultilevel"/>
    <w:tmpl w:val="163657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1FD26696"/>
    <w:multiLevelType w:val="multilevel"/>
    <w:tmpl w:val="F904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1166ECC"/>
    <w:multiLevelType w:val="multilevel"/>
    <w:tmpl w:val="63622BF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23DA296E"/>
    <w:multiLevelType w:val="hybridMultilevel"/>
    <w:tmpl w:val="2ABAA3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257773B9"/>
    <w:multiLevelType w:val="multilevel"/>
    <w:tmpl w:val="BD8295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26720E0A"/>
    <w:multiLevelType w:val="hybridMultilevel"/>
    <w:tmpl w:val="884A0BC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294C1213"/>
    <w:multiLevelType w:val="hybridMultilevel"/>
    <w:tmpl w:val="2B4A43D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2" w15:restartNumberingAfterBreak="0">
    <w:nsid w:val="29AB50EB"/>
    <w:multiLevelType w:val="hybridMultilevel"/>
    <w:tmpl w:val="068C8A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29F60974"/>
    <w:multiLevelType w:val="multilevel"/>
    <w:tmpl w:val="F60A610A"/>
    <w:lvl w:ilvl="0">
      <w:start w:val="1"/>
      <w:numFmt w:val="decimal"/>
      <w:lvlText w:val="%1."/>
      <w:lvlJc w:val="left"/>
      <w:pPr>
        <w:tabs>
          <w:tab w:val="num" w:pos="720"/>
        </w:tabs>
        <w:ind w:left="720" w:hanging="360"/>
      </w:pPr>
    </w:lvl>
    <w:lvl w:ilvl="1">
      <w:start w:val="1"/>
      <w:numFmt w:val="lowerLetter"/>
      <w:lvlText w:val="%2)"/>
      <w:lvlJc w:val="left"/>
      <w:pPr>
        <w:ind w:left="1440" w:hanging="360"/>
      </w:pPr>
      <w:rPr>
        <w:b w:val="0"/>
        <w:bCs w:val="0"/>
      </w:r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rPr>
        <w:rFonts w:asciiTheme="minorHAnsi" w:eastAsia="Times New Roman" w:hAnsiTheme="minorHAnsi" w:cs="Calibri"/>
      </w:rPr>
    </w:lvl>
    <w:lvl w:ilvl="4">
      <w:start w:val="1"/>
      <w:numFmt w:val="decimal"/>
      <w:lvlText w:val="%5."/>
      <w:lvlJc w:val="left"/>
      <w:pPr>
        <w:ind w:left="3600" w:hanging="360"/>
      </w:pPr>
      <w:rPr>
        <w:rFonts w:asciiTheme="minorHAnsi" w:eastAsia="Times New Roman" w:hAnsiTheme="minorHAnsi" w:cs="Calibri"/>
        <w:color w:val="000000" w:themeColor="text1"/>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A0C4526"/>
    <w:multiLevelType w:val="hybridMultilevel"/>
    <w:tmpl w:val="F2AA135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2C4D47EA"/>
    <w:multiLevelType w:val="hybridMultilevel"/>
    <w:tmpl w:val="2BFE3608"/>
    <w:lvl w:ilvl="0" w:tplc="FFFFFFF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15:restartNumberingAfterBreak="0">
    <w:nsid w:val="2C7C4277"/>
    <w:multiLevelType w:val="hybridMultilevel"/>
    <w:tmpl w:val="2E5E18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48" w15:restartNumberingAfterBreak="0">
    <w:nsid w:val="2D972EF3"/>
    <w:multiLevelType w:val="hybridMultilevel"/>
    <w:tmpl w:val="BADAF2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9" w15:restartNumberingAfterBreak="0">
    <w:nsid w:val="2DA2613E"/>
    <w:multiLevelType w:val="hybridMultilevel"/>
    <w:tmpl w:val="2B828DF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0" w15:restartNumberingAfterBreak="0">
    <w:nsid w:val="30252C43"/>
    <w:multiLevelType w:val="multilevel"/>
    <w:tmpl w:val="9792380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03109AE"/>
    <w:multiLevelType w:val="hybridMultilevel"/>
    <w:tmpl w:val="14C637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2" w15:restartNumberingAfterBreak="0">
    <w:nsid w:val="30CB135A"/>
    <w:multiLevelType w:val="hybridMultilevel"/>
    <w:tmpl w:val="0930F554"/>
    <w:lvl w:ilvl="0" w:tplc="657A5658">
      <w:start w:val="1"/>
      <w:numFmt w:val="bullet"/>
      <w:lvlText w:val=""/>
      <w:lvlJc w:val="left"/>
      <w:pPr>
        <w:ind w:left="1440" w:hanging="360"/>
      </w:pPr>
      <w:rPr>
        <w:rFonts w:ascii="Symbol" w:hAnsi="Symbol" w:hint="default"/>
        <w:sz w:val="16"/>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3" w15:restartNumberingAfterBreak="0">
    <w:nsid w:val="312635E6"/>
    <w:multiLevelType w:val="hybridMultilevel"/>
    <w:tmpl w:val="1264D2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4" w15:restartNumberingAfterBreak="0">
    <w:nsid w:val="314F535D"/>
    <w:multiLevelType w:val="hybridMultilevel"/>
    <w:tmpl w:val="D6AE5D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5" w15:restartNumberingAfterBreak="0">
    <w:nsid w:val="32523CCC"/>
    <w:multiLevelType w:val="hybridMultilevel"/>
    <w:tmpl w:val="384E6A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6"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57" w15:restartNumberingAfterBreak="0">
    <w:nsid w:val="37027659"/>
    <w:multiLevelType w:val="hybridMultilevel"/>
    <w:tmpl w:val="F8603F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8" w15:restartNumberingAfterBreak="0">
    <w:nsid w:val="374C2156"/>
    <w:multiLevelType w:val="multilevel"/>
    <w:tmpl w:val="5524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789525E"/>
    <w:multiLevelType w:val="multilevel"/>
    <w:tmpl w:val="AC84F1E0"/>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360"/>
      </w:pPr>
      <w:rPr>
        <w:rFonts w:hint="default"/>
        <w:sz w:val="20"/>
      </w:rPr>
    </w:lvl>
    <w:lvl w:ilvl="3">
      <w:start w:val="1"/>
      <w:numFmt w:val="decimal"/>
      <w:lvlText w:val="%4."/>
      <w:lvlJc w:val="left"/>
      <w:pPr>
        <w:tabs>
          <w:tab w:val="num" w:pos="2880"/>
        </w:tabs>
        <w:ind w:left="2880" w:hanging="360"/>
      </w:pPr>
      <w:rPr>
        <w:rFonts w:hint="default"/>
        <w:sz w:val="20"/>
      </w:rPr>
    </w:lvl>
    <w:lvl w:ilvl="4">
      <w:start w:val="1"/>
      <w:numFmt w:val="decimal"/>
      <w:lvlText w:val="%5)"/>
      <w:lvlJc w:val="left"/>
      <w:pPr>
        <w:ind w:left="3600" w:hanging="360"/>
      </w:pPr>
      <w:rPr>
        <w:rFonts w:ascii="Calibri" w:hAnsi="Calibri" w:cs="Calibri" w:hint="default"/>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60" w15:restartNumberingAfterBreak="0">
    <w:nsid w:val="382E0DA6"/>
    <w:multiLevelType w:val="multilevel"/>
    <w:tmpl w:val="ACB2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9B057FB"/>
    <w:multiLevelType w:val="hybridMultilevel"/>
    <w:tmpl w:val="DD52450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E2E04644">
      <w:numFmt w:val="bullet"/>
      <w:lvlText w:val=""/>
      <w:lvlJc w:val="left"/>
      <w:pPr>
        <w:ind w:left="2880" w:hanging="360"/>
      </w:pPr>
      <w:rPr>
        <w:rFonts w:ascii="Symbol" w:eastAsia="Times New Roman" w:hAnsi="Symbol" w:cs="Calibri"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2" w15:restartNumberingAfterBreak="0">
    <w:nsid w:val="3E2724CD"/>
    <w:multiLevelType w:val="hybridMultilevel"/>
    <w:tmpl w:val="E7CC1CCC"/>
    <w:lvl w:ilvl="0" w:tplc="007272BA">
      <w:start w:val="1"/>
      <w:numFmt w:val="decimal"/>
      <w:lvlText w:val="%1."/>
      <w:lvlJc w:val="left"/>
      <w:pPr>
        <w:tabs>
          <w:tab w:val="num" w:pos="360"/>
        </w:tabs>
        <w:ind w:left="360" w:hanging="360"/>
      </w:pPr>
    </w:lvl>
    <w:lvl w:ilvl="1" w:tplc="E516346E" w:tentative="1">
      <w:start w:val="1"/>
      <w:numFmt w:val="decimal"/>
      <w:lvlText w:val="%2."/>
      <w:lvlJc w:val="left"/>
      <w:pPr>
        <w:tabs>
          <w:tab w:val="num" w:pos="1080"/>
        </w:tabs>
        <w:ind w:left="1080" w:hanging="360"/>
      </w:pPr>
    </w:lvl>
    <w:lvl w:ilvl="2" w:tplc="D85E1C00" w:tentative="1">
      <w:start w:val="1"/>
      <w:numFmt w:val="decimal"/>
      <w:lvlText w:val="%3."/>
      <w:lvlJc w:val="left"/>
      <w:pPr>
        <w:tabs>
          <w:tab w:val="num" w:pos="1800"/>
        </w:tabs>
        <w:ind w:left="1800" w:hanging="360"/>
      </w:pPr>
    </w:lvl>
    <w:lvl w:ilvl="3" w:tplc="6B0C13EC" w:tentative="1">
      <w:start w:val="1"/>
      <w:numFmt w:val="decimal"/>
      <w:lvlText w:val="%4."/>
      <w:lvlJc w:val="left"/>
      <w:pPr>
        <w:tabs>
          <w:tab w:val="num" w:pos="2520"/>
        </w:tabs>
        <w:ind w:left="2520" w:hanging="360"/>
      </w:pPr>
    </w:lvl>
    <w:lvl w:ilvl="4" w:tplc="B1884884" w:tentative="1">
      <w:start w:val="1"/>
      <w:numFmt w:val="decimal"/>
      <w:lvlText w:val="%5."/>
      <w:lvlJc w:val="left"/>
      <w:pPr>
        <w:tabs>
          <w:tab w:val="num" w:pos="3240"/>
        </w:tabs>
        <w:ind w:left="3240" w:hanging="360"/>
      </w:pPr>
    </w:lvl>
    <w:lvl w:ilvl="5" w:tplc="6CA08D8A" w:tentative="1">
      <w:start w:val="1"/>
      <w:numFmt w:val="decimal"/>
      <w:lvlText w:val="%6."/>
      <w:lvlJc w:val="left"/>
      <w:pPr>
        <w:tabs>
          <w:tab w:val="num" w:pos="3960"/>
        </w:tabs>
        <w:ind w:left="3960" w:hanging="360"/>
      </w:pPr>
    </w:lvl>
    <w:lvl w:ilvl="6" w:tplc="65F027CE" w:tentative="1">
      <w:start w:val="1"/>
      <w:numFmt w:val="decimal"/>
      <w:lvlText w:val="%7."/>
      <w:lvlJc w:val="left"/>
      <w:pPr>
        <w:tabs>
          <w:tab w:val="num" w:pos="4680"/>
        </w:tabs>
        <w:ind w:left="4680" w:hanging="360"/>
      </w:pPr>
    </w:lvl>
    <w:lvl w:ilvl="7" w:tplc="6DB42F78" w:tentative="1">
      <w:start w:val="1"/>
      <w:numFmt w:val="decimal"/>
      <w:lvlText w:val="%8."/>
      <w:lvlJc w:val="left"/>
      <w:pPr>
        <w:tabs>
          <w:tab w:val="num" w:pos="5400"/>
        </w:tabs>
        <w:ind w:left="5400" w:hanging="360"/>
      </w:pPr>
    </w:lvl>
    <w:lvl w:ilvl="8" w:tplc="8AF2DA66" w:tentative="1">
      <w:start w:val="1"/>
      <w:numFmt w:val="decimal"/>
      <w:lvlText w:val="%9."/>
      <w:lvlJc w:val="left"/>
      <w:pPr>
        <w:tabs>
          <w:tab w:val="num" w:pos="6120"/>
        </w:tabs>
        <w:ind w:left="6120" w:hanging="360"/>
      </w:pPr>
    </w:lvl>
  </w:abstractNum>
  <w:abstractNum w:abstractNumId="63" w15:restartNumberingAfterBreak="0">
    <w:nsid w:val="4111698B"/>
    <w:multiLevelType w:val="hybridMultilevel"/>
    <w:tmpl w:val="9D16F05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4" w15:restartNumberingAfterBreak="0">
    <w:nsid w:val="417A145F"/>
    <w:multiLevelType w:val="multilevel"/>
    <w:tmpl w:val="4588F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18977B0"/>
    <w:multiLevelType w:val="hybridMultilevel"/>
    <w:tmpl w:val="098471E4"/>
    <w:lvl w:ilvl="0" w:tplc="255EF888">
      <w:start w:val="1"/>
      <w:numFmt w:val="decimal"/>
      <w:lvlText w:val="%1."/>
      <w:lvlJc w:val="left"/>
      <w:pPr>
        <w:ind w:left="720" w:hanging="360"/>
      </w:pPr>
      <w:rPr>
        <w:rFonts w:cs="Garamond"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6" w15:restartNumberingAfterBreak="0">
    <w:nsid w:val="42155AD4"/>
    <w:multiLevelType w:val="hybridMultilevel"/>
    <w:tmpl w:val="8362CB9C"/>
    <w:lvl w:ilvl="0" w:tplc="FFFFFFFF">
      <w:start w:val="1"/>
      <w:numFmt w:val="lowerLetter"/>
      <w:lvlText w:val="%1."/>
      <w:lvlJc w:val="left"/>
      <w:pPr>
        <w:ind w:left="144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7" w15:restartNumberingAfterBreak="0">
    <w:nsid w:val="43222308"/>
    <w:multiLevelType w:val="hybridMultilevel"/>
    <w:tmpl w:val="66541E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8" w15:restartNumberingAfterBreak="0">
    <w:nsid w:val="43637A4A"/>
    <w:multiLevelType w:val="multilevel"/>
    <w:tmpl w:val="9142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3985A4F"/>
    <w:multiLevelType w:val="hybridMultilevel"/>
    <w:tmpl w:val="BCC2FE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0" w15:restartNumberingAfterBreak="0">
    <w:nsid w:val="439E3EB9"/>
    <w:multiLevelType w:val="hybridMultilevel"/>
    <w:tmpl w:val="67EE9F2C"/>
    <w:lvl w:ilvl="0" w:tplc="041D000F">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71" w15:restartNumberingAfterBreak="0">
    <w:nsid w:val="44F477FE"/>
    <w:multiLevelType w:val="hybridMultilevel"/>
    <w:tmpl w:val="1AB011E0"/>
    <w:lvl w:ilvl="0" w:tplc="53426CCA">
      <w:start w:val="1"/>
      <w:numFmt w:val="decimal"/>
      <w:lvlText w:val="%1."/>
      <w:lvlJc w:val="left"/>
      <w:pPr>
        <w:ind w:left="720" w:hanging="360"/>
      </w:pPr>
      <w:rPr>
        <w:rFonts w:ascii="Calibri" w:eastAsia="Times New Roman" w:hAnsi="Calibri" w:cs="Calibri"/>
      </w:rPr>
    </w:lvl>
    <w:lvl w:ilvl="1" w:tplc="FF8E90BA">
      <w:start w:val="1"/>
      <w:numFmt w:val="lowerLetter"/>
      <w:lvlText w:val="%2."/>
      <w:lvlJc w:val="left"/>
      <w:pPr>
        <w:ind w:left="1440" w:hanging="360"/>
      </w:pPr>
      <w:rPr>
        <w:b w:val="0"/>
        <w:bCs w:val="0"/>
      </w:rPr>
    </w:lvl>
    <w:lvl w:ilvl="2" w:tplc="FFFFFFFF">
      <w:start w:val="1"/>
      <w:numFmt w:val="lowerRoman"/>
      <w:lvlText w:val="%3."/>
      <w:lvlJc w:val="right"/>
      <w:pPr>
        <w:ind w:left="1740" w:hanging="180"/>
      </w:pPr>
      <w:rPr>
        <w:rFonts w:asciiTheme="minorHAnsi" w:hAnsiTheme="minorHAnsi" w:hint="default"/>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6D76BD9"/>
    <w:multiLevelType w:val="multilevel"/>
    <w:tmpl w:val="3EEA2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7AA188A"/>
    <w:multiLevelType w:val="hybridMultilevel"/>
    <w:tmpl w:val="44B2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4" w15:restartNumberingAfterBreak="0">
    <w:nsid w:val="48A64CF7"/>
    <w:multiLevelType w:val="multilevel"/>
    <w:tmpl w:val="D3423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8E425E8"/>
    <w:multiLevelType w:val="hybridMultilevel"/>
    <w:tmpl w:val="7B0CF9BC"/>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496038FD"/>
    <w:multiLevelType w:val="hybridMultilevel"/>
    <w:tmpl w:val="F2CAE6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7" w15:restartNumberingAfterBreak="0">
    <w:nsid w:val="497023BB"/>
    <w:multiLevelType w:val="hybridMultilevel"/>
    <w:tmpl w:val="CFD4A4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8" w15:restartNumberingAfterBreak="0">
    <w:nsid w:val="4CB6383D"/>
    <w:multiLevelType w:val="hybridMultilevel"/>
    <w:tmpl w:val="9C24B2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9" w15:restartNumberingAfterBreak="0">
    <w:nsid w:val="4D9E6ABE"/>
    <w:multiLevelType w:val="hybridMultilevel"/>
    <w:tmpl w:val="BA08504E"/>
    <w:lvl w:ilvl="0" w:tplc="041D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DD81EC2"/>
    <w:multiLevelType w:val="hybridMultilevel"/>
    <w:tmpl w:val="47561D16"/>
    <w:lvl w:ilvl="0" w:tplc="500AF832">
      <w:start w:val="1"/>
      <w:numFmt w:val="bullet"/>
      <w:lvlText w:val=""/>
      <w:lvlJc w:val="left"/>
      <w:pPr>
        <w:ind w:left="720" w:hanging="360"/>
      </w:pPr>
      <w:rPr>
        <w:rFonts w:ascii="Symbol" w:hAnsi="Symbol" w:hint="default"/>
      </w:rPr>
    </w:lvl>
    <w:lvl w:ilvl="1" w:tplc="4E3828E2">
      <w:start w:val="1"/>
      <w:numFmt w:val="bullet"/>
      <w:lvlText w:val="o"/>
      <w:lvlJc w:val="left"/>
      <w:pPr>
        <w:ind w:left="1440" w:hanging="360"/>
      </w:pPr>
      <w:rPr>
        <w:rFonts w:ascii="Courier New" w:hAnsi="Courier New" w:hint="default"/>
      </w:rPr>
    </w:lvl>
    <w:lvl w:ilvl="2" w:tplc="E9D89B76">
      <w:start w:val="1"/>
      <w:numFmt w:val="bullet"/>
      <w:lvlText w:val=""/>
      <w:lvlJc w:val="left"/>
      <w:pPr>
        <w:ind w:left="2160" w:hanging="360"/>
      </w:pPr>
      <w:rPr>
        <w:rFonts w:ascii="Wingdings" w:hAnsi="Wingdings" w:hint="default"/>
      </w:rPr>
    </w:lvl>
    <w:lvl w:ilvl="3" w:tplc="87EA8BE8">
      <w:start w:val="1"/>
      <w:numFmt w:val="bullet"/>
      <w:lvlText w:val=""/>
      <w:lvlJc w:val="left"/>
      <w:pPr>
        <w:ind w:left="2880" w:hanging="360"/>
      </w:pPr>
      <w:rPr>
        <w:rFonts w:ascii="Symbol" w:hAnsi="Symbol" w:hint="default"/>
      </w:rPr>
    </w:lvl>
    <w:lvl w:ilvl="4" w:tplc="B260A61E">
      <w:start w:val="1"/>
      <w:numFmt w:val="bullet"/>
      <w:lvlText w:val="o"/>
      <w:lvlJc w:val="left"/>
      <w:pPr>
        <w:ind w:left="3600" w:hanging="360"/>
      </w:pPr>
      <w:rPr>
        <w:rFonts w:ascii="Courier New" w:hAnsi="Courier New" w:hint="default"/>
      </w:rPr>
    </w:lvl>
    <w:lvl w:ilvl="5" w:tplc="62A4C02C">
      <w:start w:val="1"/>
      <w:numFmt w:val="bullet"/>
      <w:lvlText w:val=""/>
      <w:lvlJc w:val="left"/>
      <w:pPr>
        <w:ind w:left="4320" w:hanging="360"/>
      </w:pPr>
      <w:rPr>
        <w:rFonts w:ascii="Wingdings" w:hAnsi="Wingdings" w:hint="default"/>
      </w:rPr>
    </w:lvl>
    <w:lvl w:ilvl="6" w:tplc="0C7AE104">
      <w:start w:val="1"/>
      <w:numFmt w:val="bullet"/>
      <w:lvlText w:val=""/>
      <w:lvlJc w:val="left"/>
      <w:pPr>
        <w:ind w:left="5040" w:hanging="360"/>
      </w:pPr>
      <w:rPr>
        <w:rFonts w:ascii="Symbol" w:hAnsi="Symbol" w:hint="default"/>
      </w:rPr>
    </w:lvl>
    <w:lvl w:ilvl="7" w:tplc="179401A4">
      <w:start w:val="1"/>
      <w:numFmt w:val="bullet"/>
      <w:lvlText w:val="o"/>
      <w:lvlJc w:val="left"/>
      <w:pPr>
        <w:ind w:left="5760" w:hanging="360"/>
      </w:pPr>
      <w:rPr>
        <w:rFonts w:ascii="Courier New" w:hAnsi="Courier New" w:hint="default"/>
      </w:rPr>
    </w:lvl>
    <w:lvl w:ilvl="8" w:tplc="3BBAC29C">
      <w:start w:val="1"/>
      <w:numFmt w:val="bullet"/>
      <w:lvlText w:val=""/>
      <w:lvlJc w:val="left"/>
      <w:pPr>
        <w:ind w:left="6480" w:hanging="360"/>
      </w:pPr>
      <w:rPr>
        <w:rFonts w:ascii="Wingdings" w:hAnsi="Wingdings" w:hint="default"/>
      </w:rPr>
    </w:lvl>
  </w:abstractNum>
  <w:abstractNum w:abstractNumId="81" w15:restartNumberingAfterBreak="0">
    <w:nsid w:val="4F7E4903"/>
    <w:multiLevelType w:val="hybridMultilevel"/>
    <w:tmpl w:val="C9987E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2"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3" w15:restartNumberingAfterBreak="0">
    <w:nsid w:val="506E544A"/>
    <w:multiLevelType w:val="hybridMultilevel"/>
    <w:tmpl w:val="C980EF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4" w15:restartNumberingAfterBreak="0">
    <w:nsid w:val="50E47D0D"/>
    <w:multiLevelType w:val="hybridMultilevel"/>
    <w:tmpl w:val="884A0B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14D404C"/>
    <w:multiLevelType w:val="hybridMultilevel"/>
    <w:tmpl w:val="D30270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6" w15:restartNumberingAfterBreak="0">
    <w:nsid w:val="51FA1CD3"/>
    <w:multiLevelType w:val="hybridMultilevel"/>
    <w:tmpl w:val="E1B433C6"/>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7" w15:restartNumberingAfterBreak="0">
    <w:nsid w:val="52A305EA"/>
    <w:multiLevelType w:val="hybridMultilevel"/>
    <w:tmpl w:val="5A827F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8" w15:restartNumberingAfterBreak="0">
    <w:nsid w:val="52E448FE"/>
    <w:multiLevelType w:val="hybridMultilevel"/>
    <w:tmpl w:val="0136E7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9" w15:restartNumberingAfterBreak="0">
    <w:nsid w:val="550F7588"/>
    <w:multiLevelType w:val="multilevel"/>
    <w:tmpl w:val="73FE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56A114C"/>
    <w:multiLevelType w:val="multilevel"/>
    <w:tmpl w:val="35EE41CE"/>
    <w:lvl w:ilvl="0">
      <w:start w:val="1"/>
      <w:numFmt w:val="decimal"/>
      <w:lvlText w:val="%1."/>
      <w:lvlJc w:val="left"/>
      <w:pPr>
        <w:tabs>
          <w:tab w:val="num" w:pos="720"/>
        </w:tabs>
        <w:ind w:left="720" w:hanging="360"/>
      </w:pPr>
      <w:rPr>
        <w:rFonts w:ascii="Garamond" w:eastAsia="Times New Roman" w:hAnsi="Garamond"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5FF52D4"/>
    <w:multiLevelType w:val="hybridMultilevel"/>
    <w:tmpl w:val="9FDAE1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2" w15:restartNumberingAfterBreak="0">
    <w:nsid w:val="56D31E45"/>
    <w:multiLevelType w:val="hybridMultilevel"/>
    <w:tmpl w:val="D4AEC3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3" w15:restartNumberingAfterBreak="0">
    <w:nsid w:val="56DF0374"/>
    <w:multiLevelType w:val="multilevel"/>
    <w:tmpl w:val="FB8A967A"/>
    <w:lvl w:ilvl="0">
      <w:start w:val="1"/>
      <w:numFmt w:val="decimal"/>
      <w:lvlText w:val="%1."/>
      <w:lvlJc w:val="left"/>
      <w:pPr>
        <w:tabs>
          <w:tab w:val="num" w:pos="1440"/>
        </w:tabs>
        <w:ind w:left="1440" w:hanging="360"/>
      </w:pPr>
      <w:rPr>
        <w:b w:val="0"/>
        <w:bCs w:val="0"/>
      </w:rPr>
    </w:lvl>
    <w:lvl w:ilvl="1">
      <w:start w:val="1"/>
      <w:numFmt w:val="lowerLetter"/>
      <w:lvlText w:val="%2)"/>
      <w:lvlJc w:val="left"/>
      <w:pPr>
        <w:ind w:left="2160" w:hanging="360"/>
      </w:pPr>
      <w:rPr>
        <w:b w:val="0"/>
        <w:bCs w:val="0"/>
        <w:color w:val="000000" w:themeColor="text1"/>
      </w:rPr>
    </w:lvl>
    <w:lvl w:ilvl="2">
      <w:start w:val="1"/>
      <w:numFmt w:val="decimal"/>
      <w:lvlText w:val="%3."/>
      <w:lvlJc w:val="left"/>
      <w:pPr>
        <w:tabs>
          <w:tab w:val="num" w:pos="2880"/>
        </w:tabs>
        <w:ind w:left="2880" w:hanging="360"/>
      </w:pPr>
      <w:rPr>
        <w:color w:val="000000" w:themeColor="text1"/>
      </w:rPr>
    </w:lvl>
    <w:lvl w:ilvl="3">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94" w15:restartNumberingAfterBreak="0">
    <w:nsid w:val="58613E6E"/>
    <w:multiLevelType w:val="hybridMultilevel"/>
    <w:tmpl w:val="A8180B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5" w15:restartNumberingAfterBreak="0">
    <w:nsid w:val="59CE6C4F"/>
    <w:multiLevelType w:val="hybridMultilevel"/>
    <w:tmpl w:val="116C9914"/>
    <w:lvl w:ilvl="0" w:tplc="945CF6E4">
      <w:start w:val="1"/>
      <w:numFmt w:val="bullet"/>
      <w:lvlText w:val="-"/>
      <w:lvlJc w:val="left"/>
      <w:pPr>
        <w:ind w:left="720" w:hanging="360"/>
      </w:pPr>
      <w:rPr>
        <w:rFonts w:ascii="Garamond" w:eastAsiaTheme="minorHAns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6" w15:restartNumberingAfterBreak="0">
    <w:nsid w:val="5BE52F5B"/>
    <w:multiLevelType w:val="hybridMultilevel"/>
    <w:tmpl w:val="E9EA4C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7" w15:restartNumberingAfterBreak="0">
    <w:nsid w:val="5C74082F"/>
    <w:multiLevelType w:val="hybridMultilevel"/>
    <w:tmpl w:val="B5143B36"/>
    <w:lvl w:ilvl="0" w:tplc="EEE21180">
      <w:start w:val="1"/>
      <w:numFmt w:val="decimal"/>
      <w:lvlText w:val="%1."/>
      <w:lvlJc w:val="left"/>
      <w:pPr>
        <w:ind w:left="720" w:hanging="360"/>
      </w:pPr>
      <w:rPr>
        <w:rFonts w:ascii="Garamond" w:eastAsia="Times New Roman" w:hAnsi="Garamond" w:cs="Arial"/>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8" w15:restartNumberingAfterBreak="0">
    <w:nsid w:val="5C946E04"/>
    <w:multiLevelType w:val="hybridMultilevel"/>
    <w:tmpl w:val="C8B0C52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9" w15:restartNumberingAfterBreak="0">
    <w:nsid w:val="5CA85956"/>
    <w:multiLevelType w:val="multilevel"/>
    <w:tmpl w:val="FB8A967A"/>
    <w:lvl w:ilvl="0">
      <w:start w:val="1"/>
      <w:numFmt w:val="decimal"/>
      <w:lvlText w:val="%1."/>
      <w:lvlJc w:val="left"/>
      <w:pPr>
        <w:tabs>
          <w:tab w:val="num" w:pos="1440"/>
        </w:tabs>
        <w:ind w:left="1440" w:hanging="360"/>
      </w:pPr>
      <w:rPr>
        <w:b w:val="0"/>
        <w:bCs w:val="0"/>
      </w:rPr>
    </w:lvl>
    <w:lvl w:ilvl="1">
      <w:start w:val="1"/>
      <w:numFmt w:val="lowerLetter"/>
      <w:lvlText w:val="%2)"/>
      <w:lvlJc w:val="left"/>
      <w:pPr>
        <w:ind w:left="2160" w:hanging="360"/>
      </w:pPr>
      <w:rPr>
        <w:b w:val="0"/>
        <w:bCs w:val="0"/>
        <w:color w:val="000000" w:themeColor="text1"/>
      </w:rPr>
    </w:lvl>
    <w:lvl w:ilvl="2">
      <w:start w:val="1"/>
      <w:numFmt w:val="decimal"/>
      <w:lvlText w:val="%3."/>
      <w:lvlJc w:val="left"/>
      <w:pPr>
        <w:tabs>
          <w:tab w:val="num" w:pos="2880"/>
        </w:tabs>
        <w:ind w:left="2880" w:hanging="360"/>
      </w:pPr>
      <w:rPr>
        <w:color w:val="000000" w:themeColor="text1"/>
      </w:rPr>
    </w:lvl>
    <w:lvl w:ilvl="3">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00" w15:restartNumberingAfterBreak="0">
    <w:nsid w:val="5D4B440B"/>
    <w:multiLevelType w:val="hybridMultilevel"/>
    <w:tmpl w:val="90CE9F3A"/>
    <w:lvl w:ilvl="0" w:tplc="FDCC473A">
      <w:start w:val="1"/>
      <w:numFmt w:val="decimal"/>
      <w:lvlText w:val="%1."/>
      <w:lvlJc w:val="left"/>
      <w:pPr>
        <w:ind w:left="720" w:hanging="360"/>
      </w:pPr>
      <w:rPr>
        <w:rFonts w:asciiTheme="minorHAnsi" w:eastAsiaTheme="minorHAnsi" w:hAnsiTheme="minorHAns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E23383E"/>
    <w:multiLevelType w:val="multilevel"/>
    <w:tmpl w:val="A2EE12FC"/>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FA91AC3"/>
    <w:multiLevelType w:val="hybridMultilevel"/>
    <w:tmpl w:val="677A3FE0"/>
    <w:lvl w:ilvl="0" w:tplc="2676D492">
      <w:start w:val="1"/>
      <w:numFmt w:val="lowerLetter"/>
      <w:lvlText w:val="%1)"/>
      <w:lvlJc w:val="left"/>
      <w:pPr>
        <w:ind w:left="2880" w:hanging="360"/>
      </w:pPr>
      <w:rPr>
        <w:rFonts w:asciiTheme="minorHAnsi" w:eastAsia="Times New Roman" w:hAnsiTheme="minorHAnsi" w:cs="Calibri"/>
      </w:rPr>
    </w:lvl>
    <w:lvl w:ilvl="1" w:tplc="779C0098">
      <w:start w:val="1"/>
      <w:numFmt w:val="decimal"/>
      <w:lvlText w:val="%2."/>
      <w:lvlJc w:val="left"/>
      <w:pPr>
        <w:ind w:left="3600" w:hanging="360"/>
      </w:pPr>
      <w:rPr>
        <w:rFonts w:asciiTheme="minorHAnsi" w:eastAsia="Times New Roman" w:hAnsiTheme="minorHAnsi" w:cs="Times New Roman"/>
      </w:rPr>
    </w:lvl>
    <w:lvl w:ilvl="2" w:tplc="041D001B">
      <w:start w:val="1"/>
      <w:numFmt w:val="lowerRoman"/>
      <w:lvlText w:val="%3."/>
      <w:lvlJc w:val="right"/>
      <w:pPr>
        <w:ind w:left="4320" w:hanging="180"/>
      </w:pPr>
    </w:lvl>
    <w:lvl w:ilvl="3" w:tplc="041D000F">
      <w:start w:val="1"/>
      <w:numFmt w:val="decimal"/>
      <w:lvlText w:val="%4."/>
      <w:lvlJc w:val="left"/>
      <w:pPr>
        <w:ind w:left="5040" w:hanging="360"/>
      </w:pPr>
    </w:lvl>
    <w:lvl w:ilvl="4" w:tplc="F62CA2AC">
      <w:start w:val="1"/>
      <w:numFmt w:val="decimal"/>
      <w:lvlText w:val="%5)"/>
      <w:lvlJc w:val="left"/>
      <w:pPr>
        <w:ind w:left="5760" w:hanging="360"/>
      </w:pPr>
      <w:rPr>
        <w:rFonts w:hint="default"/>
      </w:rPr>
    </w:lvl>
    <w:lvl w:ilvl="5" w:tplc="041D001B" w:tentative="1">
      <w:start w:val="1"/>
      <w:numFmt w:val="lowerRoman"/>
      <w:lvlText w:val="%6."/>
      <w:lvlJc w:val="right"/>
      <w:pPr>
        <w:ind w:left="6480" w:hanging="180"/>
      </w:pPr>
    </w:lvl>
    <w:lvl w:ilvl="6" w:tplc="041D000F" w:tentative="1">
      <w:start w:val="1"/>
      <w:numFmt w:val="decimal"/>
      <w:lvlText w:val="%7."/>
      <w:lvlJc w:val="left"/>
      <w:pPr>
        <w:ind w:left="7200" w:hanging="360"/>
      </w:pPr>
    </w:lvl>
    <w:lvl w:ilvl="7" w:tplc="041D0019" w:tentative="1">
      <w:start w:val="1"/>
      <w:numFmt w:val="lowerLetter"/>
      <w:lvlText w:val="%8."/>
      <w:lvlJc w:val="left"/>
      <w:pPr>
        <w:ind w:left="7920" w:hanging="360"/>
      </w:pPr>
    </w:lvl>
    <w:lvl w:ilvl="8" w:tplc="041D001B" w:tentative="1">
      <w:start w:val="1"/>
      <w:numFmt w:val="lowerRoman"/>
      <w:lvlText w:val="%9."/>
      <w:lvlJc w:val="right"/>
      <w:pPr>
        <w:ind w:left="8640" w:hanging="180"/>
      </w:pPr>
    </w:lvl>
  </w:abstractNum>
  <w:abstractNum w:abstractNumId="103" w15:restartNumberingAfterBreak="0">
    <w:nsid w:val="60167181"/>
    <w:multiLevelType w:val="hybridMultilevel"/>
    <w:tmpl w:val="FD2E60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01C5DD1"/>
    <w:multiLevelType w:val="hybridMultilevel"/>
    <w:tmpl w:val="B5143B36"/>
    <w:lvl w:ilvl="0" w:tplc="EEE21180">
      <w:start w:val="1"/>
      <w:numFmt w:val="decimal"/>
      <w:lvlText w:val="%1."/>
      <w:lvlJc w:val="left"/>
      <w:pPr>
        <w:ind w:left="720" w:hanging="360"/>
      </w:pPr>
      <w:rPr>
        <w:rFonts w:ascii="Garamond" w:eastAsia="Times New Roman" w:hAnsi="Garamond" w:cs="Arial"/>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5" w15:restartNumberingAfterBreak="0">
    <w:nsid w:val="60A86699"/>
    <w:multiLevelType w:val="multilevel"/>
    <w:tmpl w:val="869C8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0F55D06"/>
    <w:multiLevelType w:val="hybridMultilevel"/>
    <w:tmpl w:val="FF96C712"/>
    <w:lvl w:ilvl="0" w:tplc="0AB2A636">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7" w15:restartNumberingAfterBreak="0">
    <w:nsid w:val="60F60C1C"/>
    <w:multiLevelType w:val="multilevel"/>
    <w:tmpl w:val="06F8DA0C"/>
    <w:numStyleLink w:val="CompanyList"/>
  </w:abstractNum>
  <w:abstractNum w:abstractNumId="108" w15:restartNumberingAfterBreak="0">
    <w:nsid w:val="61B10837"/>
    <w:multiLevelType w:val="hybridMultilevel"/>
    <w:tmpl w:val="C7B4D21E"/>
    <w:lvl w:ilvl="0" w:tplc="2870DC94">
      <w:start w:val="1"/>
      <w:numFmt w:val="bullet"/>
      <w:lvlText w:val=""/>
      <w:lvlJc w:val="left"/>
      <w:pPr>
        <w:ind w:left="720" w:hanging="360"/>
      </w:pPr>
      <w:rPr>
        <w:rFonts w:ascii="Symbol" w:hAnsi="Symbo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61BE0470"/>
    <w:multiLevelType w:val="hybridMultilevel"/>
    <w:tmpl w:val="D0DAE4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0" w15:restartNumberingAfterBreak="0">
    <w:nsid w:val="63032C0C"/>
    <w:multiLevelType w:val="hybridMultilevel"/>
    <w:tmpl w:val="27EA84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1" w15:restartNumberingAfterBreak="0">
    <w:nsid w:val="63D10877"/>
    <w:multiLevelType w:val="hybridMultilevel"/>
    <w:tmpl w:val="D26ABEF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2" w15:restartNumberingAfterBreak="0">
    <w:nsid w:val="644732E7"/>
    <w:multiLevelType w:val="hybridMultilevel"/>
    <w:tmpl w:val="E8A252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3" w15:restartNumberingAfterBreak="0">
    <w:nsid w:val="653567D4"/>
    <w:multiLevelType w:val="hybridMultilevel"/>
    <w:tmpl w:val="ED600F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4" w15:restartNumberingAfterBreak="0">
    <w:nsid w:val="67143404"/>
    <w:multiLevelType w:val="hybridMultilevel"/>
    <w:tmpl w:val="7B0278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5" w15:restartNumberingAfterBreak="0">
    <w:nsid w:val="683A3B20"/>
    <w:multiLevelType w:val="hybridMultilevel"/>
    <w:tmpl w:val="A06E12FA"/>
    <w:lvl w:ilvl="0" w:tplc="819A859C">
      <w:start w:val="1"/>
      <w:numFmt w:val="decimal"/>
      <w:lvlText w:val="%1."/>
      <w:lvlJc w:val="left"/>
      <w:pPr>
        <w:ind w:left="720" w:hanging="360"/>
      </w:pPr>
      <w:rPr>
        <w:color w:val="auto"/>
      </w:rPr>
    </w:lvl>
    <w:lvl w:ilvl="1" w:tplc="753861BE">
      <w:start w:val="1"/>
      <w:numFmt w:val="lowerLetter"/>
      <w:lvlText w:val="%2)"/>
      <w:lvlJc w:val="left"/>
      <w:pPr>
        <w:ind w:left="1440" w:hanging="360"/>
      </w:pPr>
      <w:rPr>
        <w:rFonts w:asciiTheme="minorHAnsi" w:eastAsiaTheme="minorHAnsi" w:hAnsiTheme="minorHAnsi" w:cstheme="minorBidi"/>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6" w15:restartNumberingAfterBreak="0">
    <w:nsid w:val="684A31F8"/>
    <w:multiLevelType w:val="hybridMultilevel"/>
    <w:tmpl w:val="59EC3F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7" w15:restartNumberingAfterBreak="0">
    <w:nsid w:val="6A6A400A"/>
    <w:multiLevelType w:val="hybridMultilevel"/>
    <w:tmpl w:val="B04E4290"/>
    <w:lvl w:ilvl="0" w:tplc="13E21BCE">
      <w:start w:val="1"/>
      <w:numFmt w:val="decimal"/>
      <w:lvlText w:val="%1."/>
      <w:lvlJc w:val="left"/>
      <w:pPr>
        <w:ind w:left="420" w:hanging="360"/>
      </w:pPr>
      <w:rPr>
        <w:rFonts w:asciiTheme="minorHAnsi" w:eastAsiaTheme="minorHAnsi" w:hAnsiTheme="minorHAnsi" w:cs="Calibri" w:hint="default"/>
        <w:b w:val="0"/>
        <w:bCs w:val="0"/>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18" w15:restartNumberingAfterBreak="0">
    <w:nsid w:val="6B60125B"/>
    <w:multiLevelType w:val="hybridMultilevel"/>
    <w:tmpl w:val="9F76FC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9" w15:restartNumberingAfterBreak="0">
    <w:nsid w:val="6C153A9B"/>
    <w:multiLevelType w:val="hybridMultilevel"/>
    <w:tmpl w:val="2506C4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0" w15:restartNumberingAfterBreak="0">
    <w:nsid w:val="6C374A44"/>
    <w:multiLevelType w:val="hybridMultilevel"/>
    <w:tmpl w:val="D972A4F8"/>
    <w:lvl w:ilvl="0" w:tplc="0416220E">
      <w:start w:val="1"/>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1" w15:restartNumberingAfterBreak="0">
    <w:nsid w:val="6E1A2E51"/>
    <w:multiLevelType w:val="multilevel"/>
    <w:tmpl w:val="06F8DA0C"/>
    <w:styleLink w:val="CompanyList"/>
    <w:lvl w:ilvl="0">
      <w:start w:val="1"/>
      <w:numFmt w:val="decimal"/>
      <w:lvlRestart w:val="0"/>
      <w:pStyle w:val="Lista-Nummer"/>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122" w15:restartNumberingAfterBreak="0">
    <w:nsid w:val="6E521E48"/>
    <w:multiLevelType w:val="multilevel"/>
    <w:tmpl w:val="D324B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E9112AE"/>
    <w:multiLevelType w:val="multilevel"/>
    <w:tmpl w:val="B0FC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2FF67C2"/>
    <w:multiLevelType w:val="hybridMultilevel"/>
    <w:tmpl w:val="B5FCFFFC"/>
    <w:lvl w:ilvl="0" w:tplc="A2144816">
      <w:start w:val="1"/>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5" w15:restartNumberingAfterBreak="0">
    <w:nsid w:val="74BE7721"/>
    <w:multiLevelType w:val="hybridMultilevel"/>
    <w:tmpl w:val="9D7E89A0"/>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777764C6"/>
    <w:multiLevelType w:val="hybridMultilevel"/>
    <w:tmpl w:val="F6CA292A"/>
    <w:lvl w:ilvl="0" w:tplc="657A5658">
      <w:start w:val="1"/>
      <w:numFmt w:val="bullet"/>
      <w:lvlText w:val=""/>
      <w:lvlJc w:val="left"/>
      <w:pPr>
        <w:ind w:left="720" w:hanging="360"/>
      </w:pPr>
      <w:rPr>
        <w:rFonts w:ascii="Symbol" w:hAnsi="Symbol" w:hint="default"/>
        <w:sz w:val="1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7" w15:restartNumberingAfterBreak="0">
    <w:nsid w:val="77CB6BE2"/>
    <w:multiLevelType w:val="multilevel"/>
    <w:tmpl w:val="4E9ACF44"/>
    <w:lvl w:ilvl="0">
      <w:start w:val="1"/>
      <w:numFmt w:val="decimal"/>
      <w:lvlText w:val="%1."/>
      <w:lvlJc w:val="left"/>
      <w:pPr>
        <w:tabs>
          <w:tab w:val="num" w:pos="1440"/>
        </w:tabs>
        <w:ind w:left="1440" w:hanging="360"/>
      </w:pPr>
      <w:rPr>
        <w:b w:val="0"/>
        <w:bCs w:val="0"/>
      </w:rPr>
    </w:lvl>
    <w:lvl w:ilvl="1">
      <w:start w:val="1"/>
      <w:numFmt w:val="lowerLetter"/>
      <w:lvlText w:val="%2)"/>
      <w:lvlJc w:val="left"/>
      <w:pPr>
        <w:ind w:left="2160" w:hanging="360"/>
      </w:pPr>
      <w:rPr>
        <w:b w:val="0"/>
        <w:bCs w:val="0"/>
        <w:color w:val="000000" w:themeColor="text1"/>
      </w:rPr>
    </w:lvl>
    <w:lvl w:ilvl="2">
      <w:start w:val="1"/>
      <w:numFmt w:val="decimal"/>
      <w:lvlText w:val="%3."/>
      <w:lvlJc w:val="left"/>
      <w:pPr>
        <w:tabs>
          <w:tab w:val="num" w:pos="2880"/>
        </w:tabs>
        <w:ind w:left="2880" w:hanging="360"/>
      </w:pPr>
      <w:rPr>
        <w:color w:val="000000" w:themeColor="text1"/>
      </w:rPr>
    </w:lvl>
    <w:lvl w:ilvl="3">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8" w15:restartNumberingAfterBreak="0">
    <w:nsid w:val="79DB09A0"/>
    <w:multiLevelType w:val="hybridMultilevel"/>
    <w:tmpl w:val="D7767A48"/>
    <w:lvl w:ilvl="0" w:tplc="90544C4A">
      <w:start w:val="4"/>
      <w:numFmt w:val="bullet"/>
      <w:lvlText w:val="-"/>
      <w:lvlJc w:val="left"/>
      <w:pPr>
        <w:ind w:left="720" w:hanging="360"/>
      </w:pPr>
      <w:rPr>
        <w:rFonts w:ascii="Segoe UI Symbol" w:eastAsia="Garamond" w:hAnsi="Segoe UI 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9" w15:restartNumberingAfterBreak="0">
    <w:nsid w:val="7A2E09EC"/>
    <w:multiLevelType w:val="multilevel"/>
    <w:tmpl w:val="0A6C2F74"/>
    <w:lvl w:ilvl="0">
      <w:start w:val="1"/>
      <w:numFmt w:val="decimal"/>
      <w:lvlText w:val="%1."/>
      <w:lvlJc w:val="left"/>
      <w:pPr>
        <w:tabs>
          <w:tab w:val="num" w:pos="720"/>
        </w:tabs>
        <w:ind w:left="720" w:hanging="360"/>
      </w:pPr>
      <w:rPr>
        <w:rFonts w:asciiTheme="minorHAnsi" w:hAnsiTheme="minorHAnsi" w:hint="default"/>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tabs>
          <w:tab w:val="num" w:pos="2160"/>
        </w:tabs>
        <w:ind w:left="2160" w:hanging="360"/>
      </w:pPr>
      <w:rPr>
        <w:b w:val="0"/>
        <w:bCs/>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A974584"/>
    <w:multiLevelType w:val="multilevel"/>
    <w:tmpl w:val="46E415C6"/>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360"/>
      </w:pPr>
      <w:rPr>
        <w:rFonts w:hint="default"/>
        <w:sz w:val="20"/>
      </w:rPr>
    </w:lvl>
    <w:lvl w:ilvl="3">
      <w:start w:val="1"/>
      <w:numFmt w:val="decimal"/>
      <w:lvlText w:val="%4."/>
      <w:lvlJc w:val="left"/>
      <w:pPr>
        <w:tabs>
          <w:tab w:val="num" w:pos="2880"/>
        </w:tabs>
        <w:ind w:left="2880" w:hanging="360"/>
      </w:pPr>
      <w:rPr>
        <w:rFonts w:hint="default"/>
        <w:sz w:val="20"/>
      </w:rPr>
    </w:lvl>
    <w:lvl w:ilvl="4">
      <w:start w:val="1"/>
      <w:numFmt w:val="decimal"/>
      <w:lvlText w:val="%5)"/>
      <w:lvlJc w:val="left"/>
      <w:pPr>
        <w:ind w:left="3600" w:hanging="360"/>
      </w:pPr>
      <w:rPr>
        <w:rFonts w:ascii="Times New Roman" w:hAnsi="Times New Roman" w:cs="Times New Roman" w:hint="default"/>
        <w:b w:val="0"/>
        <w:color w:val="auto"/>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31" w15:restartNumberingAfterBreak="0">
    <w:nsid w:val="7AB133FE"/>
    <w:multiLevelType w:val="hybridMultilevel"/>
    <w:tmpl w:val="F650F95A"/>
    <w:lvl w:ilvl="0" w:tplc="83C22FCC">
      <w:numFmt w:val="bullet"/>
      <w:lvlText w:val="-"/>
      <w:lvlJc w:val="left"/>
      <w:pPr>
        <w:ind w:left="720" w:hanging="360"/>
      </w:pPr>
      <w:rPr>
        <w:rFonts w:ascii="Garamond" w:eastAsiaTheme="minorHAnsi" w:hAnsi="Garamond"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2"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133" w15:restartNumberingAfterBreak="0">
    <w:nsid w:val="7B88646F"/>
    <w:multiLevelType w:val="hybridMultilevel"/>
    <w:tmpl w:val="6E3A3AEA"/>
    <w:lvl w:ilvl="0" w:tplc="041D0019">
      <w:start w:val="1"/>
      <w:numFmt w:val="lowerLetter"/>
      <w:lvlText w:val="%1."/>
      <w:lvlJc w:val="left"/>
      <w:pPr>
        <w:ind w:left="2968" w:hanging="360"/>
      </w:pPr>
    </w:lvl>
    <w:lvl w:ilvl="1" w:tplc="6C14CED2">
      <w:start w:val="1"/>
      <w:numFmt w:val="decimal"/>
      <w:lvlText w:val="%2."/>
      <w:lvlJc w:val="left"/>
      <w:pPr>
        <w:ind w:left="3688" w:hanging="360"/>
      </w:pPr>
      <w:rPr>
        <w:rFonts w:asciiTheme="minorHAnsi" w:eastAsia="Times New Roman" w:hAnsiTheme="minorHAnsi" w:cs="Times New Roman"/>
      </w:rPr>
    </w:lvl>
    <w:lvl w:ilvl="2" w:tplc="041D001B" w:tentative="1">
      <w:start w:val="1"/>
      <w:numFmt w:val="lowerRoman"/>
      <w:lvlText w:val="%3."/>
      <w:lvlJc w:val="right"/>
      <w:pPr>
        <w:ind w:left="4408" w:hanging="180"/>
      </w:pPr>
    </w:lvl>
    <w:lvl w:ilvl="3" w:tplc="041D000F" w:tentative="1">
      <w:start w:val="1"/>
      <w:numFmt w:val="decimal"/>
      <w:lvlText w:val="%4."/>
      <w:lvlJc w:val="left"/>
      <w:pPr>
        <w:ind w:left="5128" w:hanging="360"/>
      </w:pPr>
    </w:lvl>
    <w:lvl w:ilvl="4" w:tplc="041D0019" w:tentative="1">
      <w:start w:val="1"/>
      <w:numFmt w:val="lowerLetter"/>
      <w:lvlText w:val="%5."/>
      <w:lvlJc w:val="left"/>
      <w:pPr>
        <w:ind w:left="5848" w:hanging="360"/>
      </w:pPr>
    </w:lvl>
    <w:lvl w:ilvl="5" w:tplc="041D001B" w:tentative="1">
      <w:start w:val="1"/>
      <w:numFmt w:val="lowerRoman"/>
      <w:lvlText w:val="%6."/>
      <w:lvlJc w:val="right"/>
      <w:pPr>
        <w:ind w:left="6568" w:hanging="180"/>
      </w:pPr>
    </w:lvl>
    <w:lvl w:ilvl="6" w:tplc="041D000F" w:tentative="1">
      <w:start w:val="1"/>
      <w:numFmt w:val="decimal"/>
      <w:lvlText w:val="%7."/>
      <w:lvlJc w:val="left"/>
      <w:pPr>
        <w:ind w:left="7288" w:hanging="360"/>
      </w:pPr>
    </w:lvl>
    <w:lvl w:ilvl="7" w:tplc="041D0019" w:tentative="1">
      <w:start w:val="1"/>
      <w:numFmt w:val="lowerLetter"/>
      <w:lvlText w:val="%8."/>
      <w:lvlJc w:val="left"/>
      <w:pPr>
        <w:ind w:left="8008" w:hanging="360"/>
      </w:pPr>
    </w:lvl>
    <w:lvl w:ilvl="8" w:tplc="041D001B" w:tentative="1">
      <w:start w:val="1"/>
      <w:numFmt w:val="lowerRoman"/>
      <w:lvlText w:val="%9."/>
      <w:lvlJc w:val="right"/>
      <w:pPr>
        <w:ind w:left="8728" w:hanging="180"/>
      </w:pPr>
    </w:lvl>
  </w:abstractNum>
  <w:abstractNum w:abstractNumId="134" w15:restartNumberingAfterBreak="0">
    <w:nsid w:val="7C5F1821"/>
    <w:multiLevelType w:val="hybridMultilevel"/>
    <w:tmpl w:val="A0D0E21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5" w15:restartNumberingAfterBreak="0">
    <w:nsid w:val="7C6C7DE4"/>
    <w:multiLevelType w:val="multilevel"/>
    <w:tmpl w:val="2C3A04BC"/>
    <w:lvl w:ilvl="0">
      <w:start w:val="1"/>
      <w:numFmt w:val="decimal"/>
      <w:lvlText w:val="%1."/>
      <w:lvlJc w:val="left"/>
      <w:pPr>
        <w:tabs>
          <w:tab w:val="num" w:pos="786"/>
        </w:tabs>
        <w:ind w:left="786" w:hanging="360"/>
      </w:pPr>
      <w:rPr>
        <w:b w:val="0"/>
        <w:bCs/>
      </w:rPr>
    </w:lvl>
    <w:lvl w:ilvl="1">
      <w:start w:val="1"/>
      <w:numFmt w:val="lowerLetter"/>
      <w:lvlText w:val="%2)"/>
      <w:lvlJc w:val="left"/>
      <w:pPr>
        <w:ind w:left="1440" w:hanging="360"/>
      </w:pPr>
      <w:rPr>
        <w:b w:val="0"/>
        <w:bCs w:val="0"/>
        <w:color w:val="000000" w:themeColor="text1"/>
      </w:rPr>
    </w:lvl>
    <w:lvl w:ilvl="2">
      <w:start w:val="1"/>
      <w:numFmt w:val="decimal"/>
      <w:lvlText w:val="%3."/>
      <w:lvlJc w:val="left"/>
      <w:pPr>
        <w:tabs>
          <w:tab w:val="num" w:pos="2160"/>
        </w:tabs>
        <w:ind w:left="2160" w:hanging="360"/>
      </w:pPr>
      <w:rPr>
        <w:b w:val="0"/>
        <w:bCs w:val="0"/>
        <w:color w:val="000000" w:themeColor="text1"/>
      </w:rPr>
    </w:lvl>
    <w:lvl w:ilvl="3">
      <w:start w:val="1"/>
      <w:numFmt w:val="decimal"/>
      <w:lvlText w:val="%4."/>
      <w:lvlJc w:val="left"/>
      <w:pPr>
        <w:tabs>
          <w:tab w:val="num" w:pos="2880"/>
        </w:tabs>
        <w:ind w:left="2880" w:hanging="360"/>
      </w:pPr>
      <w:rPr>
        <w:b w:val="0"/>
        <w:bCs w:val="0"/>
        <w:color w:val="000000" w:themeColor="text1"/>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D2B3C9C"/>
    <w:multiLevelType w:val="multilevel"/>
    <w:tmpl w:val="BA6E8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DFB6A46"/>
    <w:multiLevelType w:val="hybridMultilevel"/>
    <w:tmpl w:val="B46293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84384478">
    <w:abstractNumId w:val="3"/>
  </w:num>
  <w:num w:numId="2" w16cid:durableId="1394085157">
    <w:abstractNumId w:val="10"/>
  </w:num>
  <w:num w:numId="3" w16cid:durableId="1623224549">
    <w:abstractNumId w:val="47"/>
  </w:num>
  <w:num w:numId="4" w16cid:durableId="1610773194">
    <w:abstractNumId w:val="121"/>
  </w:num>
  <w:num w:numId="5" w16cid:durableId="924652215">
    <w:abstractNumId w:val="56"/>
  </w:num>
  <w:num w:numId="6" w16cid:durableId="1241522549">
    <w:abstractNumId w:val="0"/>
  </w:num>
  <w:num w:numId="7" w16cid:durableId="1776510283">
    <w:abstractNumId w:val="132"/>
  </w:num>
  <w:num w:numId="8" w16cid:durableId="1864975688">
    <w:abstractNumId w:val="107"/>
  </w:num>
  <w:num w:numId="9" w16cid:durableId="717894318">
    <w:abstractNumId w:val="44"/>
  </w:num>
  <w:num w:numId="10" w16cid:durableId="1285579668">
    <w:abstractNumId w:val="96"/>
  </w:num>
  <w:num w:numId="11" w16cid:durableId="1106580752">
    <w:abstractNumId w:val="137"/>
  </w:num>
  <w:num w:numId="12" w16cid:durableId="964194870">
    <w:abstractNumId w:val="85"/>
  </w:num>
  <w:num w:numId="13" w16cid:durableId="395665669">
    <w:abstractNumId w:val="15"/>
  </w:num>
  <w:num w:numId="14" w16cid:durableId="2095130808">
    <w:abstractNumId w:val="92"/>
  </w:num>
  <w:num w:numId="15" w16cid:durableId="1123573087">
    <w:abstractNumId w:val="57"/>
  </w:num>
  <w:num w:numId="16" w16cid:durableId="1643658299">
    <w:abstractNumId w:val="46"/>
  </w:num>
  <w:num w:numId="17" w16cid:durableId="417138119">
    <w:abstractNumId w:val="13"/>
  </w:num>
  <w:num w:numId="18" w16cid:durableId="313143760">
    <w:abstractNumId w:val="94"/>
  </w:num>
  <w:num w:numId="19" w16cid:durableId="1290627148">
    <w:abstractNumId w:val="20"/>
  </w:num>
  <w:num w:numId="20" w16cid:durableId="2014410376">
    <w:abstractNumId w:val="1"/>
  </w:num>
  <w:num w:numId="21" w16cid:durableId="267590807">
    <w:abstractNumId w:val="104"/>
  </w:num>
  <w:num w:numId="22" w16cid:durableId="382797317">
    <w:abstractNumId w:val="65"/>
  </w:num>
  <w:num w:numId="23" w16cid:durableId="1710646023">
    <w:abstractNumId w:val="55"/>
  </w:num>
  <w:num w:numId="24" w16cid:durableId="1904171702">
    <w:abstractNumId w:val="83"/>
  </w:num>
  <w:num w:numId="25" w16cid:durableId="293609931">
    <w:abstractNumId w:val="113"/>
  </w:num>
  <w:num w:numId="26" w16cid:durableId="717706131">
    <w:abstractNumId w:val="97"/>
  </w:num>
  <w:num w:numId="27" w16cid:durableId="194850200">
    <w:abstractNumId w:val="69"/>
  </w:num>
  <w:num w:numId="28" w16cid:durableId="1525557023">
    <w:abstractNumId w:val="29"/>
  </w:num>
  <w:num w:numId="29" w16cid:durableId="1270308499">
    <w:abstractNumId w:val="120"/>
  </w:num>
  <w:num w:numId="30" w16cid:durableId="1126653626">
    <w:abstractNumId w:val="111"/>
  </w:num>
  <w:num w:numId="31" w16cid:durableId="1096710006">
    <w:abstractNumId w:val="31"/>
  </w:num>
  <w:num w:numId="32" w16cid:durableId="405420201">
    <w:abstractNumId w:val="98"/>
  </w:num>
  <w:num w:numId="33" w16cid:durableId="788818256">
    <w:abstractNumId w:val="114"/>
  </w:num>
  <w:num w:numId="34" w16cid:durableId="78990044">
    <w:abstractNumId w:val="119"/>
  </w:num>
  <w:num w:numId="35" w16cid:durableId="246498639">
    <w:abstractNumId w:val="67"/>
  </w:num>
  <w:num w:numId="36" w16cid:durableId="932082872">
    <w:abstractNumId w:val="53"/>
  </w:num>
  <w:num w:numId="37" w16cid:durableId="415975547">
    <w:abstractNumId w:val="136"/>
  </w:num>
  <w:num w:numId="38" w16cid:durableId="1987707197">
    <w:abstractNumId w:val="77"/>
  </w:num>
  <w:num w:numId="39" w16cid:durableId="960038015">
    <w:abstractNumId w:val="16"/>
  </w:num>
  <w:num w:numId="40" w16cid:durableId="994839671">
    <w:abstractNumId w:val="14"/>
  </w:num>
  <w:num w:numId="41" w16cid:durableId="183448054">
    <w:abstractNumId w:val="62"/>
  </w:num>
  <w:num w:numId="42" w16cid:durableId="1231118252">
    <w:abstractNumId w:val="36"/>
  </w:num>
  <w:num w:numId="43" w16cid:durableId="196897917">
    <w:abstractNumId w:val="73"/>
  </w:num>
  <w:num w:numId="44" w16cid:durableId="2069186881">
    <w:abstractNumId w:val="41"/>
  </w:num>
  <w:num w:numId="45" w16cid:durableId="900943850">
    <w:abstractNumId w:val="86"/>
  </w:num>
  <w:num w:numId="46" w16cid:durableId="946544780">
    <w:abstractNumId w:val="90"/>
  </w:num>
  <w:num w:numId="47" w16cid:durableId="1078091454">
    <w:abstractNumId w:val="25"/>
  </w:num>
  <w:num w:numId="48" w16cid:durableId="1876191137">
    <w:abstractNumId w:val="30"/>
  </w:num>
  <w:num w:numId="49" w16cid:durableId="680015092">
    <w:abstractNumId w:val="17"/>
  </w:num>
  <w:num w:numId="50" w16cid:durableId="904217272">
    <w:abstractNumId w:val="109"/>
  </w:num>
  <w:num w:numId="51" w16cid:durableId="558783323">
    <w:abstractNumId w:val="78"/>
  </w:num>
  <w:num w:numId="52" w16cid:durableId="549195290">
    <w:abstractNumId w:val="74"/>
  </w:num>
  <w:num w:numId="53" w16cid:durableId="83570444">
    <w:abstractNumId w:val="122"/>
  </w:num>
  <w:num w:numId="54" w16cid:durableId="627779229">
    <w:abstractNumId w:val="39"/>
  </w:num>
  <w:num w:numId="55" w16cid:durableId="205025546">
    <w:abstractNumId w:val="5"/>
  </w:num>
  <w:num w:numId="56" w16cid:durableId="1736049361">
    <w:abstractNumId w:val="72"/>
  </w:num>
  <w:num w:numId="57" w16cid:durableId="386806780">
    <w:abstractNumId w:val="28"/>
  </w:num>
  <w:num w:numId="58" w16cid:durableId="2037538389">
    <w:abstractNumId w:val="48"/>
  </w:num>
  <w:num w:numId="59" w16cid:durableId="68843126">
    <w:abstractNumId w:val="81"/>
  </w:num>
  <w:num w:numId="60" w16cid:durableId="1013801396">
    <w:abstractNumId w:val="105"/>
  </w:num>
  <w:num w:numId="61" w16cid:durableId="1998070680">
    <w:abstractNumId w:val="60"/>
  </w:num>
  <w:num w:numId="62" w16cid:durableId="1223442635">
    <w:abstractNumId w:val="68"/>
  </w:num>
  <w:num w:numId="63" w16cid:durableId="1995915388">
    <w:abstractNumId w:val="27"/>
  </w:num>
  <w:num w:numId="64" w16cid:durableId="333797846">
    <w:abstractNumId w:val="89"/>
  </w:num>
  <w:num w:numId="65" w16cid:durableId="751507669">
    <w:abstractNumId w:val="91"/>
  </w:num>
  <w:num w:numId="66" w16cid:durableId="485174211">
    <w:abstractNumId w:val="35"/>
  </w:num>
  <w:num w:numId="67" w16cid:durableId="1581719248">
    <w:abstractNumId w:val="106"/>
  </w:num>
  <w:num w:numId="68" w16cid:durableId="187259938">
    <w:abstractNumId w:val="71"/>
  </w:num>
  <w:num w:numId="69" w16cid:durableId="473060983">
    <w:abstractNumId w:val="66"/>
  </w:num>
  <w:num w:numId="70" w16cid:durableId="1095517137">
    <w:abstractNumId w:val="70"/>
  </w:num>
  <w:num w:numId="71" w16cid:durableId="1805997171">
    <w:abstractNumId w:val="19"/>
  </w:num>
  <w:num w:numId="72" w16cid:durableId="1243876904">
    <w:abstractNumId w:val="43"/>
  </w:num>
  <w:num w:numId="73" w16cid:durableId="1389767153">
    <w:abstractNumId w:val="50"/>
  </w:num>
  <w:num w:numId="74" w16cid:durableId="1030030208">
    <w:abstractNumId w:val="102"/>
  </w:num>
  <w:num w:numId="75" w16cid:durableId="2146241520">
    <w:abstractNumId w:val="26"/>
  </w:num>
  <w:num w:numId="76" w16cid:durableId="433132110">
    <w:abstractNumId w:val="18"/>
  </w:num>
  <w:num w:numId="77" w16cid:durableId="536477979">
    <w:abstractNumId w:val="135"/>
  </w:num>
  <w:num w:numId="78" w16cid:durableId="1659074759">
    <w:abstractNumId w:val="93"/>
  </w:num>
  <w:num w:numId="79" w16cid:durableId="917590894">
    <w:abstractNumId w:val="59"/>
  </w:num>
  <w:num w:numId="80" w16cid:durableId="1451046389">
    <w:abstractNumId w:val="40"/>
  </w:num>
  <w:num w:numId="81" w16cid:durableId="29963503">
    <w:abstractNumId w:val="32"/>
  </w:num>
  <w:num w:numId="82" w16cid:durableId="70081731">
    <w:abstractNumId w:val="127"/>
  </w:num>
  <w:num w:numId="83" w16cid:durableId="958099484">
    <w:abstractNumId w:val="84"/>
  </w:num>
  <w:num w:numId="84" w16cid:durableId="595672024">
    <w:abstractNumId w:val="100"/>
  </w:num>
  <w:num w:numId="85" w16cid:durableId="115832035">
    <w:abstractNumId w:val="117"/>
  </w:num>
  <w:num w:numId="86" w16cid:durableId="1350133827">
    <w:abstractNumId w:val="115"/>
  </w:num>
  <w:num w:numId="87" w16cid:durableId="433592039">
    <w:abstractNumId w:val="130"/>
  </w:num>
  <w:num w:numId="88" w16cid:durableId="1185368839">
    <w:abstractNumId w:val="129"/>
  </w:num>
  <w:num w:numId="89" w16cid:durableId="103579381">
    <w:abstractNumId w:val="133"/>
  </w:num>
  <w:num w:numId="90" w16cid:durableId="2090154601">
    <w:abstractNumId w:val="61"/>
  </w:num>
  <w:num w:numId="91" w16cid:durableId="226190850">
    <w:abstractNumId w:val="45"/>
  </w:num>
  <w:num w:numId="92" w16cid:durableId="283969951">
    <w:abstractNumId w:val="99"/>
  </w:num>
  <w:num w:numId="93" w16cid:durableId="1245184758">
    <w:abstractNumId w:val="103"/>
  </w:num>
  <w:num w:numId="94" w16cid:durableId="475726037">
    <w:abstractNumId w:val="11"/>
  </w:num>
  <w:num w:numId="95" w16cid:durableId="1193616122">
    <w:abstractNumId w:val="134"/>
  </w:num>
  <w:num w:numId="96" w16cid:durableId="358049232">
    <w:abstractNumId w:val="75"/>
  </w:num>
  <w:num w:numId="97" w16cid:durableId="904878484">
    <w:abstractNumId w:val="63"/>
  </w:num>
  <w:num w:numId="98" w16cid:durableId="506754157">
    <w:abstractNumId w:val="80"/>
  </w:num>
  <w:num w:numId="99" w16cid:durableId="1347174569">
    <w:abstractNumId w:val="112"/>
  </w:num>
  <w:num w:numId="100" w16cid:durableId="1528982800">
    <w:abstractNumId w:val="88"/>
  </w:num>
  <w:num w:numId="101" w16cid:durableId="203100908">
    <w:abstractNumId w:val="76"/>
  </w:num>
  <w:num w:numId="102" w16cid:durableId="195319238">
    <w:abstractNumId w:val="8"/>
  </w:num>
  <w:num w:numId="103" w16cid:durableId="20474823">
    <w:abstractNumId w:val="24"/>
  </w:num>
  <w:num w:numId="104" w16cid:durableId="1984238466">
    <w:abstractNumId w:val="22"/>
  </w:num>
  <w:num w:numId="105" w16cid:durableId="689994843">
    <w:abstractNumId w:val="54"/>
  </w:num>
  <w:num w:numId="106" w16cid:durableId="1967462212">
    <w:abstractNumId w:val="118"/>
  </w:num>
  <w:num w:numId="107" w16cid:durableId="788208043">
    <w:abstractNumId w:val="38"/>
  </w:num>
  <w:num w:numId="108" w16cid:durableId="190800422">
    <w:abstractNumId w:val="95"/>
  </w:num>
  <w:num w:numId="109" w16cid:durableId="534125269">
    <w:abstractNumId w:val="42"/>
  </w:num>
  <w:num w:numId="110" w16cid:durableId="2143499188">
    <w:abstractNumId w:val="49"/>
  </w:num>
  <w:num w:numId="111" w16cid:durableId="498345844">
    <w:abstractNumId w:val="37"/>
  </w:num>
  <w:num w:numId="112" w16cid:durableId="1094933172">
    <w:abstractNumId w:val="82"/>
  </w:num>
  <w:num w:numId="113" w16cid:durableId="2006273667">
    <w:abstractNumId w:val="9"/>
  </w:num>
  <w:num w:numId="114" w16cid:durableId="175581156">
    <w:abstractNumId w:val="21"/>
  </w:num>
  <w:num w:numId="115" w16cid:durableId="157775976">
    <w:abstractNumId w:val="7"/>
  </w:num>
  <w:num w:numId="116" w16cid:durableId="693925671">
    <w:abstractNumId w:val="116"/>
  </w:num>
  <w:num w:numId="117" w16cid:durableId="1237671417">
    <w:abstractNumId w:val="128"/>
  </w:num>
  <w:num w:numId="118" w16cid:durableId="692268094">
    <w:abstractNumId w:val="23"/>
  </w:num>
  <w:num w:numId="119" w16cid:durableId="345642829">
    <w:abstractNumId w:val="12"/>
  </w:num>
  <w:num w:numId="120" w16cid:durableId="823159895">
    <w:abstractNumId w:val="2"/>
  </w:num>
  <w:num w:numId="121" w16cid:durableId="594829352">
    <w:abstractNumId w:val="87"/>
  </w:num>
  <w:num w:numId="122" w16cid:durableId="710804085">
    <w:abstractNumId w:val="34"/>
  </w:num>
  <w:num w:numId="123" w16cid:durableId="1358241233">
    <w:abstractNumId w:val="110"/>
  </w:num>
  <w:num w:numId="124" w16cid:durableId="786583181">
    <w:abstractNumId w:val="131"/>
  </w:num>
  <w:num w:numId="125" w16cid:durableId="216818697">
    <w:abstractNumId w:val="51"/>
  </w:num>
  <w:num w:numId="126" w16cid:durableId="1258438799">
    <w:abstractNumId w:val="108"/>
  </w:num>
  <w:num w:numId="127" w16cid:durableId="975142393">
    <w:abstractNumId w:val="126"/>
  </w:num>
  <w:num w:numId="128" w16cid:durableId="225074604">
    <w:abstractNumId w:val="124"/>
  </w:num>
  <w:num w:numId="129" w16cid:durableId="791629720">
    <w:abstractNumId w:val="52"/>
  </w:num>
  <w:num w:numId="130" w16cid:durableId="1282305613">
    <w:abstractNumId w:val="79"/>
  </w:num>
  <w:num w:numId="131" w16cid:durableId="682243915">
    <w:abstractNumId w:val="4"/>
  </w:num>
  <w:num w:numId="132" w16cid:durableId="1935892271">
    <w:abstractNumId w:val="125"/>
  </w:num>
  <w:num w:numId="133" w16cid:durableId="128474728">
    <w:abstractNumId w:val="6"/>
  </w:num>
  <w:num w:numId="134" w16cid:durableId="1032455423">
    <w:abstractNumId w:val="123"/>
  </w:num>
  <w:num w:numId="135" w16cid:durableId="138765254">
    <w:abstractNumId w:val="64"/>
  </w:num>
  <w:num w:numId="136" w16cid:durableId="280770994">
    <w:abstractNumId w:val="33"/>
  </w:num>
  <w:num w:numId="137" w16cid:durableId="95096626">
    <w:abstractNumId w:val="58"/>
  </w:num>
  <w:num w:numId="138" w16cid:durableId="1988585399">
    <w:abstractNumId w:val="10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PageNumberInserted" w:val="No"/>
  </w:docVars>
  <w:rsids>
    <w:rsidRoot w:val="00FA55DB"/>
    <w:rsid w:val="0000004B"/>
    <w:rsid w:val="00000A7C"/>
    <w:rsid w:val="00000AB5"/>
    <w:rsid w:val="00000F27"/>
    <w:rsid w:val="000014D6"/>
    <w:rsid w:val="00001579"/>
    <w:rsid w:val="000019F6"/>
    <w:rsid w:val="00001FCC"/>
    <w:rsid w:val="00002993"/>
    <w:rsid w:val="00002D3B"/>
    <w:rsid w:val="0000371C"/>
    <w:rsid w:val="00003D29"/>
    <w:rsid w:val="00003D9A"/>
    <w:rsid w:val="00004596"/>
    <w:rsid w:val="0000494C"/>
    <w:rsid w:val="000050B1"/>
    <w:rsid w:val="00005386"/>
    <w:rsid w:val="000063CA"/>
    <w:rsid w:val="00006EDD"/>
    <w:rsid w:val="000078BA"/>
    <w:rsid w:val="00007915"/>
    <w:rsid w:val="00010D80"/>
    <w:rsid w:val="00011CE6"/>
    <w:rsid w:val="000120F9"/>
    <w:rsid w:val="00013680"/>
    <w:rsid w:val="000141FD"/>
    <w:rsid w:val="000144DD"/>
    <w:rsid w:val="00014535"/>
    <w:rsid w:val="000155C9"/>
    <w:rsid w:val="00015850"/>
    <w:rsid w:val="000167A1"/>
    <w:rsid w:val="00016F69"/>
    <w:rsid w:val="00020D96"/>
    <w:rsid w:val="00021F4C"/>
    <w:rsid w:val="00021FC5"/>
    <w:rsid w:val="00022281"/>
    <w:rsid w:val="00022F29"/>
    <w:rsid w:val="0002498C"/>
    <w:rsid w:val="00024CD5"/>
    <w:rsid w:val="00024F17"/>
    <w:rsid w:val="00025249"/>
    <w:rsid w:val="0002609D"/>
    <w:rsid w:val="000263DF"/>
    <w:rsid w:val="00030FAA"/>
    <w:rsid w:val="00031BB6"/>
    <w:rsid w:val="00031E66"/>
    <w:rsid w:val="000321FF"/>
    <w:rsid w:val="00032DF8"/>
    <w:rsid w:val="00033011"/>
    <w:rsid w:val="0003317A"/>
    <w:rsid w:val="000341FA"/>
    <w:rsid w:val="00034C15"/>
    <w:rsid w:val="00035443"/>
    <w:rsid w:val="00035F02"/>
    <w:rsid w:val="00036C18"/>
    <w:rsid w:val="000375FC"/>
    <w:rsid w:val="00037DCB"/>
    <w:rsid w:val="00041162"/>
    <w:rsid w:val="00041C9B"/>
    <w:rsid w:val="00042AB7"/>
    <w:rsid w:val="00043244"/>
    <w:rsid w:val="00043540"/>
    <w:rsid w:val="00043671"/>
    <w:rsid w:val="000438BC"/>
    <w:rsid w:val="00043DC7"/>
    <w:rsid w:val="00044D2C"/>
    <w:rsid w:val="0004515E"/>
    <w:rsid w:val="0004561E"/>
    <w:rsid w:val="00045F31"/>
    <w:rsid w:val="0004604E"/>
    <w:rsid w:val="00046285"/>
    <w:rsid w:val="00046D07"/>
    <w:rsid w:val="0004706E"/>
    <w:rsid w:val="000471A4"/>
    <w:rsid w:val="000471C7"/>
    <w:rsid w:val="0004777E"/>
    <w:rsid w:val="00047DE3"/>
    <w:rsid w:val="00050206"/>
    <w:rsid w:val="0005056D"/>
    <w:rsid w:val="00050741"/>
    <w:rsid w:val="000508ED"/>
    <w:rsid w:val="00050C8A"/>
    <w:rsid w:val="00050E26"/>
    <w:rsid w:val="00051444"/>
    <w:rsid w:val="00051A7B"/>
    <w:rsid w:val="00052D78"/>
    <w:rsid w:val="00053DC4"/>
    <w:rsid w:val="00053F40"/>
    <w:rsid w:val="00055CB4"/>
    <w:rsid w:val="000565BE"/>
    <w:rsid w:val="0005705C"/>
    <w:rsid w:val="00060C82"/>
    <w:rsid w:val="00061869"/>
    <w:rsid w:val="0006234E"/>
    <w:rsid w:val="000625BD"/>
    <w:rsid w:val="00063B82"/>
    <w:rsid w:val="00064430"/>
    <w:rsid w:val="00064E07"/>
    <w:rsid w:val="000655BB"/>
    <w:rsid w:val="000659C3"/>
    <w:rsid w:val="00065B60"/>
    <w:rsid w:val="0006652E"/>
    <w:rsid w:val="00067167"/>
    <w:rsid w:val="00067550"/>
    <w:rsid w:val="000679C9"/>
    <w:rsid w:val="00067A73"/>
    <w:rsid w:val="000701F6"/>
    <w:rsid w:val="00070B54"/>
    <w:rsid w:val="000712E8"/>
    <w:rsid w:val="0007136A"/>
    <w:rsid w:val="00071873"/>
    <w:rsid w:val="0007195D"/>
    <w:rsid w:val="00072416"/>
    <w:rsid w:val="00073C39"/>
    <w:rsid w:val="00074551"/>
    <w:rsid w:val="000756F9"/>
    <w:rsid w:val="00075D2A"/>
    <w:rsid w:val="0007613D"/>
    <w:rsid w:val="0007623B"/>
    <w:rsid w:val="000769B8"/>
    <w:rsid w:val="00077009"/>
    <w:rsid w:val="00077D88"/>
    <w:rsid w:val="00077F3D"/>
    <w:rsid w:val="000800EC"/>
    <w:rsid w:val="00080144"/>
    <w:rsid w:val="0008069B"/>
    <w:rsid w:val="0008083F"/>
    <w:rsid w:val="00080D53"/>
    <w:rsid w:val="000817B2"/>
    <w:rsid w:val="00081B26"/>
    <w:rsid w:val="00081BAC"/>
    <w:rsid w:val="00081DB8"/>
    <w:rsid w:val="0008203C"/>
    <w:rsid w:val="000829B5"/>
    <w:rsid w:val="0008382D"/>
    <w:rsid w:val="00083D39"/>
    <w:rsid w:val="000847CF"/>
    <w:rsid w:val="00084BAC"/>
    <w:rsid w:val="00084DDD"/>
    <w:rsid w:val="00085864"/>
    <w:rsid w:val="00085945"/>
    <w:rsid w:val="00085DA4"/>
    <w:rsid w:val="000861A8"/>
    <w:rsid w:val="00087204"/>
    <w:rsid w:val="000915CF"/>
    <w:rsid w:val="00091839"/>
    <w:rsid w:val="000918D0"/>
    <w:rsid w:val="00091D07"/>
    <w:rsid w:val="0009206B"/>
    <w:rsid w:val="00092372"/>
    <w:rsid w:val="000928BC"/>
    <w:rsid w:val="00092E7D"/>
    <w:rsid w:val="000933C5"/>
    <w:rsid w:val="00093D99"/>
    <w:rsid w:val="00094045"/>
    <w:rsid w:val="00094ACD"/>
    <w:rsid w:val="00094D5D"/>
    <w:rsid w:val="000951BF"/>
    <w:rsid w:val="00095B58"/>
    <w:rsid w:val="00096663"/>
    <w:rsid w:val="00097227"/>
    <w:rsid w:val="00097319"/>
    <w:rsid w:val="0009738E"/>
    <w:rsid w:val="00097404"/>
    <w:rsid w:val="00097D45"/>
    <w:rsid w:val="000A022C"/>
    <w:rsid w:val="000A14AD"/>
    <w:rsid w:val="000A1775"/>
    <w:rsid w:val="000A1A77"/>
    <w:rsid w:val="000A2318"/>
    <w:rsid w:val="000A2F95"/>
    <w:rsid w:val="000A33A8"/>
    <w:rsid w:val="000A3BF2"/>
    <w:rsid w:val="000A41B1"/>
    <w:rsid w:val="000A4AF4"/>
    <w:rsid w:val="000A4EF8"/>
    <w:rsid w:val="000A6829"/>
    <w:rsid w:val="000A6871"/>
    <w:rsid w:val="000A6B4D"/>
    <w:rsid w:val="000A7035"/>
    <w:rsid w:val="000A73A6"/>
    <w:rsid w:val="000B04BD"/>
    <w:rsid w:val="000B0E24"/>
    <w:rsid w:val="000B12DC"/>
    <w:rsid w:val="000B1738"/>
    <w:rsid w:val="000B17C1"/>
    <w:rsid w:val="000B1F04"/>
    <w:rsid w:val="000B2848"/>
    <w:rsid w:val="000B3648"/>
    <w:rsid w:val="000B3D7C"/>
    <w:rsid w:val="000B4C32"/>
    <w:rsid w:val="000B4C8A"/>
    <w:rsid w:val="000B4EA1"/>
    <w:rsid w:val="000B5191"/>
    <w:rsid w:val="000B538B"/>
    <w:rsid w:val="000B59A9"/>
    <w:rsid w:val="000B5A1F"/>
    <w:rsid w:val="000B79C1"/>
    <w:rsid w:val="000B7C1C"/>
    <w:rsid w:val="000B7F81"/>
    <w:rsid w:val="000C041F"/>
    <w:rsid w:val="000C0511"/>
    <w:rsid w:val="000C246E"/>
    <w:rsid w:val="000C2722"/>
    <w:rsid w:val="000C322E"/>
    <w:rsid w:val="000C3AA3"/>
    <w:rsid w:val="000C4333"/>
    <w:rsid w:val="000C44EC"/>
    <w:rsid w:val="000C5DB9"/>
    <w:rsid w:val="000C6F9D"/>
    <w:rsid w:val="000C7DAD"/>
    <w:rsid w:val="000D0096"/>
    <w:rsid w:val="000D106B"/>
    <w:rsid w:val="000D110F"/>
    <w:rsid w:val="000D179E"/>
    <w:rsid w:val="000D1983"/>
    <w:rsid w:val="000D29FD"/>
    <w:rsid w:val="000D3154"/>
    <w:rsid w:val="000D5764"/>
    <w:rsid w:val="000D5AC1"/>
    <w:rsid w:val="000D7AD2"/>
    <w:rsid w:val="000D7C1C"/>
    <w:rsid w:val="000D7F51"/>
    <w:rsid w:val="000E0265"/>
    <w:rsid w:val="000E08B8"/>
    <w:rsid w:val="000E1766"/>
    <w:rsid w:val="000E1DA7"/>
    <w:rsid w:val="000E2692"/>
    <w:rsid w:val="000E3827"/>
    <w:rsid w:val="000E4073"/>
    <w:rsid w:val="000E42B6"/>
    <w:rsid w:val="000E481D"/>
    <w:rsid w:val="000E5085"/>
    <w:rsid w:val="000E5754"/>
    <w:rsid w:val="000E5891"/>
    <w:rsid w:val="000E5DF6"/>
    <w:rsid w:val="000E63B0"/>
    <w:rsid w:val="000E7115"/>
    <w:rsid w:val="000F06D1"/>
    <w:rsid w:val="000F0C9A"/>
    <w:rsid w:val="000F1089"/>
    <w:rsid w:val="000F14AB"/>
    <w:rsid w:val="000F1547"/>
    <w:rsid w:val="000F21D0"/>
    <w:rsid w:val="000F291A"/>
    <w:rsid w:val="000F385E"/>
    <w:rsid w:val="000F4BCC"/>
    <w:rsid w:val="000F551C"/>
    <w:rsid w:val="000F63AF"/>
    <w:rsid w:val="000F7152"/>
    <w:rsid w:val="000F7312"/>
    <w:rsid w:val="00100D5B"/>
    <w:rsid w:val="00100FB3"/>
    <w:rsid w:val="00101BF0"/>
    <w:rsid w:val="00101FF2"/>
    <w:rsid w:val="001023D7"/>
    <w:rsid w:val="0010297F"/>
    <w:rsid w:val="001029BF"/>
    <w:rsid w:val="00103609"/>
    <w:rsid w:val="00103D53"/>
    <w:rsid w:val="001045BE"/>
    <w:rsid w:val="00106C16"/>
    <w:rsid w:val="00106D3E"/>
    <w:rsid w:val="00106E20"/>
    <w:rsid w:val="001103C9"/>
    <w:rsid w:val="001103F6"/>
    <w:rsid w:val="00110B32"/>
    <w:rsid w:val="00111FA9"/>
    <w:rsid w:val="00112164"/>
    <w:rsid w:val="0011370C"/>
    <w:rsid w:val="00113D23"/>
    <w:rsid w:val="00113E2D"/>
    <w:rsid w:val="0011597A"/>
    <w:rsid w:val="00116604"/>
    <w:rsid w:val="00116B25"/>
    <w:rsid w:val="00116FB6"/>
    <w:rsid w:val="0012085B"/>
    <w:rsid w:val="0012093A"/>
    <w:rsid w:val="00120B57"/>
    <w:rsid w:val="00120D0C"/>
    <w:rsid w:val="001227E0"/>
    <w:rsid w:val="001227FE"/>
    <w:rsid w:val="00122F4E"/>
    <w:rsid w:val="001232DF"/>
    <w:rsid w:val="00123452"/>
    <w:rsid w:val="00124A55"/>
    <w:rsid w:val="00124C27"/>
    <w:rsid w:val="0012633F"/>
    <w:rsid w:val="001263B7"/>
    <w:rsid w:val="0012647C"/>
    <w:rsid w:val="00126A48"/>
    <w:rsid w:val="00127091"/>
    <w:rsid w:val="00127435"/>
    <w:rsid w:val="00130644"/>
    <w:rsid w:val="001325BF"/>
    <w:rsid w:val="001325F8"/>
    <w:rsid w:val="00132794"/>
    <w:rsid w:val="001327FD"/>
    <w:rsid w:val="00133166"/>
    <w:rsid w:val="00133528"/>
    <w:rsid w:val="00133662"/>
    <w:rsid w:val="0013523B"/>
    <w:rsid w:val="00135A22"/>
    <w:rsid w:val="00136DBF"/>
    <w:rsid w:val="00137054"/>
    <w:rsid w:val="00137649"/>
    <w:rsid w:val="00137F32"/>
    <w:rsid w:val="0014000A"/>
    <w:rsid w:val="00140406"/>
    <w:rsid w:val="00140969"/>
    <w:rsid w:val="0014117C"/>
    <w:rsid w:val="00141664"/>
    <w:rsid w:val="00143C3F"/>
    <w:rsid w:val="00144494"/>
    <w:rsid w:val="00145A7E"/>
    <w:rsid w:val="00146A01"/>
    <w:rsid w:val="00147345"/>
    <w:rsid w:val="001518F1"/>
    <w:rsid w:val="00151A46"/>
    <w:rsid w:val="00151AEA"/>
    <w:rsid w:val="00152307"/>
    <w:rsid w:val="00152766"/>
    <w:rsid w:val="00152C94"/>
    <w:rsid w:val="00153280"/>
    <w:rsid w:val="001535BF"/>
    <w:rsid w:val="001538A1"/>
    <w:rsid w:val="00154058"/>
    <w:rsid w:val="00155060"/>
    <w:rsid w:val="001553F9"/>
    <w:rsid w:val="00155E05"/>
    <w:rsid w:val="00156680"/>
    <w:rsid w:val="00156F66"/>
    <w:rsid w:val="001572A4"/>
    <w:rsid w:val="001577C5"/>
    <w:rsid w:val="00160AB6"/>
    <w:rsid w:val="0016140C"/>
    <w:rsid w:val="00162D5A"/>
    <w:rsid w:val="00162F09"/>
    <w:rsid w:val="00163F97"/>
    <w:rsid w:val="00164505"/>
    <w:rsid w:val="00165CC4"/>
    <w:rsid w:val="00165EAB"/>
    <w:rsid w:val="00166402"/>
    <w:rsid w:val="001667F8"/>
    <w:rsid w:val="00166A18"/>
    <w:rsid w:val="00166EF6"/>
    <w:rsid w:val="001672B3"/>
    <w:rsid w:val="00167586"/>
    <w:rsid w:val="00167CFC"/>
    <w:rsid w:val="00167E58"/>
    <w:rsid w:val="00170ADF"/>
    <w:rsid w:val="00170BE8"/>
    <w:rsid w:val="0017181F"/>
    <w:rsid w:val="00171AC3"/>
    <w:rsid w:val="00172178"/>
    <w:rsid w:val="001723B7"/>
    <w:rsid w:val="00172D3E"/>
    <w:rsid w:val="00173A4D"/>
    <w:rsid w:val="001742DC"/>
    <w:rsid w:val="00174E53"/>
    <w:rsid w:val="00175682"/>
    <w:rsid w:val="00176C7F"/>
    <w:rsid w:val="001805EC"/>
    <w:rsid w:val="001808C3"/>
    <w:rsid w:val="00180C60"/>
    <w:rsid w:val="00180D22"/>
    <w:rsid w:val="00180E52"/>
    <w:rsid w:val="001811D6"/>
    <w:rsid w:val="00181599"/>
    <w:rsid w:val="00181872"/>
    <w:rsid w:val="0018188C"/>
    <w:rsid w:val="00183195"/>
    <w:rsid w:val="001835E0"/>
    <w:rsid w:val="001842D0"/>
    <w:rsid w:val="00184883"/>
    <w:rsid w:val="00184C81"/>
    <w:rsid w:val="00184E3A"/>
    <w:rsid w:val="00184F58"/>
    <w:rsid w:val="00185278"/>
    <w:rsid w:val="00185C66"/>
    <w:rsid w:val="00186651"/>
    <w:rsid w:val="00186ADC"/>
    <w:rsid w:val="0018757C"/>
    <w:rsid w:val="00187E2B"/>
    <w:rsid w:val="00192312"/>
    <w:rsid w:val="00192A99"/>
    <w:rsid w:val="00193D84"/>
    <w:rsid w:val="00194CBD"/>
    <w:rsid w:val="00195941"/>
    <w:rsid w:val="00195ABF"/>
    <w:rsid w:val="001A0AB0"/>
    <w:rsid w:val="001A12BF"/>
    <w:rsid w:val="001A2E30"/>
    <w:rsid w:val="001A2E92"/>
    <w:rsid w:val="001A3F9B"/>
    <w:rsid w:val="001A53CE"/>
    <w:rsid w:val="001A5985"/>
    <w:rsid w:val="001A5A11"/>
    <w:rsid w:val="001A6415"/>
    <w:rsid w:val="001A6558"/>
    <w:rsid w:val="001A7686"/>
    <w:rsid w:val="001A78E9"/>
    <w:rsid w:val="001B04D1"/>
    <w:rsid w:val="001B07DF"/>
    <w:rsid w:val="001B17AF"/>
    <w:rsid w:val="001B1E57"/>
    <w:rsid w:val="001B4195"/>
    <w:rsid w:val="001B4364"/>
    <w:rsid w:val="001B4E4A"/>
    <w:rsid w:val="001B7397"/>
    <w:rsid w:val="001C02BE"/>
    <w:rsid w:val="001C1719"/>
    <w:rsid w:val="001C1EC4"/>
    <w:rsid w:val="001C266D"/>
    <w:rsid w:val="001C39F6"/>
    <w:rsid w:val="001C5857"/>
    <w:rsid w:val="001C5867"/>
    <w:rsid w:val="001C5A73"/>
    <w:rsid w:val="001C60C2"/>
    <w:rsid w:val="001C68A3"/>
    <w:rsid w:val="001C7524"/>
    <w:rsid w:val="001D0424"/>
    <w:rsid w:val="001D0C30"/>
    <w:rsid w:val="001D1E3A"/>
    <w:rsid w:val="001D2705"/>
    <w:rsid w:val="001D2A86"/>
    <w:rsid w:val="001D2E77"/>
    <w:rsid w:val="001D4630"/>
    <w:rsid w:val="001D4942"/>
    <w:rsid w:val="001D5189"/>
    <w:rsid w:val="001D5FF4"/>
    <w:rsid w:val="001D6C5E"/>
    <w:rsid w:val="001D6E19"/>
    <w:rsid w:val="001D7662"/>
    <w:rsid w:val="001E0124"/>
    <w:rsid w:val="001E0345"/>
    <w:rsid w:val="001E087B"/>
    <w:rsid w:val="001E173F"/>
    <w:rsid w:val="001E1E43"/>
    <w:rsid w:val="001E232F"/>
    <w:rsid w:val="001E2529"/>
    <w:rsid w:val="001E2BC3"/>
    <w:rsid w:val="001E2C02"/>
    <w:rsid w:val="001E3609"/>
    <w:rsid w:val="001E3E5B"/>
    <w:rsid w:val="001E4AF2"/>
    <w:rsid w:val="001E554B"/>
    <w:rsid w:val="001E5972"/>
    <w:rsid w:val="001E5E63"/>
    <w:rsid w:val="001E5EFF"/>
    <w:rsid w:val="001E70A8"/>
    <w:rsid w:val="001E74C0"/>
    <w:rsid w:val="001F00FA"/>
    <w:rsid w:val="001F08DD"/>
    <w:rsid w:val="001F12B7"/>
    <w:rsid w:val="001F12C5"/>
    <w:rsid w:val="001F17E0"/>
    <w:rsid w:val="001F1938"/>
    <w:rsid w:val="001F29B6"/>
    <w:rsid w:val="001F2F7A"/>
    <w:rsid w:val="001F3020"/>
    <w:rsid w:val="001F312B"/>
    <w:rsid w:val="001F4217"/>
    <w:rsid w:val="001F5673"/>
    <w:rsid w:val="001F74FE"/>
    <w:rsid w:val="001F76CD"/>
    <w:rsid w:val="00201B88"/>
    <w:rsid w:val="00202FF2"/>
    <w:rsid w:val="00202FF9"/>
    <w:rsid w:val="00204BFA"/>
    <w:rsid w:val="002050D9"/>
    <w:rsid w:val="0020516A"/>
    <w:rsid w:val="00206415"/>
    <w:rsid w:val="00206A66"/>
    <w:rsid w:val="00207CA4"/>
    <w:rsid w:val="00207F54"/>
    <w:rsid w:val="0021213C"/>
    <w:rsid w:val="00213C44"/>
    <w:rsid w:val="002141ED"/>
    <w:rsid w:val="00214432"/>
    <w:rsid w:val="00214597"/>
    <w:rsid w:val="002148A0"/>
    <w:rsid w:val="00214A10"/>
    <w:rsid w:val="00215487"/>
    <w:rsid w:val="002155F8"/>
    <w:rsid w:val="00215E28"/>
    <w:rsid w:val="00215EF9"/>
    <w:rsid w:val="0021717D"/>
    <w:rsid w:val="00217D8D"/>
    <w:rsid w:val="00220273"/>
    <w:rsid w:val="002202BB"/>
    <w:rsid w:val="002209D4"/>
    <w:rsid w:val="00220B44"/>
    <w:rsid w:val="00220E3F"/>
    <w:rsid w:val="00220E43"/>
    <w:rsid w:val="0022113F"/>
    <w:rsid w:val="002214C4"/>
    <w:rsid w:val="002218D5"/>
    <w:rsid w:val="0022235C"/>
    <w:rsid w:val="002227DB"/>
    <w:rsid w:val="00222995"/>
    <w:rsid w:val="002233CD"/>
    <w:rsid w:val="00223D84"/>
    <w:rsid w:val="00225763"/>
    <w:rsid w:val="002258A4"/>
    <w:rsid w:val="002259EF"/>
    <w:rsid w:val="0022619C"/>
    <w:rsid w:val="00226ACE"/>
    <w:rsid w:val="0023044D"/>
    <w:rsid w:val="00230FBE"/>
    <w:rsid w:val="00230FDA"/>
    <w:rsid w:val="00231B16"/>
    <w:rsid w:val="002323F2"/>
    <w:rsid w:val="00232458"/>
    <w:rsid w:val="00232C58"/>
    <w:rsid w:val="002337B1"/>
    <w:rsid w:val="00234D1C"/>
    <w:rsid w:val="00234D20"/>
    <w:rsid w:val="0023686F"/>
    <w:rsid w:val="002375AA"/>
    <w:rsid w:val="00237645"/>
    <w:rsid w:val="00241514"/>
    <w:rsid w:val="00241EDB"/>
    <w:rsid w:val="00243AE0"/>
    <w:rsid w:val="002458F8"/>
    <w:rsid w:val="00247F30"/>
    <w:rsid w:val="0025036A"/>
    <w:rsid w:val="002506E4"/>
    <w:rsid w:val="002507BC"/>
    <w:rsid w:val="00250EBD"/>
    <w:rsid w:val="00250F39"/>
    <w:rsid w:val="002517EE"/>
    <w:rsid w:val="00251834"/>
    <w:rsid w:val="00251F89"/>
    <w:rsid w:val="002522B5"/>
    <w:rsid w:val="002522E3"/>
    <w:rsid w:val="002526CC"/>
    <w:rsid w:val="00252A54"/>
    <w:rsid w:val="002531F8"/>
    <w:rsid w:val="002536E4"/>
    <w:rsid w:val="0025622F"/>
    <w:rsid w:val="0025631F"/>
    <w:rsid w:val="0025671E"/>
    <w:rsid w:val="00256FC4"/>
    <w:rsid w:val="00257BE4"/>
    <w:rsid w:val="002604F6"/>
    <w:rsid w:val="00260FFD"/>
    <w:rsid w:val="00262074"/>
    <w:rsid w:val="00262561"/>
    <w:rsid w:val="00262AC3"/>
    <w:rsid w:val="00262FFA"/>
    <w:rsid w:val="0026322E"/>
    <w:rsid w:val="00263A25"/>
    <w:rsid w:val="00263D15"/>
    <w:rsid w:val="00264EE3"/>
    <w:rsid w:val="002654ED"/>
    <w:rsid w:val="002659A7"/>
    <w:rsid w:val="00266073"/>
    <w:rsid w:val="002661CA"/>
    <w:rsid w:val="00266D44"/>
    <w:rsid w:val="002671B2"/>
    <w:rsid w:val="00267FCC"/>
    <w:rsid w:val="0027095F"/>
    <w:rsid w:val="00271C30"/>
    <w:rsid w:val="00271C57"/>
    <w:rsid w:val="002734A5"/>
    <w:rsid w:val="00273D72"/>
    <w:rsid w:val="00274AA8"/>
    <w:rsid w:val="00275243"/>
    <w:rsid w:val="00275321"/>
    <w:rsid w:val="00275582"/>
    <w:rsid w:val="00275910"/>
    <w:rsid w:val="00277631"/>
    <w:rsid w:val="00277E62"/>
    <w:rsid w:val="00277FA5"/>
    <w:rsid w:val="00280C82"/>
    <w:rsid w:val="00280E77"/>
    <w:rsid w:val="0028111D"/>
    <w:rsid w:val="0028135C"/>
    <w:rsid w:val="00281F8E"/>
    <w:rsid w:val="00282D1A"/>
    <w:rsid w:val="00282FF5"/>
    <w:rsid w:val="00283489"/>
    <w:rsid w:val="00283FA2"/>
    <w:rsid w:val="002843E6"/>
    <w:rsid w:val="00284B21"/>
    <w:rsid w:val="00284D31"/>
    <w:rsid w:val="00285138"/>
    <w:rsid w:val="00285563"/>
    <w:rsid w:val="0028648B"/>
    <w:rsid w:val="0028666C"/>
    <w:rsid w:val="00286C1B"/>
    <w:rsid w:val="00286E2E"/>
    <w:rsid w:val="00291E64"/>
    <w:rsid w:val="00292E50"/>
    <w:rsid w:val="00293106"/>
    <w:rsid w:val="002934BB"/>
    <w:rsid w:val="00293F59"/>
    <w:rsid w:val="00294309"/>
    <w:rsid w:val="0029491A"/>
    <w:rsid w:val="002950AD"/>
    <w:rsid w:val="002962FF"/>
    <w:rsid w:val="002978E8"/>
    <w:rsid w:val="002979AE"/>
    <w:rsid w:val="00297F07"/>
    <w:rsid w:val="002A01EF"/>
    <w:rsid w:val="002A052E"/>
    <w:rsid w:val="002A088A"/>
    <w:rsid w:val="002A11C6"/>
    <w:rsid w:val="002A27EE"/>
    <w:rsid w:val="002A29F1"/>
    <w:rsid w:val="002A2C70"/>
    <w:rsid w:val="002A3040"/>
    <w:rsid w:val="002A3DBB"/>
    <w:rsid w:val="002A40B4"/>
    <w:rsid w:val="002A5338"/>
    <w:rsid w:val="002A57BE"/>
    <w:rsid w:val="002A5850"/>
    <w:rsid w:val="002A6377"/>
    <w:rsid w:val="002A6CBA"/>
    <w:rsid w:val="002A73E8"/>
    <w:rsid w:val="002A7A0C"/>
    <w:rsid w:val="002B05F3"/>
    <w:rsid w:val="002B11F7"/>
    <w:rsid w:val="002B1AEE"/>
    <w:rsid w:val="002B27B7"/>
    <w:rsid w:val="002B3E7C"/>
    <w:rsid w:val="002B42F4"/>
    <w:rsid w:val="002B4AA8"/>
    <w:rsid w:val="002B541B"/>
    <w:rsid w:val="002B6ABB"/>
    <w:rsid w:val="002B6FB2"/>
    <w:rsid w:val="002B718D"/>
    <w:rsid w:val="002B777E"/>
    <w:rsid w:val="002B7AFD"/>
    <w:rsid w:val="002C0EBB"/>
    <w:rsid w:val="002C1BD4"/>
    <w:rsid w:val="002C26C6"/>
    <w:rsid w:val="002C3812"/>
    <w:rsid w:val="002C4286"/>
    <w:rsid w:val="002C45E1"/>
    <w:rsid w:val="002C48B9"/>
    <w:rsid w:val="002C59E1"/>
    <w:rsid w:val="002C696D"/>
    <w:rsid w:val="002C6FC9"/>
    <w:rsid w:val="002C6FD0"/>
    <w:rsid w:val="002D0081"/>
    <w:rsid w:val="002D1B77"/>
    <w:rsid w:val="002D1B99"/>
    <w:rsid w:val="002D2409"/>
    <w:rsid w:val="002D252D"/>
    <w:rsid w:val="002D2F34"/>
    <w:rsid w:val="002D36EF"/>
    <w:rsid w:val="002D3CB4"/>
    <w:rsid w:val="002D43CB"/>
    <w:rsid w:val="002D5292"/>
    <w:rsid w:val="002D5866"/>
    <w:rsid w:val="002D5F05"/>
    <w:rsid w:val="002D5FE8"/>
    <w:rsid w:val="002D6321"/>
    <w:rsid w:val="002D6370"/>
    <w:rsid w:val="002D77BA"/>
    <w:rsid w:val="002E02C6"/>
    <w:rsid w:val="002E036C"/>
    <w:rsid w:val="002E03C4"/>
    <w:rsid w:val="002E1302"/>
    <w:rsid w:val="002E2B96"/>
    <w:rsid w:val="002E3CEE"/>
    <w:rsid w:val="002E3E79"/>
    <w:rsid w:val="002E43AD"/>
    <w:rsid w:val="002E4A50"/>
    <w:rsid w:val="002E6172"/>
    <w:rsid w:val="002E6BEF"/>
    <w:rsid w:val="002E70DC"/>
    <w:rsid w:val="002E7B94"/>
    <w:rsid w:val="002E7C7F"/>
    <w:rsid w:val="002E7CBB"/>
    <w:rsid w:val="002F012F"/>
    <w:rsid w:val="002F057D"/>
    <w:rsid w:val="002F1498"/>
    <w:rsid w:val="002F1E66"/>
    <w:rsid w:val="002F2050"/>
    <w:rsid w:val="002F2911"/>
    <w:rsid w:val="002F29C5"/>
    <w:rsid w:val="002F2A0A"/>
    <w:rsid w:val="002F3BB8"/>
    <w:rsid w:val="002F420C"/>
    <w:rsid w:val="002F4E82"/>
    <w:rsid w:val="002F4FF5"/>
    <w:rsid w:val="002F5CED"/>
    <w:rsid w:val="002F63F3"/>
    <w:rsid w:val="002F6862"/>
    <w:rsid w:val="002F6E3A"/>
    <w:rsid w:val="002F739A"/>
    <w:rsid w:val="002F745D"/>
    <w:rsid w:val="00300D3A"/>
    <w:rsid w:val="003012E2"/>
    <w:rsid w:val="00301369"/>
    <w:rsid w:val="00301C03"/>
    <w:rsid w:val="00303283"/>
    <w:rsid w:val="003038A9"/>
    <w:rsid w:val="00304729"/>
    <w:rsid w:val="00304CD9"/>
    <w:rsid w:val="00305005"/>
    <w:rsid w:val="00305E40"/>
    <w:rsid w:val="00306266"/>
    <w:rsid w:val="00307B1C"/>
    <w:rsid w:val="00307BE3"/>
    <w:rsid w:val="00310689"/>
    <w:rsid w:val="003107FB"/>
    <w:rsid w:val="003109B0"/>
    <w:rsid w:val="00310DF9"/>
    <w:rsid w:val="003111CD"/>
    <w:rsid w:val="00311639"/>
    <w:rsid w:val="003123B6"/>
    <w:rsid w:val="00312479"/>
    <w:rsid w:val="00312E71"/>
    <w:rsid w:val="003137ED"/>
    <w:rsid w:val="003142EF"/>
    <w:rsid w:val="003142F4"/>
    <w:rsid w:val="00315136"/>
    <w:rsid w:val="003176B4"/>
    <w:rsid w:val="003178FC"/>
    <w:rsid w:val="00320304"/>
    <w:rsid w:val="0032067D"/>
    <w:rsid w:val="00320D13"/>
    <w:rsid w:val="00320D44"/>
    <w:rsid w:val="00321B75"/>
    <w:rsid w:val="00322437"/>
    <w:rsid w:val="00322443"/>
    <w:rsid w:val="00323969"/>
    <w:rsid w:val="00323B24"/>
    <w:rsid w:val="00323C37"/>
    <w:rsid w:val="00323E90"/>
    <w:rsid w:val="00324979"/>
    <w:rsid w:val="00325ED9"/>
    <w:rsid w:val="003260F1"/>
    <w:rsid w:val="003267F2"/>
    <w:rsid w:val="00326C67"/>
    <w:rsid w:val="00327402"/>
    <w:rsid w:val="00327713"/>
    <w:rsid w:val="00327BB2"/>
    <w:rsid w:val="0033099E"/>
    <w:rsid w:val="0033099F"/>
    <w:rsid w:val="0033122B"/>
    <w:rsid w:val="0033124B"/>
    <w:rsid w:val="00332260"/>
    <w:rsid w:val="003328E1"/>
    <w:rsid w:val="00332940"/>
    <w:rsid w:val="00332F56"/>
    <w:rsid w:val="003337C0"/>
    <w:rsid w:val="0033449D"/>
    <w:rsid w:val="00334B22"/>
    <w:rsid w:val="00335370"/>
    <w:rsid w:val="00335C37"/>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3E7F"/>
    <w:rsid w:val="0034443B"/>
    <w:rsid w:val="00344605"/>
    <w:rsid w:val="0034587F"/>
    <w:rsid w:val="00346671"/>
    <w:rsid w:val="00346C9D"/>
    <w:rsid w:val="00346D3C"/>
    <w:rsid w:val="00346D4B"/>
    <w:rsid w:val="003470E4"/>
    <w:rsid w:val="0035018B"/>
    <w:rsid w:val="00350B76"/>
    <w:rsid w:val="0035178A"/>
    <w:rsid w:val="0035213E"/>
    <w:rsid w:val="00354520"/>
    <w:rsid w:val="00354F95"/>
    <w:rsid w:val="0035533C"/>
    <w:rsid w:val="003559F2"/>
    <w:rsid w:val="003560D7"/>
    <w:rsid w:val="0035611A"/>
    <w:rsid w:val="0035722B"/>
    <w:rsid w:val="00360387"/>
    <w:rsid w:val="003604E1"/>
    <w:rsid w:val="00361126"/>
    <w:rsid w:val="0036130F"/>
    <w:rsid w:val="00361641"/>
    <w:rsid w:val="003616E9"/>
    <w:rsid w:val="003617B3"/>
    <w:rsid w:val="00363160"/>
    <w:rsid w:val="00363C80"/>
    <w:rsid w:val="00364129"/>
    <w:rsid w:val="0036460C"/>
    <w:rsid w:val="00364916"/>
    <w:rsid w:val="00365857"/>
    <w:rsid w:val="00365AD7"/>
    <w:rsid w:val="00367C0F"/>
    <w:rsid w:val="0037067A"/>
    <w:rsid w:val="003718DD"/>
    <w:rsid w:val="00371A47"/>
    <w:rsid w:val="00372045"/>
    <w:rsid w:val="003725B9"/>
    <w:rsid w:val="00372DC4"/>
    <w:rsid w:val="003733E0"/>
    <w:rsid w:val="0037359D"/>
    <w:rsid w:val="003737EA"/>
    <w:rsid w:val="00373AC0"/>
    <w:rsid w:val="003746F3"/>
    <w:rsid w:val="00375482"/>
    <w:rsid w:val="003759B8"/>
    <w:rsid w:val="00375B5E"/>
    <w:rsid w:val="003800D1"/>
    <w:rsid w:val="0038053E"/>
    <w:rsid w:val="003805A1"/>
    <w:rsid w:val="00380610"/>
    <w:rsid w:val="00381D07"/>
    <w:rsid w:val="00382165"/>
    <w:rsid w:val="00382B75"/>
    <w:rsid w:val="00382DD8"/>
    <w:rsid w:val="00383090"/>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49F0"/>
    <w:rsid w:val="003954E5"/>
    <w:rsid w:val="0039563A"/>
    <w:rsid w:val="003962B7"/>
    <w:rsid w:val="00396409"/>
    <w:rsid w:val="0039698A"/>
    <w:rsid w:val="00396F8F"/>
    <w:rsid w:val="00397958"/>
    <w:rsid w:val="003A069E"/>
    <w:rsid w:val="003A175D"/>
    <w:rsid w:val="003A1BAC"/>
    <w:rsid w:val="003A1E21"/>
    <w:rsid w:val="003A230E"/>
    <w:rsid w:val="003A239B"/>
    <w:rsid w:val="003A3756"/>
    <w:rsid w:val="003A427D"/>
    <w:rsid w:val="003A4F9D"/>
    <w:rsid w:val="003A523D"/>
    <w:rsid w:val="003A5411"/>
    <w:rsid w:val="003A5753"/>
    <w:rsid w:val="003A5856"/>
    <w:rsid w:val="003A58F1"/>
    <w:rsid w:val="003A5DEC"/>
    <w:rsid w:val="003A632A"/>
    <w:rsid w:val="003A6E31"/>
    <w:rsid w:val="003A7474"/>
    <w:rsid w:val="003A74E4"/>
    <w:rsid w:val="003B021B"/>
    <w:rsid w:val="003B0291"/>
    <w:rsid w:val="003B0435"/>
    <w:rsid w:val="003B0E09"/>
    <w:rsid w:val="003B1BBF"/>
    <w:rsid w:val="003B2250"/>
    <w:rsid w:val="003B301B"/>
    <w:rsid w:val="003B3B14"/>
    <w:rsid w:val="003B3D5F"/>
    <w:rsid w:val="003B3F68"/>
    <w:rsid w:val="003B4211"/>
    <w:rsid w:val="003B423D"/>
    <w:rsid w:val="003B44E1"/>
    <w:rsid w:val="003B4DF3"/>
    <w:rsid w:val="003B5279"/>
    <w:rsid w:val="003B52E8"/>
    <w:rsid w:val="003B56A6"/>
    <w:rsid w:val="003B6660"/>
    <w:rsid w:val="003B6789"/>
    <w:rsid w:val="003B697D"/>
    <w:rsid w:val="003B75B6"/>
    <w:rsid w:val="003C0B7E"/>
    <w:rsid w:val="003C1538"/>
    <w:rsid w:val="003C1870"/>
    <w:rsid w:val="003C1E2D"/>
    <w:rsid w:val="003C1F1A"/>
    <w:rsid w:val="003C2976"/>
    <w:rsid w:val="003C3AB5"/>
    <w:rsid w:val="003C3DEC"/>
    <w:rsid w:val="003C3F3A"/>
    <w:rsid w:val="003C413C"/>
    <w:rsid w:val="003C4C14"/>
    <w:rsid w:val="003C4D91"/>
    <w:rsid w:val="003C5955"/>
    <w:rsid w:val="003C6AC8"/>
    <w:rsid w:val="003C71D6"/>
    <w:rsid w:val="003C78DB"/>
    <w:rsid w:val="003C7A94"/>
    <w:rsid w:val="003C7E74"/>
    <w:rsid w:val="003D121B"/>
    <w:rsid w:val="003D1BE6"/>
    <w:rsid w:val="003D2B90"/>
    <w:rsid w:val="003D2D3D"/>
    <w:rsid w:val="003D38E5"/>
    <w:rsid w:val="003D3D11"/>
    <w:rsid w:val="003D403D"/>
    <w:rsid w:val="003D4CD5"/>
    <w:rsid w:val="003D52D0"/>
    <w:rsid w:val="003D55E0"/>
    <w:rsid w:val="003D5B2F"/>
    <w:rsid w:val="003D5DBF"/>
    <w:rsid w:val="003D5E4B"/>
    <w:rsid w:val="003D5F97"/>
    <w:rsid w:val="003D63AD"/>
    <w:rsid w:val="003D6B1A"/>
    <w:rsid w:val="003D7B78"/>
    <w:rsid w:val="003E15C3"/>
    <w:rsid w:val="003E2172"/>
    <w:rsid w:val="003E3AF4"/>
    <w:rsid w:val="003E44A8"/>
    <w:rsid w:val="003E44AE"/>
    <w:rsid w:val="003E4A95"/>
    <w:rsid w:val="003E4F33"/>
    <w:rsid w:val="003E54BE"/>
    <w:rsid w:val="003E5866"/>
    <w:rsid w:val="003E5F83"/>
    <w:rsid w:val="003E6702"/>
    <w:rsid w:val="003E6ED4"/>
    <w:rsid w:val="003E73C2"/>
    <w:rsid w:val="003F0427"/>
    <w:rsid w:val="003F0898"/>
    <w:rsid w:val="003F125F"/>
    <w:rsid w:val="003F1787"/>
    <w:rsid w:val="003F1792"/>
    <w:rsid w:val="003F1800"/>
    <w:rsid w:val="003F1DAC"/>
    <w:rsid w:val="003F1FFE"/>
    <w:rsid w:val="003F21B4"/>
    <w:rsid w:val="003F2717"/>
    <w:rsid w:val="003F3866"/>
    <w:rsid w:val="003F4154"/>
    <w:rsid w:val="003F48AF"/>
    <w:rsid w:val="003F5842"/>
    <w:rsid w:val="003F5F72"/>
    <w:rsid w:val="003F61E1"/>
    <w:rsid w:val="003F670A"/>
    <w:rsid w:val="003F6E19"/>
    <w:rsid w:val="003F7FD1"/>
    <w:rsid w:val="0040153C"/>
    <w:rsid w:val="0040297A"/>
    <w:rsid w:val="00403472"/>
    <w:rsid w:val="004041C6"/>
    <w:rsid w:val="00404243"/>
    <w:rsid w:val="004043B6"/>
    <w:rsid w:val="0040485F"/>
    <w:rsid w:val="00404B58"/>
    <w:rsid w:val="00404CB5"/>
    <w:rsid w:val="00405034"/>
    <w:rsid w:val="00405D84"/>
    <w:rsid w:val="00406193"/>
    <w:rsid w:val="00406827"/>
    <w:rsid w:val="00406EDE"/>
    <w:rsid w:val="004072F1"/>
    <w:rsid w:val="004103AD"/>
    <w:rsid w:val="00410D90"/>
    <w:rsid w:val="00411648"/>
    <w:rsid w:val="004116A8"/>
    <w:rsid w:val="00411704"/>
    <w:rsid w:val="00411FD1"/>
    <w:rsid w:val="00412281"/>
    <w:rsid w:val="00412BC7"/>
    <w:rsid w:val="0041424B"/>
    <w:rsid w:val="004146C8"/>
    <w:rsid w:val="0041596E"/>
    <w:rsid w:val="00415E10"/>
    <w:rsid w:val="00416360"/>
    <w:rsid w:val="0041640F"/>
    <w:rsid w:val="00416691"/>
    <w:rsid w:val="004177C6"/>
    <w:rsid w:val="00420670"/>
    <w:rsid w:val="0042169D"/>
    <w:rsid w:val="00421F30"/>
    <w:rsid w:val="00422490"/>
    <w:rsid w:val="00423E08"/>
    <w:rsid w:val="00424B5A"/>
    <w:rsid w:val="00426269"/>
    <w:rsid w:val="00426A0C"/>
    <w:rsid w:val="00426A67"/>
    <w:rsid w:val="00426BFC"/>
    <w:rsid w:val="00427C5E"/>
    <w:rsid w:val="00427D29"/>
    <w:rsid w:val="0043067D"/>
    <w:rsid w:val="00430C60"/>
    <w:rsid w:val="00430D46"/>
    <w:rsid w:val="00430EBC"/>
    <w:rsid w:val="00430F77"/>
    <w:rsid w:val="00431337"/>
    <w:rsid w:val="00431375"/>
    <w:rsid w:val="00431563"/>
    <w:rsid w:val="004324B1"/>
    <w:rsid w:val="0043252F"/>
    <w:rsid w:val="00432749"/>
    <w:rsid w:val="00432A33"/>
    <w:rsid w:val="00432A66"/>
    <w:rsid w:val="00433412"/>
    <w:rsid w:val="00433B7E"/>
    <w:rsid w:val="00433EEE"/>
    <w:rsid w:val="00433F14"/>
    <w:rsid w:val="004342E2"/>
    <w:rsid w:val="00434FFE"/>
    <w:rsid w:val="00435801"/>
    <w:rsid w:val="0043588F"/>
    <w:rsid w:val="00436A7A"/>
    <w:rsid w:val="00436D90"/>
    <w:rsid w:val="00437D63"/>
    <w:rsid w:val="004405B0"/>
    <w:rsid w:val="00440CA4"/>
    <w:rsid w:val="004414BB"/>
    <w:rsid w:val="004429C9"/>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F68"/>
    <w:rsid w:val="004545FC"/>
    <w:rsid w:val="00454713"/>
    <w:rsid w:val="00454793"/>
    <w:rsid w:val="00454862"/>
    <w:rsid w:val="00454D34"/>
    <w:rsid w:val="00455222"/>
    <w:rsid w:val="0045678B"/>
    <w:rsid w:val="00457AEF"/>
    <w:rsid w:val="00461249"/>
    <w:rsid w:val="00461293"/>
    <w:rsid w:val="00461ADA"/>
    <w:rsid w:val="00462506"/>
    <w:rsid w:val="0046382A"/>
    <w:rsid w:val="00463C7C"/>
    <w:rsid w:val="004663E3"/>
    <w:rsid w:val="00466FD4"/>
    <w:rsid w:val="0046799C"/>
    <w:rsid w:val="00467EFC"/>
    <w:rsid w:val="004702AD"/>
    <w:rsid w:val="00471F0E"/>
    <w:rsid w:val="004730B2"/>
    <w:rsid w:val="00473D34"/>
    <w:rsid w:val="00475D76"/>
    <w:rsid w:val="00475F0C"/>
    <w:rsid w:val="004775DC"/>
    <w:rsid w:val="00477E25"/>
    <w:rsid w:val="00480CB4"/>
    <w:rsid w:val="00480E79"/>
    <w:rsid w:val="00480FAF"/>
    <w:rsid w:val="004815C7"/>
    <w:rsid w:val="00481841"/>
    <w:rsid w:val="0048215F"/>
    <w:rsid w:val="004826F4"/>
    <w:rsid w:val="00483281"/>
    <w:rsid w:val="00483A93"/>
    <w:rsid w:val="0048442F"/>
    <w:rsid w:val="004857EE"/>
    <w:rsid w:val="00485C85"/>
    <w:rsid w:val="0048624C"/>
    <w:rsid w:val="00490914"/>
    <w:rsid w:val="00491231"/>
    <w:rsid w:val="00491294"/>
    <w:rsid w:val="00491D93"/>
    <w:rsid w:val="00491FA7"/>
    <w:rsid w:val="00491FB5"/>
    <w:rsid w:val="00492F17"/>
    <w:rsid w:val="00493694"/>
    <w:rsid w:val="00493DD9"/>
    <w:rsid w:val="004945AE"/>
    <w:rsid w:val="0049487D"/>
    <w:rsid w:val="0049531C"/>
    <w:rsid w:val="00495864"/>
    <w:rsid w:val="00496227"/>
    <w:rsid w:val="00496553"/>
    <w:rsid w:val="00497930"/>
    <w:rsid w:val="004A00AC"/>
    <w:rsid w:val="004A026E"/>
    <w:rsid w:val="004A079B"/>
    <w:rsid w:val="004A1866"/>
    <w:rsid w:val="004A18E2"/>
    <w:rsid w:val="004A29A4"/>
    <w:rsid w:val="004A2D5B"/>
    <w:rsid w:val="004A2F5F"/>
    <w:rsid w:val="004A3278"/>
    <w:rsid w:val="004A3F4F"/>
    <w:rsid w:val="004A45F9"/>
    <w:rsid w:val="004A5159"/>
    <w:rsid w:val="004A53BC"/>
    <w:rsid w:val="004A54C0"/>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B00"/>
    <w:rsid w:val="004C0C15"/>
    <w:rsid w:val="004C0E7F"/>
    <w:rsid w:val="004C1327"/>
    <w:rsid w:val="004C1CE8"/>
    <w:rsid w:val="004C2C49"/>
    <w:rsid w:val="004C322F"/>
    <w:rsid w:val="004C3A62"/>
    <w:rsid w:val="004C3C00"/>
    <w:rsid w:val="004C3E9A"/>
    <w:rsid w:val="004C46B5"/>
    <w:rsid w:val="004C5443"/>
    <w:rsid w:val="004C561F"/>
    <w:rsid w:val="004C7346"/>
    <w:rsid w:val="004D0126"/>
    <w:rsid w:val="004D031A"/>
    <w:rsid w:val="004D0A44"/>
    <w:rsid w:val="004D0CDB"/>
    <w:rsid w:val="004D0EC5"/>
    <w:rsid w:val="004D0F5D"/>
    <w:rsid w:val="004D1096"/>
    <w:rsid w:val="004D1B2B"/>
    <w:rsid w:val="004D1DC7"/>
    <w:rsid w:val="004D218B"/>
    <w:rsid w:val="004D232E"/>
    <w:rsid w:val="004D3FD8"/>
    <w:rsid w:val="004D4B55"/>
    <w:rsid w:val="004D4CB1"/>
    <w:rsid w:val="004D5410"/>
    <w:rsid w:val="004D5613"/>
    <w:rsid w:val="004D5D27"/>
    <w:rsid w:val="004D678D"/>
    <w:rsid w:val="004D6BB3"/>
    <w:rsid w:val="004E024A"/>
    <w:rsid w:val="004E096A"/>
    <w:rsid w:val="004E09AE"/>
    <w:rsid w:val="004E0E7D"/>
    <w:rsid w:val="004E110F"/>
    <w:rsid w:val="004E1B38"/>
    <w:rsid w:val="004E2C01"/>
    <w:rsid w:val="004E2F55"/>
    <w:rsid w:val="004E3AF3"/>
    <w:rsid w:val="004E4638"/>
    <w:rsid w:val="004E5064"/>
    <w:rsid w:val="004E5156"/>
    <w:rsid w:val="004E6358"/>
    <w:rsid w:val="004E6ADC"/>
    <w:rsid w:val="004E7828"/>
    <w:rsid w:val="004F0111"/>
    <w:rsid w:val="004F1532"/>
    <w:rsid w:val="004F1D6A"/>
    <w:rsid w:val="004F2224"/>
    <w:rsid w:val="004F372B"/>
    <w:rsid w:val="004F418F"/>
    <w:rsid w:val="004F43D0"/>
    <w:rsid w:val="004F4999"/>
    <w:rsid w:val="004F49C1"/>
    <w:rsid w:val="004F4A94"/>
    <w:rsid w:val="004F4DD7"/>
    <w:rsid w:val="004F50F9"/>
    <w:rsid w:val="004F530B"/>
    <w:rsid w:val="004F578E"/>
    <w:rsid w:val="004F60A9"/>
    <w:rsid w:val="004F6777"/>
    <w:rsid w:val="004F6AC1"/>
    <w:rsid w:val="004F7995"/>
    <w:rsid w:val="004F7F76"/>
    <w:rsid w:val="00501BC6"/>
    <w:rsid w:val="00501D75"/>
    <w:rsid w:val="005025E1"/>
    <w:rsid w:val="005040DF"/>
    <w:rsid w:val="005048D6"/>
    <w:rsid w:val="0050522C"/>
    <w:rsid w:val="00505342"/>
    <w:rsid w:val="00505420"/>
    <w:rsid w:val="0050549B"/>
    <w:rsid w:val="00505D4F"/>
    <w:rsid w:val="005060B1"/>
    <w:rsid w:val="00506187"/>
    <w:rsid w:val="00506878"/>
    <w:rsid w:val="00506F10"/>
    <w:rsid w:val="005104DA"/>
    <w:rsid w:val="00510CEB"/>
    <w:rsid w:val="00510F34"/>
    <w:rsid w:val="005116F9"/>
    <w:rsid w:val="00511A7B"/>
    <w:rsid w:val="00512C6F"/>
    <w:rsid w:val="00513C60"/>
    <w:rsid w:val="00513D89"/>
    <w:rsid w:val="00513D8C"/>
    <w:rsid w:val="005144CF"/>
    <w:rsid w:val="0051518E"/>
    <w:rsid w:val="00515B53"/>
    <w:rsid w:val="0051634B"/>
    <w:rsid w:val="005168B4"/>
    <w:rsid w:val="005200CA"/>
    <w:rsid w:val="0052014A"/>
    <w:rsid w:val="005209CC"/>
    <w:rsid w:val="00521043"/>
    <w:rsid w:val="005213DD"/>
    <w:rsid w:val="00521528"/>
    <w:rsid w:val="00521EBB"/>
    <w:rsid w:val="00521EFF"/>
    <w:rsid w:val="005229A3"/>
    <w:rsid w:val="0052407B"/>
    <w:rsid w:val="005241B5"/>
    <w:rsid w:val="005243E0"/>
    <w:rsid w:val="00524A5F"/>
    <w:rsid w:val="005259F5"/>
    <w:rsid w:val="00525C3C"/>
    <w:rsid w:val="00525F6B"/>
    <w:rsid w:val="00526C20"/>
    <w:rsid w:val="005277EA"/>
    <w:rsid w:val="005305FC"/>
    <w:rsid w:val="00530712"/>
    <w:rsid w:val="0053098D"/>
    <w:rsid w:val="00531DA8"/>
    <w:rsid w:val="005336A3"/>
    <w:rsid w:val="00533A62"/>
    <w:rsid w:val="005341EB"/>
    <w:rsid w:val="005341F6"/>
    <w:rsid w:val="00534693"/>
    <w:rsid w:val="00535017"/>
    <w:rsid w:val="0053643E"/>
    <w:rsid w:val="0053668A"/>
    <w:rsid w:val="005402D1"/>
    <w:rsid w:val="00540412"/>
    <w:rsid w:val="00540452"/>
    <w:rsid w:val="00540F9B"/>
    <w:rsid w:val="00541D83"/>
    <w:rsid w:val="00542112"/>
    <w:rsid w:val="005459BE"/>
    <w:rsid w:val="005464AD"/>
    <w:rsid w:val="00546575"/>
    <w:rsid w:val="00547D37"/>
    <w:rsid w:val="005505E4"/>
    <w:rsid w:val="00550979"/>
    <w:rsid w:val="005514E8"/>
    <w:rsid w:val="00552C77"/>
    <w:rsid w:val="0055305B"/>
    <w:rsid w:val="0055381B"/>
    <w:rsid w:val="00553B48"/>
    <w:rsid w:val="00555025"/>
    <w:rsid w:val="005550A8"/>
    <w:rsid w:val="00555BB8"/>
    <w:rsid w:val="00556E99"/>
    <w:rsid w:val="00557955"/>
    <w:rsid w:val="0055799D"/>
    <w:rsid w:val="005579BB"/>
    <w:rsid w:val="00560DA1"/>
    <w:rsid w:val="00560F58"/>
    <w:rsid w:val="005618FA"/>
    <w:rsid w:val="005619C2"/>
    <w:rsid w:val="00561F4C"/>
    <w:rsid w:val="0056202A"/>
    <w:rsid w:val="00562322"/>
    <w:rsid w:val="00562B49"/>
    <w:rsid w:val="005639D1"/>
    <w:rsid w:val="0056446A"/>
    <w:rsid w:val="00564B26"/>
    <w:rsid w:val="00564ED7"/>
    <w:rsid w:val="0056551A"/>
    <w:rsid w:val="005658F6"/>
    <w:rsid w:val="00565CAD"/>
    <w:rsid w:val="005660DC"/>
    <w:rsid w:val="005667CC"/>
    <w:rsid w:val="00566A52"/>
    <w:rsid w:val="00566D13"/>
    <w:rsid w:val="00567844"/>
    <w:rsid w:val="00567BF6"/>
    <w:rsid w:val="00567F8C"/>
    <w:rsid w:val="00570402"/>
    <w:rsid w:val="00570409"/>
    <w:rsid w:val="00570630"/>
    <w:rsid w:val="0057074A"/>
    <w:rsid w:val="00570D7F"/>
    <w:rsid w:val="00571343"/>
    <w:rsid w:val="00571471"/>
    <w:rsid w:val="00571F6B"/>
    <w:rsid w:val="00572AA3"/>
    <w:rsid w:val="00572FC5"/>
    <w:rsid w:val="00573420"/>
    <w:rsid w:val="00574A1D"/>
    <w:rsid w:val="0057530E"/>
    <w:rsid w:val="0057549D"/>
    <w:rsid w:val="00576313"/>
    <w:rsid w:val="005767EB"/>
    <w:rsid w:val="005769D6"/>
    <w:rsid w:val="0057707C"/>
    <w:rsid w:val="00577239"/>
    <w:rsid w:val="00577349"/>
    <w:rsid w:val="00577496"/>
    <w:rsid w:val="00581CA6"/>
    <w:rsid w:val="00585CB6"/>
    <w:rsid w:val="00586446"/>
    <w:rsid w:val="00587B17"/>
    <w:rsid w:val="00587C5E"/>
    <w:rsid w:val="0059049B"/>
    <w:rsid w:val="00590574"/>
    <w:rsid w:val="00591FA4"/>
    <w:rsid w:val="005921F5"/>
    <w:rsid w:val="005926E9"/>
    <w:rsid w:val="00592BB1"/>
    <w:rsid w:val="00593010"/>
    <w:rsid w:val="005931AD"/>
    <w:rsid w:val="005949B9"/>
    <w:rsid w:val="005954B5"/>
    <w:rsid w:val="00595DAA"/>
    <w:rsid w:val="00596349"/>
    <w:rsid w:val="0059674E"/>
    <w:rsid w:val="0059699C"/>
    <w:rsid w:val="005A0182"/>
    <w:rsid w:val="005A0535"/>
    <w:rsid w:val="005A0787"/>
    <w:rsid w:val="005A0819"/>
    <w:rsid w:val="005A0B17"/>
    <w:rsid w:val="005A0EFA"/>
    <w:rsid w:val="005A171C"/>
    <w:rsid w:val="005A1B88"/>
    <w:rsid w:val="005A4916"/>
    <w:rsid w:val="005A516E"/>
    <w:rsid w:val="005A5688"/>
    <w:rsid w:val="005A5C6C"/>
    <w:rsid w:val="005A60B3"/>
    <w:rsid w:val="005A63A7"/>
    <w:rsid w:val="005A6C87"/>
    <w:rsid w:val="005A7ADE"/>
    <w:rsid w:val="005B1360"/>
    <w:rsid w:val="005B1FEC"/>
    <w:rsid w:val="005B2B10"/>
    <w:rsid w:val="005B359B"/>
    <w:rsid w:val="005B3730"/>
    <w:rsid w:val="005B3952"/>
    <w:rsid w:val="005B3AA3"/>
    <w:rsid w:val="005B4194"/>
    <w:rsid w:val="005B4270"/>
    <w:rsid w:val="005B42D5"/>
    <w:rsid w:val="005B4390"/>
    <w:rsid w:val="005B7193"/>
    <w:rsid w:val="005B7243"/>
    <w:rsid w:val="005C0133"/>
    <w:rsid w:val="005C1FE2"/>
    <w:rsid w:val="005C36DF"/>
    <w:rsid w:val="005C484C"/>
    <w:rsid w:val="005C4E2E"/>
    <w:rsid w:val="005C57A4"/>
    <w:rsid w:val="005C78F7"/>
    <w:rsid w:val="005C7DFC"/>
    <w:rsid w:val="005C7E69"/>
    <w:rsid w:val="005D0180"/>
    <w:rsid w:val="005D1561"/>
    <w:rsid w:val="005D1B9A"/>
    <w:rsid w:val="005D2535"/>
    <w:rsid w:val="005D308D"/>
    <w:rsid w:val="005D336B"/>
    <w:rsid w:val="005D398D"/>
    <w:rsid w:val="005D3B53"/>
    <w:rsid w:val="005D3BF3"/>
    <w:rsid w:val="005D3FA9"/>
    <w:rsid w:val="005D41AE"/>
    <w:rsid w:val="005D44D8"/>
    <w:rsid w:val="005D504C"/>
    <w:rsid w:val="005D5092"/>
    <w:rsid w:val="005D5971"/>
    <w:rsid w:val="005D6CCF"/>
    <w:rsid w:val="005D76BF"/>
    <w:rsid w:val="005D7FE0"/>
    <w:rsid w:val="005E046B"/>
    <w:rsid w:val="005E0745"/>
    <w:rsid w:val="005E07C3"/>
    <w:rsid w:val="005E1014"/>
    <w:rsid w:val="005E13EF"/>
    <w:rsid w:val="005E13F4"/>
    <w:rsid w:val="005E1618"/>
    <w:rsid w:val="005E17B1"/>
    <w:rsid w:val="005E1958"/>
    <w:rsid w:val="005E1AB5"/>
    <w:rsid w:val="005E1B3E"/>
    <w:rsid w:val="005E2F84"/>
    <w:rsid w:val="005E4004"/>
    <w:rsid w:val="005E50F3"/>
    <w:rsid w:val="005E5529"/>
    <w:rsid w:val="005F0AFA"/>
    <w:rsid w:val="005F1A73"/>
    <w:rsid w:val="005F1AD8"/>
    <w:rsid w:val="005F1DE1"/>
    <w:rsid w:val="005F2139"/>
    <w:rsid w:val="005F29ED"/>
    <w:rsid w:val="005F2F83"/>
    <w:rsid w:val="005F46C9"/>
    <w:rsid w:val="005F4C84"/>
    <w:rsid w:val="005F6202"/>
    <w:rsid w:val="005F6A7C"/>
    <w:rsid w:val="005F704A"/>
    <w:rsid w:val="005F75E2"/>
    <w:rsid w:val="005F7C09"/>
    <w:rsid w:val="006004E5"/>
    <w:rsid w:val="00600F7E"/>
    <w:rsid w:val="0060118C"/>
    <w:rsid w:val="00603BD2"/>
    <w:rsid w:val="00603C12"/>
    <w:rsid w:val="00603F4A"/>
    <w:rsid w:val="0060444E"/>
    <w:rsid w:val="0060518B"/>
    <w:rsid w:val="00605B4E"/>
    <w:rsid w:val="0060612E"/>
    <w:rsid w:val="00606B59"/>
    <w:rsid w:val="0060752F"/>
    <w:rsid w:val="00607789"/>
    <w:rsid w:val="00607F2A"/>
    <w:rsid w:val="006101DF"/>
    <w:rsid w:val="0061088B"/>
    <w:rsid w:val="006109B0"/>
    <w:rsid w:val="00610BFD"/>
    <w:rsid w:val="00610D47"/>
    <w:rsid w:val="00611C60"/>
    <w:rsid w:val="006123AA"/>
    <w:rsid w:val="00612AD4"/>
    <w:rsid w:val="0061374E"/>
    <w:rsid w:val="00614DC4"/>
    <w:rsid w:val="00615A20"/>
    <w:rsid w:val="00615DC2"/>
    <w:rsid w:val="00615EBB"/>
    <w:rsid w:val="00616121"/>
    <w:rsid w:val="00616186"/>
    <w:rsid w:val="00616C5B"/>
    <w:rsid w:val="00617064"/>
    <w:rsid w:val="006175C9"/>
    <w:rsid w:val="00617CAA"/>
    <w:rsid w:val="00620079"/>
    <w:rsid w:val="00622489"/>
    <w:rsid w:val="006228D2"/>
    <w:rsid w:val="0062292F"/>
    <w:rsid w:val="00622E27"/>
    <w:rsid w:val="0062463C"/>
    <w:rsid w:val="006246F4"/>
    <w:rsid w:val="00624771"/>
    <w:rsid w:val="00624D0C"/>
    <w:rsid w:val="00625669"/>
    <w:rsid w:val="00626A0B"/>
    <w:rsid w:val="0062770E"/>
    <w:rsid w:val="00631346"/>
    <w:rsid w:val="00631CE6"/>
    <w:rsid w:val="00636063"/>
    <w:rsid w:val="006362DC"/>
    <w:rsid w:val="006370ED"/>
    <w:rsid w:val="006372FE"/>
    <w:rsid w:val="00637D67"/>
    <w:rsid w:val="00640457"/>
    <w:rsid w:val="00640BA3"/>
    <w:rsid w:val="00641B38"/>
    <w:rsid w:val="00641BA8"/>
    <w:rsid w:val="00641F5E"/>
    <w:rsid w:val="006424E7"/>
    <w:rsid w:val="00642BD6"/>
    <w:rsid w:val="00643ABA"/>
    <w:rsid w:val="00643B74"/>
    <w:rsid w:val="00643DB8"/>
    <w:rsid w:val="006442C8"/>
    <w:rsid w:val="0064432F"/>
    <w:rsid w:val="00644B0F"/>
    <w:rsid w:val="00644CB4"/>
    <w:rsid w:val="00645226"/>
    <w:rsid w:val="00645F51"/>
    <w:rsid w:val="00645FCA"/>
    <w:rsid w:val="006468BF"/>
    <w:rsid w:val="00647B39"/>
    <w:rsid w:val="00650FAF"/>
    <w:rsid w:val="00651125"/>
    <w:rsid w:val="0065156B"/>
    <w:rsid w:val="006520C3"/>
    <w:rsid w:val="0065215E"/>
    <w:rsid w:val="00652236"/>
    <w:rsid w:val="006525E3"/>
    <w:rsid w:val="00653179"/>
    <w:rsid w:val="006542AB"/>
    <w:rsid w:val="006542FE"/>
    <w:rsid w:val="0065453D"/>
    <w:rsid w:val="00655346"/>
    <w:rsid w:val="00655F8B"/>
    <w:rsid w:val="00656219"/>
    <w:rsid w:val="006562D0"/>
    <w:rsid w:val="006563AD"/>
    <w:rsid w:val="00656E3A"/>
    <w:rsid w:val="00656E54"/>
    <w:rsid w:val="0065760A"/>
    <w:rsid w:val="0065767E"/>
    <w:rsid w:val="0065771E"/>
    <w:rsid w:val="00657794"/>
    <w:rsid w:val="00657C9C"/>
    <w:rsid w:val="006603C4"/>
    <w:rsid w:val="00660D4A"/>
    <w:rsid w:val="00661168"/>
    <w:rsid w:val="0066139D"/>
    <w:rsid w:val="006617AA"/>
    <w:rsid w:val="00661ED3"/>
    <w:rsid w:val="006623AB"/>
    <w:rsid w:val="00662B49"/>
    <w:rsid w:val="006634E9"/>
    <w:rsid w:val="00663803"/>
    <w:rsid w:val="00663CBB"/>
    <w:rsid w:val="00663D1C"/>
    <w:rsid w:val="00664619"/>
    <w:rsid w:val="006656BD"/>
    <w:rsid w:val="0066580C"/>
    <w:rsid w:val="00665E2A"/>
    <w:rsid w:val="006663FE"/>
    <w:rsid w:val="00667E74"/>
    <w:rsid w:val="006707EA"/>
    <w:rsid w:val="0067095C"/>
    <w:rsid w:val="00671037"/>
    <w:rsid w:val="006716BB"/>
    <w:rsid w:val="00671A83"/>
    <w:rsid w:val="00672935"/>
    <w:rsid w:val="00672B73"/>
    <w:rsid w:val="00673094"/>
    <w:rsid w:val="0067390A"/>
    <w:rsid w:val="00673F01"/>
    <w:rsid w:val="00674980"/>
    <w:rsid w:val="006762E7"/>
    <w:rsid w:val="00676BE0"/>
    <w:rsid w:val="00676F9E"/>
    <w:rsid w:val="00677112"/>
    <w:rsid w:val="00677AA1"/>
    <w:rsid w:val="006802AC"/>
    <w:rsid w:val="00680325"/>
    <w:rsid w:val="00681FAF"/>
    <w:rsid w:val="00682FC9"/>
    <w:rsid w:val="006831EA"/>
    <w:rsid w:val="00684132"/>
    <w:rsid w:val="006844A3"/>
    <w:rsid w:val="006853AB"/>
    <w:rsid w:val="00686132"/>
    <w:rsid w:val="00686562"/>
    <w:rsid w:val="006868E9"/>
    <w:rsid w:val="00686ED8"/>
    <w:rsid w:val="006874C9"/>
    <w:rsid w:val="00687E38"/>
    <w:rsid w:val="006913F7"/>
    <w:rsid w:val="00691D86"/>
    <w:rsid w:val="006924CC"/>
    <w:rsid w:val="006928DB"/>
    <w:rsid w:val="00693132"/>
    <w:rsid w:val="006931EA"/>
    <w:rsid w:val="00693519"/>
    <w:rsid w:val="006936F9"/>
    <w:rsid w:val="00693B0A"/>
    <w:rsid w:val="006945D5"/>
    <w:rsid w:val="006946D2"/>
    <w:rsid w:val="00694F07"/>
    <w:rsid w:val="00696070"/>
    <w:rsid w:val="00696288"/>
    <w:rsid w:val="006964B4"/>
    <w:rsid w:val="00696D26"/>
    <w:rsid w:val="00697996"/>
    <w:rsid w:val="00697E2E"/>
    <w:rsid w:val="006A0401"/>
    <w:rsid w:val="006A0F43"/>
    <w:rsid w:val="006A2C8C"/>
    <w:rsid w:val="006A371B"/>
    <w:rsid w:val="006A4590"/>
    <w:rsid w:val="006A476B"/>
    <w:rsid w:val="006A495A"/>
    <w:rsid w:val="006A4A4F"/>
    <w:rsid w:val="006A535D"/>
    <w:rsid w:val="006A6412"/>
    <w:rsid w:val="006A650D"/>
    <w:rsid w:val="006A7AF0"/>
    <w:rsid w:val="006B1970"/>
    <w:rsid w:val="006B1F02"/>
    <w:rsid w:val="006B2495"/>
    <w:rsid w:val="006B3031"/>
    <w:rsid w:val="006B374E"/>
    <w:rsid w:val="006B416E"/>
    <w:rsid w:val="006B4ACA"/>
    <w:rsid w:val="006B5584"/>
    <w:rsid w:val="006B56B7"/>
    <w:rsid w:val="006B5B6F"/>
    <w:rsid w:val="006B61E2"/>
    <w:rsid w:val="006B6B00"/>
    <w:rsid w:val="006C140C"/>
    <w:rsid w:val="006C16FF"/>
    <w:rsid w:val="006C1DC0"/>
    <w:rsid w:val="006C20F2"/>
    <w:rsid w:val="006C231D"/>
    <w:rsid w:val="006C3019"/>
    <w:rsid w:val="006C34D4"/>
    <w:rsid w:val="006C3B76"/>
    <w:rsid w:val="006C41C6"/>
    <w:rsid w:val="006C4A7E"/>
    <w:rsid w:val="006C504E"/>
    <w:rsid w:val="006C6F5E"/>
    <w:rsid w:val="006C773C"/>
    <w:rsid w:val="006C7DD8"/>
    <w:rsid w:val="006C7F61"/>
    <w:rsid w:val="006D01EA"/>
    <w:rsid w:val="006D0C6B"/>
    <w:rsid w:val="006D1150"/>
    <w:rsid w:val="006D1220"/>
    <w:rsid w:val="006D190E"/>
    <w:rsid w:val="006D23FD"/>
    <w:rsid w:val="006D27B5"/>
    <w:rsid w:val="006D367D"/>
    <w:rsid w:val="006D4ECC"/>
    <w:rsid w:val="006D614C"/>
    <w:rsid w:val="006D7223"/>
    <w:rsid w:val="006D7C78"/>
    <w:rsid w:val="006E0B33"/>
    <w:rsid w:val="006E1D51"/>
    <w:rsid w:val="006E220E"/>
    <w:rsid w:val="006E28A2"/>
    <w:rsid w:val="006E3639"/>
    <w:rsid w:val="006E4711"/>
    <w:rsid w:val="006E4A21"/>
    <w:rsid w:val="006E672B"/>
    <w:rsid w:val="006E6944"/>
    <w:rsid w:val="006E6DC4"/>
    <w:rsid w:val="006E6E09"/>
    <w:rsid w:val="006E7BA6"/>
    <w:rsid w:val="006F0517"/>
    <w:rsid w:val="006F0790"/>
    <w:rsid w:val="006F0933"/>
    <w:rsid w:val="006F0ABB"/>
    <w:rsid w:val="006F0B53"/>
    <w:rsid w:val="006F12A8"/>
    <w:rsid w:val="006F146F"/>
    <w:rsid w:val="006F1AE9"/>
    <w:rsid w:val="006F286F"/>
    <w:rsid w:val="006F55CE"/>
    <w:rsid w:val="006F5F72"/>
    <w:rsid w:val="006F6A30"/>
    <w:rsid w:val="006F6DE2"/>
    <w:rsid w:val="006F7BF1"/>
    <w:rsid w:val="006F7DED"/>
    <w:rsid w:val="00700533"/>
    <w:rsid w:val="00700F6F"/>
    <w:rsid w:val="00700FF7"/>
    <w:rsid w:val="007014C8"/>
    <w:rsid w:val="00701960"/>
    <w:rsid w:val="0070196E"/>
    <w:rsid w:val="0070202E"/>
    <w:rsid w:val="00702312"/>
    <w:rsid w:val="00702564"/>
    <w:rsid w:val="00702C15"/>
    <w:rsid w:val="00705420"/>
    <w:rsid w:val="0070699E"/>
    <w:rsid w:val="00707933"/>
    <w:rsid w:val="007106EC"/>
    <w:rsid w:val="00710903"/>
    <w:rsid w:val="00710933"/>
    <w:rsid w:val="00710E7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1293"/>
    <w:rsid w:val="00721B51"/>
    <w:rsid w:val="007247A3"/>
    <w:rsid w:val="00724BA8"/>
    <w:rsid w:val="007254B6"/>
    <w:rsid w:val="0072564B"/>
    <w:rsid w:val="00725FDD"/>
    <w:rsid w:val="00726347"/>
    <w:rsid w:val="00726C09"/>
    <w:rsid w:val="00726D16"/>
    <w:rsid w:val="00727143"/>
    <w:rsid w:val="00727659"/>
    <w:rsid w:val="00727821"/>
    <w:rsid w:val="00727E5F"/>
    <w:rsid w:val="00727F37"/>
    <w:rsid w:val="00731AE0"/>
    <w:rsid w:val="00732808"/>
    <w:rsid w:val="00735105"/>
    <w:rsid w:val="007358BF"/>
    <w:rsid w:val="00735D6E"/>
    <w:rsid w:val="007363DF"/>
    <w:rsid w:val="007365A5"/>
    <w:rsid w:val="007372F9"/>
    <w:rsid w:val="00737315"/>
    <w:rsid w:val="0074096D"/>
    <w:rsid w:val="00741814"/>
    <w:rsid w:val="00741EED"/>
    <w:rsid w:val="0074231F"/>
    <w:rsid w:val="007423A0"/>
    <w:rsid w:val="00743EFD"/>
    <w:rsid w:val="00747214"/>
    <w:rsid w:val="00747880"/>
    <w:rsid w:val="00747B45"/>
    <w:rsid w:val="00747E30"/>
    <w:rsid w:val="007504FA"/>
    <w:rsid w:val="007514C1"/>
    <w:rsid w:val="00752740"/>
    <w:rsid w:val="00753349"/>
    <w:rsid w:val="00754EA4"/>
    <w:rsid w:val="00755CBB"/>
    <w:rsid w:val="00757518"/>
    <w:rsid w:val="0076072D"/>
    <w:rsid w:val="007614F5"/>
    <w:rsid w:val="00762B2A"/>
    <w:rsid w:val="00764607"/>
    <w:rsid w:val="00764D33"/>
    <w:rsid w:val="00765595"/>
    <w:rsid w:val="0076682E"/>
    <w:rsid w:val="007669E9"/>
    <w:rsid w:val="00766EF6"/>
    <w:rsid w:val="007674BA"/>
    <w:rsid w:val="00767E7B"/>
    <w:rsid w:val="00767FA2"/>
    <w:rsid w:val="007707B1"/>
    <w:rsid w:val="00771AC7"/>
    <w:rsid w:val="00771C7D"/>
    <w:rsid w:val="00772C0B"/>
    <w:rsid w:val="00772EA9"/>
    <w:rsid w:val="00774351"/>
    <w:rsid w:val="007743CF"/>
    <w:rsid w:val="00774734"/>
    <w:rsid w:val="007747E5"/>
    <w:rsid w:val="0077547B"/>
    <w:rsid w:val="00775B00"/>
    <w:rsid w:val="00775B61"/>
    <w:rsid w:val="00775C49"/>
    <w:rsid w:val="00776133"/>
    <w:rsid w:val="007761F8"/>
    <w:rsid w:val="00777487"/>
    <w:rsid w:val="00777B88"/>
    <w:rsid w:val="00780036"/>
    <w:rsid w:val="00781A62"/>
    <w:rsid w:val="00781D74"/>
    <w:rsid w:val="00782675"/>
    <w:rsid w:val="0078348C"/>
    <w:rsid w:val="00783E41"/>
    <w:rsid w:val="0078442F"/>
    <w:rsid w:val="00784FDE"/>
    <w:rsid w:val="00785831"/>
    <w:rsid w:val="007871AF"/>
    <w:rsid w:val="00790694"/>
    <w:rsid w:val="00790713"/>
    <w:rsid w:val="00791011"/>
    <w:rsid w:val="0079115E"/>
    <w:rsid w:val="00792077"/>
    <w:rsid w:val="00792E61"/>
    <w:rsid w:val="007933AC"/>
    <w:rsid w:val="00793A5C"/>
    <w:rsid w:val="00793B0B"/>
    <w:rsid w:val="0079455C"/>
    <w:rsid w:val="007945F1"/>
    <w:rsid w:val="00794E6A"/>
    <w:rsid w:val="007955C2"/>
    <w:rsid w:val="007959B7"/>
    <w:rsid w:val="00796082"/>
    <w:rsid w:val="00796760"/>
    <w:rsid w:val="0079705F"/>
    <w:rsid w:val="00797351"/>
    <w:rsid w:val="00797409"/>
    <w:rsid w:val="007974AE"/>
    <w:rsid w:val="007975F4"/>
    <w:rsid w:val="007A0393"/>
    <w:rsid w:val="007A09B6"/>
    <w:rsid w:val="007A0D7E"/>
    <w:rsid w:val="007A1826"/>
    <w:rsid w:val="007A1950"/>
    <w:rsid w:val="007A2080"/>
    <w:rsid w:val="007A279B"/>
    <w:rsid w:val="007A3325"/>
    <w:rsid w:val="007A3378"/>
    <w:rsid w:val="007A3C9A"/>
    <w:rsid w:val="007A405D"/>
    <w:rsid w:val="007A4200"/>
    <w:rsid w:val="007A471B"/>
    <w:rsid w:val="007A50EE"/>
    <w:rsid w:val="007A61F2"/>
    <w:rsid w:val="007A7C31"/>
    <w:rsid w:val="007A7C91"/>
    <w:rsid w:val="007A7CFB"/>
    <w:rsid w:val="007B0105"/>
    <w:rsid w:val="007B0C70"/>
    <w:rsid w:val="007B133F"/>
    <w:rsid w:val="007B230E"/>
    <w:rsid w:val="007B287D"/>
    <w:rsid w:val="007B2F8B"/>
    <w:rsid w:val="007B3809"/>
    <w:rsid w:val="007B4B6D"/>
    <w:rsid w:val="007B4CC9"/>
    <w:rsid w:val="007B4EB3"/>
    <w:rsid w:val="007B4FB9"/>
    <w:rsid w:val="007B6699"/>
    <w:rsid w:val="007B6D5D"/>
    <w:rsid w:val="007B70EE"/>
    <w:rsid w:val="007B743F"/>
    <w:rsid w:val="007C0586"/>
    <w:rsid w:val="007C05B5"/>
    <w:rsid w:val="007C0EB9"/>
    <w:rsid w:val="007C1470"/>
    <w:rsid w:val="007C1E8F"/>
    <w:rsid w:val="007C2B63"/>
    <w:rsid w:val="007C2BA1"/>
    <w:rsid w:val="007C34CB"/>
    <w:rsid w:val="007C3D8F"/>
    <w:rsid w:val="007C47B6"/>
    <w:rsid w:val="007C5482"/>
    <w:rsid w:val="007C6D1D"/>
    <w:rsid w:val="007C6DC1"/>
    <w:rsid w:val="007C746F"/>
    <w:rsid w:val="007C74F5"/>
    <w:rsid w:val="007C76B0"/>
    <w:rsid w:val="007C78A0"/>
    <w:rsid w:val="007C7CEC"/>
    <w:rsid w:val="007D0143"/>
    <w:rsid w:val="007D0291"/>
    <w:rsid w:val="007D1098"/>
    <w:rsid w:val="007D169A"/>
    <w:rsid w:val="007D1F58"/>
    <w:rsid w:val="007D2790"/>
    <w:rsid w:val="007D29E0"/>
    <w:rsid w:val="007D2ECA"/>
    <w:rsid w:val="007D3ADB"/>
    <w:rsid w:val="007D46B1"/>
    <w:rsid w:val="007D4A9D"/>
    <w:rsid w:val="007D55E0"/>
    <w:rsid w:val="007D6290"/>
    <w:rsid w:val="007D6E8A"/>
    <w:rsid w:val="007D76F9"/>
    <w:rsid w:val="007D7928"/>
    <w:rsid w:val="007E0573"/>
    <w:rsid w:val="007E1436"/>
    <w:rsid w:val="007E162C"/>
    <w:rsid w:val="007E3EC4"/>
    <w:rsid w:val="007E46AA"/>
    <w:rsid w:val="007E4AA2"/>
    <w:rsid w:val="007E52E9"/>
    <w:rsid w:val="007E5777"/>
    <w:rsid w:val="007E64CB"/>
    <w:rsid w:val="007E6AFC"/>
    <w:rsid w:val="007E7153"/>
    <w:rsid w:val="007E757E"/>
    <w:rsid w:val="007F1026"/>
    <w:rsid w:val="007F1C66"/>
    <w:rsid w:val="007F2055"/>
    <w:rsid w:val="007F2130"/>
    <w:rsid w:val="007F265A"/>
    <w:rsid w:val="007F2AB9"/>
    <w:rsid w:val="007F3416"/>
    <w:rsid w:val="007F3A03"/>
    <w:rsid w:val="007F3D3C"/>
    <w:rsid w:val="007F3E63"/>
    <w:rsid w:val="007F42E9"/>
    <w:rsid w:val="007F4AEC"/>
    <w:rsid w:val="007F5585"/>
    <w:rsid w:val="007F5DA2"/>
    <w:rsid w:val="007F5DDC"/>
    <w:rsid w:val="007F6851"/>
    <w:rsid w:val="007F6D24"/>
    <w:rsid w:val="007F7DC2"/>
    <w:rsid w:val="00800964"/>
    <w:rsid w:val="00801400"/>
    <w:rsid w:val="00803397"/>
    <w:rsid w:val="008049F7"/>
    <w:rsid w:val="008060A3"/>
    <w:rsid w:val="008062AD"/>
    <w:rsid w:val="00806425"/>
    <w:rsid w:val="00806638"/>
    <w:rsid w:val="008073B3"/>
    <w:rsid w:val="00807747"/>
    <w:rsid w:val="00807AD3"/>
    <w:rsid w:val="00810224"/>
    <w:rsid w:val="008104E7"/>
    <w:rsid w:val="0081077D"/>
    <w:rsid w:val="0081085B"/>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17966"/>
    <w:rsid w:val="0082026A"/>
    <w:rsid w:val="008206FB"/>
    <w:rsid w:val="00820B3A"/>
    <w:rsid w:val="00820DEA"/>
    <w:rsid w:val="008215B6"/>
    <w:rsid w:val="008221CB"/>
    <w:rsid w:val="00823D49"/>
    <w:rsid w:val="00824C50"/>
    <w:rsid w:val="00825571"/>
    <w:rsid w:val="008265D9"/>
    <w:rsid w:val="00826712"/>
    <w:rsid w:val="00826B37"/>
    <w:rsid w:val="00826DC0"/>
    <w:rsid w:val="00826EA5"/>
    <w:rsid w:val="00827B30"/>
    <w:rsid w:val="00830719"/>
    <w:rsid w:val="00831694"/>
    <w:rsid w:val="00831936"/>
    <w:rsid w:val="00831A3C"/>
    <w:rsid w:val="00831BDE"/>
    <w:rsid w:val="00832715"/>
    <w:rsid w:val="008329D0"/>
    <w:rsid w:val="008339D7"/>
    <w:rsid w:val="00833C9E"/>
    <w:rsid w:val="008342BC"/>
    <w:rsid w:val="00834411"/>
    <w:rsid w:val="008359A4"/>
    <w:rsid w:val="00835C61"/>
    <w:rsid w:val="00836043"/>
    <w:rsid w:val="008360D0"/>
    <w:rsid w:val="00836122"/>
    <w:rsid w:val="00836DDA"/>
    <w:rsid w:val="00837C72"/>
    <w:rsid w:val="00840033"/>
    <w:rsid w:val="0084029B"/>
    <w:rsid w:val="0084052B"/>
    <w:rsid w:val="00840C1D"/>
    <w:rsid w:val="00841369"/>
    <w:rsid w:val="008413F1"/>
    <w:rsid w:val="008417A0"/>
    <w:rsid w:val="00841E41"/>
    <w:rsid w:val="00842260"/>
    <w:rsid w:val="008429D4"/>
    <w:rsid w:val="00842F6B"/>
    <w:rsid w:val="00843BD7"/>
    <w:rsid w:val="0084417C"/>
    <w:rsid w:val="00844468"/>
    <w:rsid w:val="008453A0"/>
    <w:rsid w:val="0084565E"/>
    <w:rsid w:val="0084627F"/>
    <w:rsid w:val="00846E86"/>
    <w:rsid w:val="008477C7"/>
    <w:rsid w:val="008518B9"/>
    <w:rsid w:val="00852741"/>
    <w:rsid w:val="00853258"/>
    <w:rsid w:val="00853E4B"/>
    <w:rsid w:val="00855731"/>
    <w:rsid w:val="00856067"/>
    <w:rsid w:val="00856601"/>
    <w:rsid w:val="008573F0"/>
    <w:rsid w:val="0085742D"/>
    <w:rsid w:val="00861BE6"/>
    <w:rsid w:val="00862380"/>
    <w:rsid w:val="00862DE4"/>
    <w:rsid w:val="0086557E"/>
    <w:rsid w:val="008655F8"/>
    <w:rsid w:val="00865E96"/>
    <w:rsid w:val="00865FC1"/>
    <w:rsid w:val="00866185"/>
    <w:rsid w:val="0086675D"/>
    <w:rsid w:val="0086709B"/>
    <w:rsid w:val="00867315"/>
    <w:rsid w:val="00867729"/>
    <w:rsid w:val="00867A59"/>
    <w:rsid w:val="00870F06"/>
    <w:rsid w:val="0087149F"/>
    <w:rsid w:val="0087178E"/>
    <w:rsid w:val="00871B71"/>
    <w:rsid w:val="008733F5"/>
    <w:rsid w:val="008734C5"/>
    <w:rsid w:val="00873607"/>
    <w:rsid w:val="00873983"/>
    <w:rsid w:val="00873E15"/>
    <w:rsid w:val="008743EE"/>
    <w:rsid w:val="00874D80"/>
    <w:rsid w:val="008754D0"/>
    <w:rsid w:val="00875FD6"/>
    <w:rsid w:val="00876652"/>
    <w:rsid w:val="00876BB4"/>
    <w:rsid w:val="0087778C"/>
    <w:rsid w:val="00877B08"/>
    <w:rsid w:val="00877F14"/>
    <w:rsid w:val="0088039D"/>
    <w:rsid w:val="008804B2"/>
    <w:rsid w:val="00880BCF"/>
    <w:rsid w:val="00880DFD"/>
    <w:rsid w:val="00881413"/>
    <w:rsid w:val="0088387D"/>
    <w:rsid w:val="00883B5E"/>
    <w:rsid w:val="00884645"/>
    <w:rsid w:val="00884DC2"/>
    <w:rsid w:val="00884F13"/>
    <w:rsid w:val="00885244"/>
    <w:rsid w:val="00885B10"/>
    <w:rsid w:val="008864AD"/>
    <w:rsid w:val="00886B2E"/>
    <w:rsid w:val="008878DB"/>
    <w:rsid w:val="00890D19"/>
    <w:rsid w:val="00891296"/>
    <w:rsid w:val="00891370"/>
    <w:rsid w:val="008917BC"/>
    <w:rsid w:val="00891B62"/>
    <w:rsid w:val="008921C5"/>
    <w:rsid w:val="0089246F"/>
    <w:rsid w:val="00892A9E"/>
    <w:rsid w:val="00892C0B"/>
    <w:rsid w:val="00895C1C"/>
    <w:rsid w:val="008967B2"/>
    <w:rsid w:val="008974BE"/>
    <w:rsid w:val="008975AB"/>
    <w:rsid w:val="008A0093"/>
    <w:rsid w:val="008A042F"/>
    <w:rsid w:val="008A0519"/>
    <w:rsid w:val="008A0C11"/>
    <w:rsid w:val="008A3485"/>
    <w:rsid w:val="008A3602"/>
    <w:rsid w:val="008A42E6"/>
    <w:rsid w:val="008A5BB0"/>
    <w:rsid w:val="008A6126"/>
    <w:rsid w:val="008A6870"/>
    <w:rsid w:val="008A7271"/>
    <w:rsid w:val="008A7793"/>
    <w:rsid w:val="008A7A8F"/>
    <w:rsid w:val="008B01BE"/>
    <w:rsid w:val="008B0665"/>
    <w:rsid w:val="008B0750"/>
    <w:rsid w:val="008B07D2"/>
    <w:rsid w:val="008B08D8"/>
    <w:rsid w:val="008B0ADC"/>
    <w:rsid w:val="008B0D8B"/>
    <w:rsid w:val="008B11E6"/>
    <w:rsid w:val="008B11FD"/>
    <w:rsid w:val="008B1EF9"/>
    <w:rsid w:val="008B20C5"/>
    <w:rsid w:val="008B304F"/>
    <w:rsid w:val="008B5DD8"/>
    <w:rsid w:val="008B62E0"/>
    <w:rsid w:val="008B68E4"/>
    <w:rsid w:val="008B6C06"/>
    <w:rsid w:val="008B7DC2"/>
    <w:rsid w:val="008C0F1C"/>
    <w:rsid w:val="008C11E9"/>
    <w:rsid w:val="008C15F5"/>
    <w:rsid w:val="008C2062"/>
    <w:rsid w:val="008C2217"/>
    <w:rsid w:val="008C227B"/>
    <w:rsid w:val="008C3678"/>
    <w:rsid w:val="008C4BFF"/>
    <w:rsid w:val="008C4E79"/>
    <w:rsid w:val="008C500C"/>
    <w:rsid w:val="008C5073"/>
    <w:rsid w:val="008C5236"/>
    <w:rsid w:val="008C57A6"/>
    <w:rsid w:val="008C599D"/>
    <w:rsid w:val="008C5CF8"/>
    <w:rsid w:val="008C6780"/>
    <w:rsid w:val="008C7158"/>
    <w:rsid w:val="008D0BC0"/>
    <w:rsid w:val="008D195F"/>
    <w:rsid w:val="008D1A1E"/>
    <w:rsid w:val="008D2928"/>
    <w:rsid w:val="008D2F53"/>
    <w:rsid w:val="008D38F9"/>
    <w:rsid w:val="008D4033"/>
    <w:rsid w:val="008D4092"/>
    <w:rsid w:val="008D5084"/>
    <w:rsid w:val="008D5289"/>
    <w:rsid w:val="008D5371"/>
    <w:rsid w:val="008D54D9"/>
    <w:rsid w:val="008D5650"/>
    <w:rsid w:val="008D58DC"/>
    <w:rsid w:val="008D5984"/>
    <w:rsid w:val="008D6855"/>
    <w:rsid w:val="008D69E6"/>
    <w:rsid w:val="008D6A3C"/>
    <w:rsid w:val="008D723E"/>
    <w:rsid w:val="008D754F"/>
    <w:rsid w:val="008E0680"/>
    <w:rsid w:val="008E300D"/>
    <w:rsid w:val="008E4752"/>
    <w:rsid w:val="008E489F"/>
    <w:rsid w:val="008E4D76"/>
    <w:rsid w:val="008E5200"/>
    <w:rsid w:val="008E52AF"/>
    <w:rsid w:val="008E5FB2"/>
    <w:rsid w:val="008E675F"/>
    <w:rsid w:val="008E7C8F"/>
    <w:rsid w:val="008E7CAA"/>
    <w:rsid w:val="008E7CCD"/>
    <w:rsid w:val="008F0764"/>
    <w:rsid w:val="008F0C55"/>
    <w:rsid w:val="008F12B3"/>
    <w:rsid w:val="008F23D9"/>
    <w:rsid w:val="008F378B"/>
    <w:rsid w:val="008F3DC2"/>
    <w:rsid w:val="008F4D23"/>
    <w:rsid w:val="008F4DE0"/>
    <w:rsid w:val="008F51C6"/>
    <w:rsid w:val="008F5396"/>
    <w:rsid w:val="00900654"/>
    <w:rsid w:val="00900D2B"/>
    <w:rsid w:val="00902647"/>
    <w:rsid w:val="00902869"/>
    <w:rsid w:val="00902BA2"/>
    <w:rsid w:val="00903B26"/>
    <w:rsid w:val="00904201"/>
    <w:rsid w:val="009045F6"/>
    <w:rsid w:val="00906519"/>
    <w:rsid w:val="00906A53"/>
    <w:rsid w:val="00907273"/>
    <w:rsid w:val="009115DA"/>
    <w:rsid w:val="00911ED3"/>
    <w:rsid w:val="0091341A"/>
    <w:rsid w:val="00913773"/>
    <w:rsid w:val="00914613"/>
    <w:rsid w:val="00916ABA"/>
    <w:rsid w:val="00917E11"/>
    <w:rsid w:val="00920504"/>
    <w:rsid w:val="00920B6B"/>
    <w:rsid w:val="00921EAE"/>
    <w:rsid w:val="0092589F"/>
    <w:rsid w:val="00925D0F"/>
    <w:rsid w:val="00925DFD"/>
    <w:rsid w:val="0092609E"/>
    <w:rsid w:val="009260E2"/>
    <w:rsid w:val="00926B18"/>
    <w:rsid w:val="00927B8D"/>
    <w:rsid w:val="00927BE5"/>
    <w:rsid w:val="00927EB9"/>
    <w:rsid w:val="0093013F"/>
    <w:rsid w:val="0093239D"/>
    <w:rsid w:val="00932481"/>
    <w:rsid w:val="009326B2"/>
    <w:rsid w:val="009327AF"/>
    <w:rsid w:val="00932D95"/>
    <w:rsid w:val="00933E2F"/>
    <w:rsid w:val="00934044"/>
    <w:rsid w:val="009342D9"/>
    <w:rsid w:val="009345A1"/>
    <w:rsid w:val="00934F57"/>
    <w:rsid w:val="00936E86"/>
    <w:rsid w:val="00937C70"/>
    <w:rsid w:val="00940B01"/>
    <w:rsid w:val="00940C07"/>
    <w:rsid w:val="00941E0A"/>
    <w:rsid w:val="009422E0"/>
    <w:rsid w:val="00942768"/>
    <w:rsid w:val="00942ED3"/>
    <w:rsid w:val="009434D4"/>
    <w:rsid w:val="00944158"/>
    <w:rsid w:val="00944A15"/>
    <w:rsid w:val="00945CCC"/>
    <w:rsid w:val="00946074"/>
    <w:rsid w:val="009467F5"/>
    <w:rsid w:val="00946FE4"/>
    <w:rsid w:val="009474C7"/>
    <w:rsid w:val="009476C2"/>
    <w:rsid w:val="009477CB"/>
    <w:rsid w:val="0094786D"/>
    <w:rsid w:val="00947BBD"/>
    <w:rsid w:val="00947D2B"/>
    <w:rsid w:val="0095006D"/>
    <w:rsid w:val="00950676"/>
    <w:rsid w:val="009512AB"/>
    <w:rsid w:val="00951D4D"/>
    <w:rsid w:val="00951F50"/>
    <w:rsid w:val="00951FA1"/>
    <w:rsid w:val="0095242E"/>
    <w:rsid w:val="009534CD"/>
    <w:rsid w:val="00953B76"/>
    <w:rsid w:val="0095495C"/>
    <w:rsid w:val="00954A26"/>
    <w:rsid w:val="00954CC9"/>
    <w:rsid w:val="00954F78"/>
    <w:rsid w:val="0095510A"/>
    <w:rsid w:val="009555AA"/>
    <w:rsid w:val="00955DAD"/>
    <w:rsid w:val="00956085"/>
    <w:rsid w:val="009564C6"/>
    <w:rsid w:val="00956EF0"/>
    <w:rsid w:val="00956F29"/>
    <w:rsid w:val="0095764E"/>
    <w:rsid w:val="0096035D"/>
    <w:rsid w:val="00960BE8"/>
    <w:rsid w:val="00961959"/>
    <w:rsid w:val="00961B01"/>
    <w:rsid w:val="00961B37"/>
    <w:rsid w:val="00962089"/>
    <w:rsid w:val="009621A0"/>
    <w:rsid w:val="00962910"/>
    <w:rsid w:val="00962EE8"/>
    <w:rsid w:val="00963A8C"/>
    <w:rsid w:val="00963EA3"/>
    <w:rsid w:val="00964BD1"/>
    <w:rsid w:val="00964CED"/>
    <w:rsid w:val="00965F42"/>
    <w:rsid w:val="00966302"/>
    <w:rsid w:val="0096794F"/>
    <w:rsid w:val="009679E7"/>
    <w:rsid w:val="00967A7D"/>
    <w:rsid w:val="00967E88"/>
    <w:rsid w:val="00970015"/>
    <w:rsid w:val="009700A8"/>
    <w:rsid w:val="0097045F"/>
    <w:rsid w:val="009706EE"/>
    <w:rsid w:val="0097070D"/>
    <w:rsid w:val="00970F85"/>
    <w:rsid w:val="00971508"/>
    <w:rsid w:val="0097185F"/>
    <w:rsid w:val="00971B0F"/>
    <w:rsid w:val="009725E4"/>
    <w:rsid w:val="00972897"/>
    <w:rsid w:val="00972D16"/>
    <w:rsid w:val="009733FF"/>
    <w:rsid w:val="00973751"/>
    <w:rsid w:val="0097386B"/>
    <w:rsid w:val="00973F94"/>
    <w:rsid w:val="00974A73"/>
    <w:rsid w:val="00976F3E"/>
    <w:rsid w:val="00977C72"/>
    <w:rsid w:val="00980A42"/>
    <w:rsid w:val="00981854"/>
    <w:rsid w:val="009830B7"/>
    <w:rsid w:val="009830E0"/>
    <w:rsid w:val="00983DD5"/>
    <w:rsid w:val="00985751"/>
    <w:rsid w:val="00985F95"/>
    <w:rsid w:val="00986379"/>
    <w:rsid w:val="0098779D"/>
    <w:rsid w:val="0098793D"/>
    <w:rsid w:val="00990D17"/>
    <w:rsid w:val="009927EF"/>
    <w:rsid w:val="009955E9"/>
    <w:rsid w:val="009963AA"/>
    <w:rsid w:val="009969DB"/>
    <w:rsid w:val="00996FAD"/>
    <w:rsid w:val="009A033F"/>
    <w:rsid w:val="009A0C3E"/>
    <w:rsid w:val="009A159B"/>
    <w:rsid w:val="009A15F8"/>
    <w:rsid w:val="009A16E3"/>
    <w:rsid w:val="009A1B91"/>
    <w:rsid w:val="009A1C50"/>
    <w:rsid w:val="009A1CD8"/>
    <w:rsid w:val="009A1DA6"/>
    <w:rsid w:val="009A2298"/>
    <w:rsid w:val="009A263C"/>
    <w:rsid w:val="009A379E"/>
    <w:rsid w:val="009A3D4D"/>
    <w:rsid w:val="009A3FEB"/>
    <w:rsid w:val="009A5E82"/>
    <w:rsid w:val="009A715F"/>
    <w:rsid w:val="009A757C"/>
    <w:rsid w:val="009A7CB5"/>
    <w:rsid w:val="009A7D3A"/>
    <w:rsid w:val="009B0043"/>
    <w:rsid w:val="009B04EE"/>
    <w:rsid w:val="009B0A0F"/>
    <w:rsid w:val="009B0D98"/>
    <w:rsid w:val="009B0F91"/>
    <w:rsid w:val="009B1233"/>
    <w:rsid w:val="009B2581"/>
    <w:rsid w:val="009B3622"/>
    <w:rsid w:val="009B3642"/>
    <w:rsid w:val="009B3C70"/>
    <w:rsid w:val="009B3CB0"/>
    <w:rsid w:val="009B70A4"/>
    <w:rsid w:val="009B7CA2"/>
    <w:rsid w:val="009C05A9"/>
    <w:rsid w:val="009C0854"/>
    <w:rsid w:val="009C0F74"/>
    <w:rsid w:val="009C1546"/>
    <w:rsid w:val="009C1601"/>
    <w:rsid w:val="009C1669"/>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086"/>
    <w:rsid w:val="009D23F7"/>
    <w:rsid w:val="009D26D7"/>
    <w:rsid w:val="009D27E9"/>
    <w:rsid w:val="009D299B"/>
    <w:rsid w:val="009D4334"/>
    <w:rsid w:val="009D4864"/>
    <w:rsid w:val="009D4B0D"/>
    <w:rsid w:val="009D4DAD"/>
    <w:rsid w:val="009D5FDF"/>
    <w:rsid w:val="009D61BE"/>
    <w:rsid w:val="009D6487"/>
    <w:rsid w:val="009D6779"/>
    <w:rsid w:val="009D6A18"/>
    <w:rsid w:val="009D6CA7"/>
    <w:rsid w:val="009E10D7"/>
    <w:rsid w:val="009E153B"/>
    <w:rsid w:val="009E1679"/>
    <w:rsid w:val="009E1865"/>
    <w:rsid w:val="009E268C"/>
    <w:rsid w:val="009E2718"/>
    <w:rsid w:val="009E354B"/>
    <w:rsid w:val="009E4514"/>
    <w:rsid w:val="009E4EE6"/>
    <w:rsid w:val="009E4FDF"/>
    <w:rsid w:val="009E5406"/>
    <w:rsid w:val="009E5F72"/>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4A11"/>
    <w:rsid w:val="009F5047"/>
    <w:rsid w:val="009F5348"/>
    <w:rsid w:val="009F558F"/>
    <w:rsid w:val="009F5685"/>
    <w:rsid w:val="009F59F2"/>
    <w:rsid w:val="009F5E07"/>
    <w:rsid w:val="009F683C"/>
    <w:rsid w:val="009F6897"/>
    <w:rsid w:val="009F6D2F"/>
    <w:rsid w:val="00A00239"/>
    <w:rsid w:val="00A0095C"/>
    <w:rsid w:val="00A01F53"/>
    <w:rsid w:val="00A020AA"/>
    <w:rsid w:val="00A02169"/>
    <w:rsid w:val="00A0273C"/>
    <w:rsid w:val="00A02E7A"/>
    <w:rsid w:val="00A031DB"/>
    <w:rsid w:val="00A0347E"/>
    <w:rsid w:val="00A04177"/>
    <w:rsid w:val="00A04E64"/>
    <w:rsid w:val="00A05A5C"/>
    <w:rsid w:val="00A06410"/>
    <w:rsid w:val="00A0738D"/>
    <w:rsid w:val="00A075A7"/>
    <w:rsid w:val="00A1044C"/>
    <w:rsid w:val="00A10917"/>
    <w:rsid w:val="00A10E6A"/>
    <w:rsid w:val="00A11EDA"/>
    <w:rsid w:val="00A11FFC"/>
    <w:rsid w:val="00A1241E"/>
    <w:rsid w:val="00A125FC"/>
    <w:rsid w:val="00A1294A"/>
    <w:rsid w:val="00A13D5D"/>
    <w:rsid w:val="00A141A3"/>
    <w:rsid w:val="00A14A28"/>
    <w:rsid w:val="00A15559"/>
    <w:rsid w:val="00A164C4"/>
    <w:rsid w:val="00A17608"/>
    <w:rsid w:val="00A17C1A"/>
    <w:rsid w:val="00A17F71"/>
    <w:rsid w:val="00A20158"/>
    <w:rsid w:val="00A20424"/>
    <w:rsid w:val="00A205F9"/>
    <w:rsid w:val="00A211A3"/>
    <w:rsid w:val="00A21472"/>
    <w:rsid w:val="00A21670"/>
    <w:rsid w:val="00A220CE"/>
    <w:rsid w:val="00A22BF0"/>
    <w:rsid w:val="00A22EF8"/>
    <w:rsid w:val="00A22F2F"/>
    <w:rsid w:val="00A22FBE"/>
    <w:rsid w:val="00A22FCF"/>
    <w:rsid w:val="00A23FE3"/>
    <w:rsid w:val="00A24C98"/>
    <w:rsid w:val="00A25924"/>
    <w:rsid w:val="00A26444"/>
    <w:rsid w:val="00A26586"/>
    <w:rsid w:val="00A26640"/>
    <w:rsid w:val="00A26A58"/>
    <w:rsid w:val="00A26B97"/>
    <w:rsid w:val="00A27364"/>
    <w:rsid w:val="00A2788A"/>
    <w:rsid w:val="00A30A8F"/>
    <w:rsid w:val="00A319D4"/>
    <w:rsid w:val="00A32047"/>
    <w:rsid w:val="00A33141"/>
    <w:rsid w:val="00A34169"/>
    <w:rsid w:val="00A36051"/>
    <w:rsid w:val="00A36511"/>
    <w:rsid w:val="00A367A4"/>
    <w:rsid w:val="00A36BC5"/>
    <w:rsid w:val="00A36EF7"/>
    <w:rsid w:val="00A370B3"/>
    <w:rsid w:val="00A37F41"/>
    <w:rsid w:val="00A402E1"/>
    <w:rsid w:val="00A403F5"/>
    <w:rsid w:val="00A40F5A"/>
    <w:rsid w:val="00A415C1"/>
    <w:rsid w:val="00A42095"/>
    <w:rsid w:val="00A42441"/>
    <w:rsid w:val="00A42F3A"/>
    <w:rsid w:val="00A434B0"/>
    <w:rsid w:val="00A43F38"/>
    <w:rsid w:val="00A443AB"/>
    <w:rsid w:val="00A45DD4"/>
    <w:rsid w:val="00A461EA"/>
    <w:rsid w:val="00A466FA"/>
    <w:rsid w:val="00A4698D"/>
    <w:rsid w:val="00A46EBA"/>
    <w:rsid w:val="00A47C05"/>
    <w:rsid w:val="00A50714"/>
    <w:rsid w:val="00A50A81"/>
    <w:rsid w:val="00A51605"/>
    <w:rsid w:val="00A51711"/>
    <w:rsid w:val="00A51987"/>
    <w:rsid w:val="00A51C2A"/>
    <w:rsid w:val="00A52CEF"/>
    <w:rsid w:val="00A52FFD"/>
    <w:rsid w:val="00A532AB"/>
    <w:rsid w:val="00A53367"/>
    <w:rsid w:val="00A53A9B"/>
    <w:rsid w:val="00A53C36"/>
    <w:rsid w:val="00A5528A"/>
    <w:rsid w:val="00A55DE7"/>
    <w:rsid w:val="00A5655C"/>
    <w:rsid w:val="00A62109"/>
    <w:rsid w:val="00A62B9B"/>
    <w:rsid w:val="00A638A7"/>
    <w:rsid w:val="00A64060"/>
    <w:rsid w:val="00A640AA"/>
    <w:rsid w:val="00A642D5"/>
    <w:rsid w:val="00A6466E"/>
    <w:rsid w:val="00A647CF"/>
    <w:rsid w:val="00A64888"/>
    <w:rsid w:val="00A64DBE"/>
    <w:rsid w:val="00A6512B"/>
    <w:rsid w:val="00A65D0E"/>
    <w:rsid w:val="00A65F0C"/>
    <w:rsid w:val="00A66FA7"/>
    <w:rsid w:val="00A672F8"/>
    <w:rsid w:val="00A70028"/>
    <w:rsid w:val="00A700AA"/>
    <w:rsid w:val="00A7062D"/>
    <w:rsid w:val="00A707DB"/>
    <w:rsid w:val="00A70B2E"/>
    <w:rsid w:val="00A73018"/>
    <w:rsid w:val="00A731F7"/>
    <w:rsid w:val="00A73E47"/>
    <w:rsid w:val="00A743CD"/>
    <w:rsid w:val="00A746AA"/>
    <w:rsid w:val="00A762C5"/>
    <w:rsid w:val="00A76DFC"/>
    <w:rsid w:val="00A76E9A"/>
    <w:rsid w:val="00A771AC"/>
    <w:rsid w:val="00A77396"/>
    <w:rsid w:val="00A77EFA"/>
    <w:rsid w:val="00A80D4B"/>
    <w:rsid w:val="00A81D8D"/>
    <w:rsid w:val="00A82881"/>
    <w:rsid w:val="00A82FAC"/>
    <w:rsid w:val="00A84452"/>
    <w:rsid w:val="00A84748"/>
    <w:rsid w:val="00A847A6"/>
    <w:rsid w:val="00A84E40"/>
    <w:rsid w:val="00A84EAE"/>
    <w:rsid w:val="00A85088"/>
    <w:rsid w:val="00A85F77"/>
    <w:rsid w:val="00A8631D"/>
    <w:rsid w:val="00A86838"/>
    <w:rsid w:val="00A86E62"/>
    <w:rsid w:val="00A87EC4"/>
    <w:rsid w:val="00A91B8A"/>
    <w:rsid w:val="00A92103"/>
    <w:rsid w:val="00A92628"/>
    <w:rsid w:val="00A92867"/>
    <w:rsid w:val="00A9331F"/>
    <w:rsid w:val="00A9332A"/>
    <w:rsid w:val="00A934BA"/>
    <w:rsid w:val="00A942D1"/>
    <w:rsid w:val="00A95B5D"/>
    <w:rsid w:val="00A95E69"/>
    <w:rsid w:val="00A960DF"/>
    <w:rsid w:val="00A961FD"/>
    <w:rsid w:val="00A97262"/>
    <w:rsid w:val="00A976CD"/>
    <w:rsid w:val="00AA0EBD"/>
    <w:rsid w:val="00AA1F8E"/>
    <w:rsid w:val="00AA25C7"/>
    <w:rsid w:val="00AA2B73"/>
    <w:rsid w:val="00AA2DDD"/>
    <w:rsid w:val="00AA365A"/>
    <w:rsid w:val="00AA3868"/>
    <w:rsid w:val="00AA4999"/>
    <w:rsid w:val="00AA4BE3"/>
    <w:rsid w:val="00AA6901"/>
    <w:rsid w:val="00AA75A2"/>
    <w:rsid w:val="00AA7808"/>
    <w:rsid w:val="00AA7C52"/>
    <w:rsid w:val="00AA7D25"/>
    <w:rsid w:val="00AA7FEB"/>
    <w:rsid w:val="00AB0029"/>
    <w:rsid w:val="00AB07DE"/>
    <w:rsid w:val="00AB088E"/>
    <w:rsid w:val="00AB0CF2"/>
    <w:rsid w:val="00AB0E7D"/>
    <w:rsid w:val="00AB1245"/>
    <w:rsid w:val="00AB285F"/>
    <w:rsid w:val="00AB3190"/>
    <w:rsid w:val="00AB3720"/>
    <w:rsid w:val="00AB3E69"/>
    <w:rsid w:val="00AB4777"/>
    <w:rsid w:val="00AB4845"/>
    <w:rsid w:val="00AB51EC"/>
    <w:rsid w:val="00AB52B4"/>
    <w:rsid w:val="00AB5969"/>
    <w:rsid w:val="00AB5DFD"/>
    <w:rsid w:val="00AB6EE6"/>
    <w:rsid w:val="00AB77E1"/>
    <w:rsid w:val="00AB7C0D"/>
    <w:rsid w:val="00AC0F02"/>
    <w:rsid w:val="00AC3622"/>
    <w:rsid w:val="00AC381D"/>
    <w:rsid w:val="00AC384F"/>
    <w:rsid w:val="00AC3BDE"/>
    <w:rsid w:val="00AC42A2"/>
    <w:rsid w:val="00AC54AA"/>
    <w:rsid w:val="00AC56E2"/>
    <w:rsid w:val="00AC610F"/>
    <w:rsid w:val="00AC6129"/>
    <w:rsid w:val="00AC65DC"/>
    <w:rsid w:val="00AC72F0"/>
    <w:rsid w:val="00AC7349"/>
    <w:rsid w:val="00AC7526"/>
    <w:rsid w:val="00AD03C5"/>
    <w:rsid w:val="00AD09F1"/>
    <w:rsid w:val="00AD1857"/>
    <w:rsid w:val="00AD3037"/>
    <w:rsid w:val="00AD3CD3"/>
    <w:rsid w:val="00AD5A27"/>
    <w:rsid w:val="00AD6016"/>
    <w:rsid w:val="00AD678F"/>
    <w:rsid w:val="00AD6C85"/>
    <w:rsid w:val="00AD7119"/>
    <w:rsid w:val="00AE0124"/>
    <w:rsid w:val="00AE093E"/>
    <w:rsid w:val="00AE09BD"/>
    <w:rsid w:val="00AE1515"/>
    <w:rsid w:val="00AE1DC2"/>
    <w:rsid w:val="00AE24D5"/>
    <w:rsid w:val="00AE2DC3"/>
    <w:rsid w:val="00AE32B8"/>
    <w:rsid w:val="00AE36A1"/>
    <w:rsid w:val="00AE440C"/>
    <w:rsid w:val="00AE5240"/>
    <w:rsid w:val="00AE64C9"/>
    <w:rsid w:val="00AE6994"/>
    <w:rsid w:val="00AE72A7"/>
    <w:rsid w:val="00AF0F12"/>
    <w:rsid w:val="00AF1E30"/>
    <w:rsid w:val="00AF2394"/>
    <w:rsid w:val="00AF23DD"/>
    <w:rsid w:val="00AF271E"/>
    <w:rsid w:val="00AF2A05"/>
    <w:rsid w:val="00AF3738"/>
    <w:rsid w:val="00AF47F7"/>
    <w:rsid w:val="00AF4B86"/>
    <w:rsid w:val="00AF5080"/>
    <w:rsid w:val="00AF55C3"/>
    <w:rsid w:val="00AF55EF"/>
    <w:rsid w:val="00AF5E95"/>
    <w:rsid w:val="00AF612C"/>
    <w:rsid w:val="00AF634E"/>
    <w:rsid w:val="00AF688E"/>
    <w:rsid w:val="00AF6969"/>
    <w:rsid w:val="00AF7CCD"/>
    <w:rsid w:val="00B01C87"/>
    <w:rsid w:val="00B02A59"/>
    <w:rsid w:val="00B02BFD"/>
    <w:rsid w:val="00B0379E"/>
    <w:rsid w:val="00B053DC"/>
    <w:rsid w:val="00B05603"/>
    <w:rsid w:val="00B06A06"/>
    <w:rsid w:val="00B10286"/>
    <w:rsid w:val="00B10A1F"/>
    <w:rsid w:val="00B10B55"/>
    <w:rsid w:val="00B111F6"/>
    <w:rsid w:val="00B11F17"/>
    <w:rsid w:val="00B1266C"/>
    <w:rsid w:val="00B129B0"/>
    <w:rsid w:val="00B1383C"/>
    <w:rsid w:val="00B13B08"/>
    <w:rsid w:val="00B15134"/>
    <w:rsid w:val="00B163F5"/>
    <w:rsid w:val="00B1732D"/>
    <w:rsid w:val="00B20356"/>
    <w:rsid w:val="00B205D5"/>
    <w:rsid w:val="00B20A9D"/>
    <w:rsid w:val="00B21336"/>
    <w:rsid w:val="00B23218"/>
    <w:rsid w:val="00B232DC"/>
    <w:rsid w:val="00B23C3E"/>
    <w:rsid w:val="00B24E6A"/>
    <w:rsid w:val="00B25139"/>
    <w:rsid w:val="00B255B2"/>
    <w:rsid w:val="00B2561A"/>
    <w:rsid w:val="00B25B0A"/>
    <w:rsid w:val="00B263A1"/>
    <w:rsid w:val="00B3128A"/>
    <w:rsid w:val="00B315A6"/>
    <w:rsid w:val="00B31A8E"/>
    <w:rsid w:val="00B31AA4"/>
    <w:rsid w:val="00B34843"/>
    <w:rsid w:val="00B353C8"/>
    <w:rsid w:val="00B3657F"/>
    <w:rsid w:val="00B36697"/>
    <w:rsid w:val="00B37AEC"/>
    <w:rsid w:val="00B37E6D"/>
    <w:rsid w:val="00B37F43"/>
    <w:rsid w:val="00B40183"/>
    <w:rsid w:val="00B4050B"/>
    <w:rsid w:val="00B40ECE"/>
    <w:rsid w:val="00B42028"/>
    <w:rsid w:val="00B4233D"/>
    <w:rsid w:val="00B42AF6"/>
    <w:rsid w:val="00B42C16"/>
    <w:rsid w:val="00B43B18"/>
    <w:rsid w:val="00B44058"/>
    <w:rsid w:val="00B45AF7"/>
    <w:rsid w:val="00B46AD2"/>
    <w:rsid w:val="00B46BCB"/>
    <w:rsid w:val="00B47262"/>
    <w:rsid w:val="00B47548"/>
    <w:rsid w:val="00B475AF"/>
    <w:rsid w:val="00B479D8"/>
    <w:rsid w:val="00B47BFC"/>
    <w:rsid w:val="00B503AC"/>
    <w:rsid w:val="00B5104B"/>
    <w:rsid w:val="00B528B2"/>
    <w:rsid w:val="00B52CF2"/>
    <w:rsid w:val="00B52CF7"/>
    <w:rsid w:val="00B5339B"/>
    <w:rsid w:val="00B5356F"/>
    <w:rsid w:val="00B548FE"/>
    <w:rsid w:val="00B54F0E"/>
    <w:rsid w:val="00B54FBF"/>
    <w:rsid w:val="00B55847"/>
    <w:rsid w:val="00B55A12"/>
    <w:rsid w:val="00B55BA1"/>
    <w:rsid w:val="00B56CF1"/>
    <w:rsid w:val="00B608DF"/>
    <w:rsid w:val="00B60C10"/>
    <w:rsid w:val="00B612DE"/>
    <w:rsid w:val="00B61314"/>
    <w:rsid w:val="00B63007"/>
    <w:rsid w:val="00B644EE"/>
    <w:rsid w:val="00B65EBD"/>
    <w:rsid w:val="00B662E7"/>
    <w:rsid w:val="00B6715F"/>
    <w:rsid w:val="00B6730A"/>
    <w:rsid w:val="00B6777C"/>
    <w:rsid w:val="00B70031"/>
    <w:rsid w:val="00B701B2"/>
    <w:rsid w:val="00B701E3"/>
    <w:rsid w:val="00B71341"/>
    <w:rsid w:val="00B7165C"/>
    <w:rsid w:val="00B71C8D"/>
    <w:rsid w:val="00B71D32"/>
    <w:rsid w:val="00B723CD"/>
    <w:rsid w:val="00B72D53"/>
    <w:rsid w:val="00B72E08"/>
    <w:rsid w:val="00B72EFC"/>
    <w:rsid w:val="00B73337"/>
    <w:rsid w:val="00B733C5"/>
    <w:rsid w:val="00B7367B"/>
    <w:rsid w:val="00B73760"/>
    <w:rsid w:val="00B737B5"/>
    <w:rsid w:val="00B74BA1"/>
    <w:rsid w:val="00B74C28"/>
    <w:rsid w:val="00B755EA"/>
    <w:rsid w:val="00B76263"/>
    <w:rsid w:val="00B762ED"/>
    <w:rsid w:val="00B76544"/>
    <w:rsid w:val="00B76B64"/>
    <w:rsid w:val="00B77023"/>
    <w:rsid w:val="00B77171"/>
    <w:rsid w:val="00B774BF"/>
    <w:rsid w:val="00B77842"/>
    <w:rsid w:val="00B80F99"/>
    <w:rsid w:val="00B81145"/>
    <w:rsid w:val="00B811CE"/>
    <w:rsid w:val="00B817DB"/>
    <w:rsid w:val="00B8215E"/>
    <w:rsid w:val="00B82908"/>
    <w:rsid w:val="00B82AB8"/>
    <w:rsid w:val="00B82BB1"/>
    <w:rsid w:val="00B82C90"/>
    <w:rsid w:val="00B83934"/>
    <w:rsid w:val="00B843E3"/>
    <w:rsid w:val="00B844C8"/>
    <w:rsid w:val="00B847EA"/>
    <w:rsid w:val="00B849A2"/>
    <w:rsid w:val="00B85586"/>
    <w:rsid w:val="00B85969"/>
    <w:rsid w:val="00B85A29"/>
    <w:rsid w:val="00B8632A"/>
    <w:rsid w:val="00B87868"/>
    <w:rsid w:val="00B87A7C"/>
    <w:rsid w:val="00B87C82"/>
    <w:rsid w:val="00B928C8"/>
    <w:rsid w:val="00B942B0"/>
    <w:rsid w:val="00B94464"/>
    <w:rsid w:val="00B94D46"/>
    <w:rsid w:val="00B954D1"/>
    <w:rsid w:val="00B95747"/>
    <w:rsid w:val="00B96720"/>
    <w:rsid w:val="00B96939"/>
    <w:rsid w:val="00B96B3C"/>
    <w:rsid w:val="00B96E6C"/>
    <w:rsid w:val="00B9752D"/>
    <w:rsid w:val="00B97D85"/>
    <w:rsid w:val="00B97F8B"/>
    <w:rsid w:val="00BA05F1"/>
    <w:rsid w:val="00BA06B5"/>
    <w:rsid w:val="00BA1257"/>
    <w:rsid w:val="00BA15F9"/>
    <w:rsid w:val="00BA18B9"/>
    <w:rsid w:val="00BA2DDA"/>
    <w:rsid w:val="00BA2F1D"/>
    <w:rsid w:val="00BA3295"/>
    <w:rsid w:val="00BA32F5"/>
    <w:rsid w:val="00BA3C19"/>
    <w:rsid w:val="00BA3DBB"/>
    <w:rsid w:val="00BA4CAE"/>
    <w:rsid w:val="00BA543E"/>
    <w:rsid w:val="00BA55B2"/>
    <w:rsid w:val="00BA5D86"/>
    <w:rsid w:val="00BA6177"/>
    <w:rsid w:val="00BA6780"/>
    <w:rsid w:val="00BA6A44"/>
    <w:rsid w:val="00BA6A9F"/>
    <w:rsid w:val="00BA7157"/>
    <w:rsid w:val="00BA7DE0"/>
    <w:rsid w:val="00BB0227"/>
    <w:rsid w:val="00BB048C"/>
    <w:rsid w:val="00BB07CD"/>
    <w:rsid w:val="00BB0E9E"/>
    <w:rsid w:val="00BB1387"/>
    <w:rsid w:val="00BB143D"/>
    <w:rsid w:val="00BB154B"/>
    <w:rsid w:val="00BB1D3A"/>
    <w:rsid w:val="00BB29E5"/>
    <w:rsid w:val="00BB2DB5"/>
    <w:rsid w:val="00BB3100"/>
    <w:rsid w:val="00BB3A5F"/>
    <w:rsid w:val="00BB3A83"/>
    <w:rsid w:val="00BB414C"/>
    <w:rsid w:val="00BB41B2"/>
    <w:rsid w:val="00BB4738"/>
    <w:rsid w:val="00BB5742"/>
    <w:rsid w:val="00BB6263"/>
    <w:rsid w:val="00BB6FAF"/>
    <w:rsid w:val="00BB74A5"/>
    <w:rsid w:val="00BC009F"/>
    <w:rsid w:val="00BC0338"/>
    <w:rsid w:val="00BC07D0"/>
    <w:rsid w:val="00BC0A2E"/>
    <w:rsid w:val="00BC1493"/>
    <w:rsid w:val="00BC14C5"/>
    <w:rsid w:val="00BC3171"/>
    <w:rsid w:val="00BC3BCC"/>
    <w:rsid w:val="00BC5864"/>
    <w:rsid w:val="00BC65EC"/>
    <w:rsid w:val="00BC6699"/>
    <w:rsid w:val="00BC6C4F"/>
    <w:rsid w:val="00BC7ED0"/>
    <w:rsid w:val="00BD003F"/>
    <w:rsid w:val="00BD0212"/>
    <w:rsid w:val="00BD040F"/>
    <w:rsid w:val="00BD10F3"/>
    <w:rsid w:val="00BD1E2B"/>
    <w:rsid w:val="00BD216C"/>
    <w:rsid w:val="00BD298A"/>
    <w:rsid w:val="00BD3284"/>
    <w:rsid w:val="00BD3A44"/>
    <w:rsid w:val="00BD4218"/>
    <w:rsid w:val="00BD4335"/>
    <w:rsid w:val="00BD45E1"/>
    <w:rsid w:val="00BD4B08"/>
    <w:rsid w:val="00BD5005"/>
    <w:rsid w:val="00BD5F04"/>
    <w:rsid w:val="00BD5FB5"/>
    <w:rsid w:val="00BD68EE"/>
    <w:rsid w:val="00BD6947"/>
    <w:rsid w:val="00BD7841"/>
    <w:rsid w:val="00BD7992"/>
    <w:rsid w:val="00BD7C23"/>
    <w:rsid w:val="00BD7DDA"/>
    <w:rsid w:val="00BE1259"/>
    <w:rsid w:val="00BE159A"/>
    <w:rsid w:val="00BE1C0B"/>
    <w:rsid w:val="00BE1DC6"/>
    <w:rsid w:val="00BE2413"/>
    <w:rsid w:val="00BE33FE"/>
    <w:rsid w:val="00BE344A"/>
    <w:rsid w:val="00BE45D8"/>
    <w:rsid w:val="00BE46AD"/>
    <w:rsid w:val="00BE4C8E"/>
    <w:rsid w:val="00BE57BD"/>
    <w:rsid w:val="00BE5E5D"/>
    <w:rsid w:val="00BE71A6"/>
    <w:rsid w:val="00BF06B3"/>
    <w:rsid w:val="00BF076D"/>
    <w:rsid w:val="00BF1680"/>
    <w:rsid w:val="00BF2703"/>
    <w:rsid w:val="00BF330E"/>
    <w:rsid w:val="00BF3516"/>
    <w:rsid w:val="00BF357C"/>
    <w:rsid w:val="00BF44B1"/>
    <w:rsid w:val="00BF4666"/>
    <w:rsid w:val="00BF4F86"/>
    <w:rsid w:val="00BF580D"/>
    <w:rsid w:val="00BF6A67"/>
    <w:rsid w:val="00BF6DA1"/>
    <w:rsid w:val="00BF6FB7"/>
    <w:rsid w:val="00BF75AB"/>
    <w:rsid w:val="00BF7D01"/>
    <w:rsid w:val="00C00464"/>
    <w:rsid w:val="00C00988"/>
    <w:rsid w:val="00C01BE9"/>
    <w:rsid w:val="00C0211F"/>
    <w:rsid w:val="00C0216E"/>
    <w:rsid w:val="00C021A0"/>
    <w:rsid w:val="00C022C1"/>
    <w:rsid w:val="00C025C7"/>
    <w:rsid w:val="00C02F28"/>
    <w:rsid w:val="00C03853"/>
    <w:rsid w:val="00C05360"/>
    <w:rsid w:val="00C056A4"/>
    <w:rsid w:val="00C05BC7"/>
    <w:rsid w:val="00C05E6A"/>
    <w:rsid w:val="00C07C66"/>
    <w:rsid w:val="00C11498"/>
    <w:rsid w:val="00C116F8"/>
    <w:rsid w:val="00C11DB3"/>
    <w:rsid w:val="00C136C8"/>
    <w:rsid w:val="00C153BA"/>
    <w:rsid w:val="00C15A6B"/>
    <w:rsid w:val="00C15C56"/>
    <w:rsid w:val="00C16A70"/>
    <w:rsid w:val="00C17670"/>
    <w:rsid w:val="00C177AA"/>
    <w:rsid w:val="00C1781E"/>
    <w:rsid w:val="00C209E2"/>
    <w:rsid w:val="00C219B8"/>
    <w:rsid w:val="00C223AA"/>
    <w:rsid w:val="00C22A0D"/>
    <w:rsid w:val="00C234B2"/>
    <w:rsid w:val="00C24649"/>
    <w:rsid w:val="00C24659"/>
    <w:rsid w:val="00C24746"/>
    <w:rsid w:val="00C25649"/>
    <w:rsid w:val="00C261F9"/>
    <w:rsid w:val="00C26F6C"/>
    <w:rsid w:val="00C30D8A"/>
    <w:rsid w:val="00C30DA4"/>
    <w:rsid w:val="00C310D2"/>
    <w:rsid w:val="00C31632"/>
    <w:rsid w:val="00C31D46"/>
    <w:rsid w:val="00C32E58"/>
    <w:rsid w:val="00C33B25"/>
    <w:rsid w:val="00C3579C"/>
    <w:rsid w:val="00C362C5"/>
    <w:rsid w:val="00C36436"/>
    <w:rsid w:val="00C36732"/>
    <w:rsid w:val="00C3710B"/>
    <w:rsid w:val="00C375B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E42"/>
    <w:rsid w:val="00C50043"/>
    <w:rsid w:val="00C50AC1"/>
    <w:rsid w:val="00C50E0D"/>
    <w:rsid w:val="00C52900"/>
    <w:rsid w:val="00C53283"/>
    <w:rsid w:val="00C532AD"/>
    <w:rsid w:val="00C53335"/>
    <w:rsid w:val="00C53FA8"/>
    <w:rsid w:val="00C5462B"/>
    <w:rsid w:val="00C54F69"/>
    <w:rsid w:val="00C56407"/>
    <w:rsid w:val="00C56DA5"/>
    <w:rsid w:val="00C57515"/>
    <w:rsid w:val="00C57C40"/>
    <w:rsid w:val="00C600C5"/>
    <w:rsid w:val="00C60972"/>
    <w:rsid w:val="00C60BBF"/>
    <w:rsid w:val="00C6121D"/>
    <w:rsid w:val="00C6259A"/>
    <w:rsid w:val="00C625EF"/>
    <w:rsid w:val="00C62B82"/>
    <w:rsid w:val="00C636EC"/>
    <w:rsid w:val="00C6380E"/>
    <w:rsid w:val="00C64ACF"/>
    <w:rsid w:val="00C65535"/>
    <w:rsid w:val="00C65952"/>
    <w:rsid w:val="00C66348"/>
    <w:rsid w:val="00C67FB7"/>
    <w:rsid w:val="00C700E7"/>
    <w:rsid w:val="00C702DC"/>
    <w:rsid w:val="00C718D3"/>
    <w:rsid w:val="00C71C5F"/>
    <w:rsid w:val="00C725B5"/>
    <w:rsid w:val="00C72BBA"/>
    <w:rsid w:val="00C73699"/>
    <w:rsid w:val="00C73C22"/>
    <w:rsid w:val="00C7471F"/>
    <w:rsid w:val="00C7482B"/>
    <w:rsid w:val="00C767EE"/>
    <w:rsid w:val="00C77795"/>
    <w:rsid w:val="00C77919"/>
    <w:rsid w:val="00C8090C"/>
    <w:rsid w:val="00C80D6B"/>
    <w:rsid w:val="00C80FE0"/>
    <w:rsid w:val="00C819C6"/>
    <w:rsid w:val="00C82127"/>
    <w:rsid w:val="00C82AF1"/>
    <w:rsid w:val="00C83152"/>
    <w:rsid w:val="00C836D8"/>
    <w:rsid w:val="00C83BB7"/>
    <w:rsid w:val="00C84057"/>
    <w:rsid w:val="00C84617"/>
    <w:rsid w:val="00C85312"/>
    <w:rsid w:val="00C85AA2"/>
    <w:rsid w:val="00C85BCE"/>
    <w:rsid w:val="00C85C7E"/>
    <w:rsid w:val="00C85FF7"/>
    <w:rsid w:val="00C9064B"/>
    <w:rsid w:val="00C91F50"/>
    <w:rsid w:val="00C922BE"/>
    <w:rsid w:val="00C92725"/>
    <w:rsid w:val="00C93530"/>
    <w:rsid w:val="00C9366D"/>
    <w:rsid w:val="00C93A68"/>
    <w:rsid w:val="00C942F6"/>
    <w:rsid w:val="00C94544"/>
    <w:rsid w:val="00C94690"/>
    <w:rsid w:val="00C94BEB"/>
    <w:rsid w:val="00C954FE"/>
    <w:rsid w:val="00C95FD4"/>
    <w:rsid w:val="00C96408"/>
    <w:rsid w:val="00CA1067"/>
    <w:rsid w:val="00CA17CD"/>
    <w:rsid w:val="00CA1D64"/>
    <w:rsid w:val="00CA1DAB"/>
    <w:rsid w:val="00CA20C9"/>
    <w:rsid w:val="00CA3280"/>
    <w:rsid w:val="00CA33DD"/>
    <w:rsid w:val="00CA3485"/>
    <w:rsid w:val="00CA35FE"/>
    <w:rsid w:val="00CA3CF3"/>
    <w:rsid w:val="00CA4FF2"/>
    <w:rsid w:val="00CA529C"/>
    <w:rsid w:val="00CA5B30"/>
    <w:rsid w:val="00CA63A0"/>
    <w:rsid w:val="00CA64CE"/>
    <w:rsid w:val="00CA64FA"/>
    <w:rsid w:val="00CA6559"/>
    <w:rsid w:val="00CA6AE0"/>
    <w:rsid w:val="00CA6BAF"/>
    <w:rsid w:val="00CA6F9E"/>
    <w:rsid w:val="00CA7D5A"/>
    <w:rsid w:val="00CB068B"/>
    <w:rsid w:val="00CB0B81"/>
    <w:rsid w:val="00CB0D0F"/>
    <w:rsid w:val="00CB1602"/>
    <w:rsid w:val="00CB1BD9"/>
    <w:rsid w:val="00CB4511"/>
    <w:rsid w:val="00CB480B"/>
    <w:rsid w:val="00CB5834"/>
    <w:rsid w:val="00CB5F29"/>
    <w:rsid w:val="00CB613A"/>
    <w:rsid w:val="00CB755D"/>
    <w:rsid w:val="00CB7ABB"/>
    <w:rsid w:val="00CC0998"/>
    <w:rsid w:val="00CC0B8B"/>
    <w:rsid w:val="00CC17D8"/>
    <w:rsid w:val="00CC1984"/>
    <w:rsid w:val="00CC1BCB"/>
    <w:rsid w:val="00CC2FF7"/>
    <w:rsid w:val="00CC34C2"/>
    <w:rsid w:val="00CC381B"/>
    <w:rsid w:val="00CC3B31"/>
    <w:rsid w:val="00CC3F28"/>
    <w:rsid w:val="00CC41B3"/>
    <w:rsid w:val="00CC4242"/>
    <w:rsid w:val="00CC4306"/>
    <w:rsid w:val="00CC627B"/>
    <w:rsid w:val="00CC6479"/>
    <w:rsid w:val="00CC7202"/>
    <w:rsid w:val="00CC7721"/>
    <w:rsid w:val="00CD04B3"/>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D05"/>
    <w:rsid w:val="00CD6D4D"/>
    <w:rsid w:val="00CD7145"/>
    <w:rsid w:val="00CD76F6"/>
    <w:rsid w:val="00CE0430"/>
    <w:rsid w:val="00CE0C89"/>
    <w:rsid w:val="00CE0EF0"/>
    <w:rsid w:val="00CE1A69"/>
    <w:rsid w:val="00CE218D"/>
    <w:rsid w:val="00CE2DFE"/>
    <w:rsid w:val="00CE2E42"/>
    <w:rsid w:val="00CE3923"/>
    <w:rsid w:val="00CE4B44"/>
    <w:rsid w:val="00CE55C7"/>
    <w:rsid w:val="00CE5EEF"/>
    <w:rsid w:val="00CE7802"/>
    <w:rsid w:val="00CE7811"/>
    <w:rsid w:val="00CE792C"/>
    <w:rsid w:val="00CF13C5"/>
    <w:rsid w:val="00CF184A"/>
    <w:rsid w:val="00CF1A08"/>
    <w:rsid w:val="00CF1BD3"/>
    <w:rsid w:val="00CF1E29"/>
    <w:rsid w:val="00CF29C9"/>
    <w:rsid w:val="00CF2B7D"/>
    <w:rsid w:val="00CF2FA0"/>
    <w:rsid w:val="00CF3862"/>
    <w:rsid w:val="00CF3E6F"/>
    <w:rsid w:val="00CF3E72"/>
    <w:rsid w:val="00CF53C4"/>
    <w:rsid w:val="00CF62CE"/>
    <w:rsid w:val="00CF646B"/>
    <w:rsid w:val="00CF6915"/>
    <w:rsid w:val="00CF70D2"/>
    <w:rsid w:val="00CF767C"/>
    <w:rsid w:val="00D00AB7"/>
    <w:rsid w:val="00D02633"/>
    <w:rsid w:val="00D0360E"/>
    <w:rsid w:val="00D07C21"/>
    <w:rsid w:val="00D10196"/>
    <w:rsid w:val="00D1028C"/>
    <w:rsid w:val="00D115C1"/>
    <w:rsid w:val="00D11FEF"/>
    <w:rsid w:val="00D12638"/>
    <w:rsid w:val="00D12FA7"/>
    <w:rsid w:val="00D1343D"/>
    <w:rsid w:val="00D1371A"/>
    <w:rsid w:val="00D14045"/>
    <w:rsid w:val="00D15486"/>
    <w:rsid w:val="00D16000"/>
    <w:rsid w:val="00D1601E"/>
    <w:rsid w:val="00D16CA3"/>
    <w:rsid w:val="00D1720C"/>
    <w:rsid w:val="00D213C7"/>
    <w:rsid w:val="00D21410"/>
    <w:rsid w:val="00D21795"/>
    <w:rsid w:val="00D2189F"/>
    <w:rsid w:val="00D21922"/>
    <w:rsid w:val="00D221FA"/>
    <w:rsid w:val="00D22795"/>
    <w:rsid w:val="00D22E4B"/>
    <w:rsid w:val="00D233C1"/>
    <w:rsid w:val="00D2393C"/>
    <w:rsid w:val="00D244C0"/>
    <w:rsid w:val="00D246DA"/>
    <w:rsid w:val="00D24C41"/>
    <w:rsid w:val="00D25AC0"/>
    <w:rsid w:val="00D260A0"/>
    <w:rsid w:val="00D26D5D"/>
    <w:rsid w:val="00D26DF1"/>
    <w:rsid w:val="00D26E4F"/>
    <w:rsid w:val="00D270AD"/>
    <w:rsid w:val="00D276DD"/>
    <w:rsid w:val="00D27A94"/>
    <w:rsid w:val="00D27B99"/>
    <w:rsid w:val="00D313BB"/>
    <w:rsid w:val="00D31AE5"/>
    <w:rsid w:val="00D320A0"/>
    <w:rsid w:val="00D32482"/>
    <w:rsid w:val="00D329B1"/>
    <w:rsid w:val="00D33421"/>
    <w:rsid w:val="00D33DF3"/>
    <w:rsid w:val="00D34006"/>
    <w:rsid w:val="00D35239"/>
    <w:rsid w:val="00D37911"/>
    <w:rsid w:val="00D379AC"/>
    <w:rsid w:val="00D37B00"/>
    <w:rsid w:val="00D40E05"/>
    <w:rsid w:val="00D41792"/>
    <w:rsid w:val="00D41D52"/>
    <w:rsid w:val="00D41FE3"/>
    <w:rsid w:val="00D438DC"/>
    <w:rsid w:val="00D43CDE"/>
    <w:rsid w:val="00D43EEC"/>
    <w:rsid w:val="00D441B6"/>
    <w:rsid w:val="00D44AE3"/>
    <w:rsid w:val="00D45890"/>
    <w:rsid w:val="00D45973"/>
    <w:rsid w:val="00D46EC6"/>
    <w:rsid w:val="00D4798B"/>
    <w:rsid w:val="00D47EA2"/>
    <w:rsid w:val="00D47FA4"/>
    <w:rsid w:val="00D50418"/>
    <w:rsid w:val="00D50E7C"/>
    <w:rsid w:val="00D520FF"/>
    <w:rsid w:val="00D52235"/>
    <w:rsid w:val="00D5254A"/>
    <w:rsid w:val="00D52F79"/>
    <w:rsid w:val="00D53595"/>
    <w:rsid w:val="00D53E8D"/>
    <w:rsid w:val="00D544D9"/>
    <w:rsid w:val="00D55710"/>
    <w:rsid w:val="00D55ABE"/>
    <w:rsid w:val="00D55EFC"/>
    <w:rsid w:val="00D55F90"/>
    <w:rsid w:val="00D562E1"/>
    <w:rsid w:val="00D60291"/>
    <w:rsid w:val="00D6047C"/>
    <w:rsid w:val="00D6058E"/>
    <w:rsid w:val="00D606F2"/>
    <w:rsid w:val="00D619B2"/>
    <w:rsid w:val="00D61B84"/>
    <w:rsid w:val="00D61BC3"/>
    <w:rsid w:val="00D6229F"/>
    <w:rsid w:val="00D62490"/>
    <w:rsid w:val="00D6277E"/>
    <w:rsid w:val="00D62AF7"/>
    <w:rsid w:val="00D6318C"/>
    <w:rsid w:val="00D634CB"/>
    <w:rsid w:val="00D63AB8"/>
    <w:rsid w:val="00D63B49"/>
    <w:rsid w:val="00D641BE"/>
    <w:rsid w:val="00D64884"/>
    <w:rsid w:val="00D649C4"/>
    <w:rsid w:val="00D6621F"/>
    <w:rsid w:val="00D6668A"/>
    <w:rsid w:val="00D67034"/>
    <w:rsid w:val="00D67759"/>
    <w:rsid w:val="00D70336"/>
    <w:rsid w:val="00D70496"/>
    <w:rsid w:val="00D7201B"/>
    <w:rsid w:val="00D72F50"/>
    <w:rsid w:val="00D7389E"/>
    <w:rsid w:val="00D74198"/>
    <w:rsid w:val="00D74787"/>
    <w:rsid w:val="00D75DED"/>
    <w:rsid w:val="00D764F3"/>
    <w:rsid w:val="00D76FE1"/>
    <w:rsid w:val="00D80C95"/>
    <w:rsid w:val="00D813B5"/>
    <w:rsid w:val="00D81A44"/>
    <w:rsid w:val="00D822F9"/>
    <w:rsid w:val="00D82FBD"/>
    <w:rsid w:val="00D83303"/>
    <w:rsid w:val="00D83E4A"/>
    <w:rsid w:val="00D844C8"/>
    <w:rsid w:val="00D8499F"/>
    <w:rsid w:val="00D84C69"/>
    <w:rsid w:val="00D84ED6"/>
    <w:rsid w:val="00D84FE0"/>
    <w:rsid w:val="00D85C8B"/>
    <w:rsid w:val="00D86CD5"/>
    <w:rsid w:val="00D87369"/>
    <w:rsid w:val="00D8796F"/>
    <w:rsid w:val="00D8799E"/>
    <w:rsid w:val="00D903D1"/>
    <w:rsid w:val="00D91685"/>
    <w:rsid w:val="00D920EA"/>
    <w:rsid w:val="00D921E6"/>
    <w:rsid w:val="00D929EB"/>
    <w:rsid w:val="00D9309D"/>
    <w:rsid w:val="00D930EC"/>
    <w:rsid w:val="00D936D7"/>
    <w:rsid w:val="00D943B1"/>
    <w:rsid w:val="00D945E9"/>
    <w:rsid w:val="00D94E45"/>
    <w:rsid w:val="00D95C25"/>
    <w:rsid w:val="00D96C42"/>
    <w:rsid w:val="00D96F17"/>
    <w:rsid w:val="00D975F5"/>
    <w:rsid w:val="00DA2E70"/>
    <w:rsid w:val="00DA3A81"/>
    <w:rsid w:val="00DA3BD5"/>
    <w:rsid w:val="00DA4B24"/>
    <w:rsid w:val="00DA503C"/>
    <w:rsid w:val="00DA5AED"/>
    <w:rsid w:val="00DA6417"/>
    <w:rsid w:val="00DA68D7"/>
    <w:rsid w:val="00DA6998"/>
    <w:rsid w:val="00DA7124"/>
    <w:rsid w:val="00DA71FF"/>
    <w:rsid w:val="00DA780C"/>
    <w:rsid w:val="00DA7E54"/>
    <w:rsid w:val="00DB00A9"/>
    <w:rsid w:val="00DB109A"/>
    <w:rsid w:val="00DB21E4"/>
    <w:rsid w:val="00DB2C32"/>
    <w:rsid w:val="00DB3597"/>
    <w:rsid w:val="00DB3871"/>
    <w:rsid w:val="00DB3B93"/>
    <w:rsid w:val="00DB40AB"/>
    <w:rsid w:val="00DB6D83"/>
    <w:rsid w:val="00DB7A11"/>
    <w:rsid w:val="00DC027D"/>
    <w:rsid w:val="00DC0F98"/>
    <w:rsid w:val="00DC19D3"/>
    <w:rsid w:val="00DC1B45"/>
    <w:rsid w:val="00DC2538"/>
    <w:rsid w:val="00DC2B00"/>
    <w:rsid w:val="00DC30BC"/>
    <w:rsid w:val="00DC3DFB"/>
    <w:rsid w:val="00DC43A9"/>
    <w:rsid w:val="00DC4BCA"/>
    <w:rsid w:val="00DC4E1B"/>
    <w:rsid w:val="00DC5C23"/>
    <w:rsid w:val="00DC5DE6"/>
    <w:rsid w:val="00DC5E3A"/>
    <w:rsid w:val="00DC6448"/>
    <w:rsid w:val="00DC6EEB"/>
    <w:rsid w:val="00DC7078"/>
    <w:rsid w:val="00DC73C7"/>
    <w:rsid w:val="00DC7485"/>
    <w:rsid w:val="00DC7602"/>
    <w:rsid w:val="00DD0437"/>
    <w:rsid w:val="00DD06EB"/>
    <w:rsid w:val="00DD15A1"/>
    <w:rsid w:val="00DD1622"/>
    <w:rsid w:val="00DD1C3B"/>
    <w:rsid w:val="00DD32CC"/>
    <w:rsid w:val="00DD3CE5"/>
    <w:rsid w:val="00DD4693"/>
    <w:rsid w:val="00DD7257"/>
    <w:rsid w:val="00DD7AA3"/>
    <w:rsid w:val="00DE0722"/>
    <w:rsid w:val="00DE0BEE"/>
    <w:rsid w:val="00DE1AB4"/>
    <w:rsid w:val="00DE24E3"/>
    <w:rsid w:val="00DE2A51"/>
    <w:rsid w:val="00DE2F41"/>
    <w:rsid w:val="00DE31CB"/>
    <w:rsid w:val="00DE3840"/>
    <w:rsid w:val="00DE5125"/>
    <w:rsid w:val="00DE5A60"/>
    <w:rsid w:val="00DE5E10"/>
    <w:rsid w:val="00DF061E"/>
    <w:rsid w:val="00DF06EE"/>
    <w:rsid w:val="00DF0AB7"/>
    <w:rsid w:val="00DF0B95"/>
    <w:rsid w:val="00DF1972"/>
    <w:rsid w:val="00DF3359"/>
    <w:rsid w:val="00DF3DA4"/>
    <w:rsid w:val="00DF466B"/>
    <w:rsid w:val="00DF5533"/>
    <w:rsid w:val="00DF65BA"/>
    <w:rsid w:val="00DF6BCD"/>
    <w:rsid w:val="00DF6F80"/>
    <w:rsid w:val="00DF7535"/>
    <w:rsid w:val="00DF7F49"/>
    <w:rsid w:val="00DF7FD7"/>
    <w:rsid w:val="00E002CF"/>
    <w:rsid w:val="00E01095"/>
    <w:rsid w:val="00E01889"/>
    <w:rsid w:val="00E019A3"/>
    <w:rsid w:val="00E0218A"/>
    <w:rsid w:val="00E02D42"/>
    <w:rsid w:val="00E03061"/>
    <w:rsid w:val="00E030CC"/>
    <w:rsid w:val="00E03E57"/>
    <w:rsid w:val="00E04976"/>
    <w:rsid w:val="00E04E95"/>
    <w:rsid w:val="00E0523D"/>
    <w:rsid w:val="00E052A5"/>
    <w:rsid w:val="00E05713"/>
    <w:rsid w:val="00E070EB"/>
    <w:rsid w:val="00E073B5"/>
    <w:rsid w:val="00E07941"/>
    <w:rsid w:val="00E07B2E"/>
    <w:rsid w:val="00E10782"/>
    <w:rsid w:val="00E10F40"/>
    <w:rsid w:val="00E11EA2"/>
    <w:rsid w:val="00E132A9"/>
    <w:rsid w:val="00E138E4"/>
    <w:rsid w:val="00E13F71"/>
    <w:rsid w:val="00E14768"/>
    <w:rsid w:val="00E1493A"/>
    <w:rsid w:val="00E14D16"/>
    <w:rsid w:val="00E15B27"/>
    <w:rsid w:val="00E1613B"/>
    <w:rsid w:val="00E17487"/>
    <w:rsid w:val="00E17490"/>
    <w:rsid w:val="00E211DE"/>
    <w:rsid w:val="00E217A2"/>
    <w:rsid w:val="00E22523"/>
    <w:rsid w:val="00E228C6"/>
    <w:rsid w:val="00E22DD8"/>
    <w:rsid w:val="00E23215"/>
    <w:rsid w:val="00E233EA"/>
    <w:rsid w:val="00E2383C"/>
    <w:rsid w:val="00E2447B"/>
    <w:rsid w:val="00E24DD5"/>
    <w:rsid w:val="00E25BF1"/>
    <w:rsid w:val="00E25F9D"/>
    <w:rsid w:val="00E2620A"/>
    <w:rsid w:val="00E269D5"/>
    <w:rsid w:val="00E26A40"/>
    <w:rsid w:val="00E304E4"/>
    <w:rsid w:val="00E307B4"/>
    <w:rsid w:val="00E308B1"/>
    <w:rsid w:val="00E30E33"/>
    <w:rsid w:val="00E316EC"/>
    <w:rsid w:val="00E32B16"/>
    <w:rsid w:val="00E32BAE"/>
    <w:rsid w:val="00E333FC"/>
    <w:rsid w:val="00E34258"/>
    <w:rsid w:val="00E34386"/>
    <w:rsid w:val="00E34CA9"/>
    <w:rsid w:val="00E352F6"/>
    <w:rsid w:val="00E35966"/>
    <w:rsid w:val="00E3621C"/>
    <w:rsid w:val="00E36E9A"/>
    <w:rsid w:val="00E378D8"/>
    <w:rsid w:val="00E37930"/>
    <w:rsid w:val="00E40878"/>
    <w:rsid w:val="00E413DB"/>
    <w:rsid w:val="00E421B9"/>
    <w:rsid w:val="00E426BA"/>
    <w:rsid w:val="00E42956"/>
    <w:rsid w:val="00E433D1"/>
    <w:rsid w:val="00E43D00"/>
    <w:rsid w:val="00E43F44"/>
    <w:rsid w:val="00E4482B"/>
    <w:rsid w:val="00E44875"/>
    <w:rsid w:val="00E44C17"/>
    <w:rsid w:val="00E4507D"/>
    <w:rsid w:val="00E46F15"/>
    <w:rsid w:val="00E4732A"/>
    <w:rsid w:val="00E47377"/>
    <w:rsid w:val="00E47538"/>
    <w:rsid w:val="00E47710"/>
    <w:rsid w:val="00E47E3B"/>
    <w:rsid w:val="00E502F6"/>
    <w:rsid w:val="00E515DB"/>
    <w:rsid w:val="00E518D8"/>
    <w:rsid w:val="00E523AF"/>
    <w:rsid w:val="00E52823"/>
    <w:rsid w:val="00E53C89"/>
    <w:rsid w:val="00E557C4"/>
    <w:rsid w:val="00E567BA"/>
    <w:rsid w:val="00E56FEA"/>
    <w:rsid w:val="00E5754B"/>
    <w:rsid w:val="00E5755D"/>
    <w:rsid w:val="00E575CA"/>
    <w:rsid w:val="00E602BD"/>
    <w:rsid w:val="00E608A6"/>
    <w:rsid w:val="00E61CE3"/>
    <w:rsid w:val="00E61CEF"/>
    <w:rsid w:val="00E62B39"/>
    <w:rsid w:val="00E63FA6"/>
    <w:rsid w:val="00E64A02"/>
    <w:rsid w:val="00E661A8"/>
    <w:rsid w:val="00E66F33"/>
    <w:rsid w:val="00E67477"/>
    <w:rsid w:val="00E70873"/>
    <w:rsid w:val="00E70FEC"/>
    <w:rsid w:val="00E72863"/>
    <w:rsid w:val="00E72DF7"/>
    <w:rsid w:val="00E73256"/>
    <w:rsid w:val="00E735D6"/>
    <w:rsid w:val="00E742C9"/>
    <w:rsid w:val="00E742FE"/>
    <w:rsid w:val="00E74354"/>
    <w:rsid w:val="00E754DF"/>
    <w:rsid w:val="00E75D97"/>
    <w:rsid w:val="00E768A9"/>
    <w:rsid w:val="00E76E2D"/>
    <w:rsid w:val="00E771FF"/>
    <w:rsid w:val="00E80274"/>
    <w:rsid w:val="00E806C7"/>
    <w:rsid w:val="00E8158C"/>
    <w:rsid w:val="00E83330"/>
    <w:rsid w:val="00E834A6"/>
    <w:rsid w:val="00E848BB"/>
    <w:rsid w:val="00E84F1B"/>
    <w:rsid w:val="00E86111"/>
    <w:rsid w:val="00E86A5D"/>
    <w:rsid w:val="00E8706A"/>
    <w:rsid w:val="00E8768B"/>
    <w:rsid w:val="00E87846"/>
    <w:rsid w:val="00E87E0C"/>
    <w:rsid w:val="00E90EC2"/>
    <w:rsid w:val="00E917B3"/>
    <w:rsid w:val="00E91AFC"/>
    <w:rsid w:val="00E91C2E"/>
    <w:rsid w:val="00E92007"/>
    <w:rsid w:val="00E9209D"/>
    <w:rsid w:val="00E92E29"/>
    <w:rsid w:val="00E9338E"/>
    <w:rsid w:val="00E93BB6"/>
    <w:rsid w:val="00E94D21"/>
    <w:rsid w:val="00E9507B"/>
    <w:rsid w:val="00E9554E"/>
    <w:rsid w:val="00E96483"/>
    <w:rsid w:val="00E967EE"/>
    <w:rsid w:val="00E96831"/>
    <w:rsid w:val="00E975E6"/>
    <w:rsid w:val="00E97AF5"/>
    <w:rsid w:val="00E97B57"/>
    <w:rsid w:val="00EA1A2F"/>
    <w:rsid w:val="00EA1A36"/>
    <w:rsid w:val="00EA2E47"/>
    <w:rsid w:val="00EA321D"/>
    <w:rsid w:val="00EA3513"/>
    <w:rsid w:val="00EA44E1"/>
    <w:rsid w:val="00EA4901"/>
    <w:rsid w:val="00EA4B91"/>
    <w:rsid w:val="00EA4E04"/>
    <w:rsid w:val="00EA4E79"/>
    <w:rsid w:val="00EA58A5"/>
    <w:rsid w:val="00EA58EE"/>
    <w:rsid w:val="00EA5B5F"/>
    <w:rsid w:val="00EA5F55"/>
    <w:rsid w:val="00EA6AD4"/>
    <w:rsid w:val="00EB27C9"/>
    <w:rsid w:val="00EB28B8"/>
    <w:rsid w:val="00EB2BE9"/>
    <w:rsid w:val="00EB312C"/>
    <w:rsid w:val="00EB41B0"/>
    <w:rsid w:val="00EB524B"/>
    <w:rsid w:val="00EB5798"/>
    <w:rsid w:val="00EB599F"/>
    <w:rsid w:val="00EB60D0"/>
    <w:rsid w:val="00EB6108"/>
    <w:rsid w:val="00EB6143"/>
    <w:rsid w:val="00EB6302"/>
    <w:rsid w:val="00EB678F"/>
    <w:rsid w:val="00EB739E"/>
    <w:rsid w:val="00EB777E"/>
    <w:rsid w:val="00EC026F"/>
    <w:rsid w:val="00EC139C"/>
    <w:rsid w:val="00EC149E"/>
    <w:rsid w:val="00EC1744"/>
    <w:rsid w:val="00EC1F1F"/>
    <w:rsid w:val="00EC34EC"/>
    <w:rsid w:val="00EC36E1"/>
    <w:rsid w:val="00EC4231"/>
    <w:rsid w:val="00EC4335"/>
    <w:rsid w:val="00EC48D6"/>
    <w:rsid w:val="00EC4C37"/>
    <w:rsid w:val="00EC5CA2"/>
    <w:rsid w:val="00EC79BD"/>
    <w:rsid w:val="00ED0159"/>
    <w:rsid w:val="00ED044D"/>
    <w:rsid w:val="00ED081D"/>
    <w:rsid w:val="00ED1157"/>
    <w:rsid w:val="00ED167B"/>
    <w:rsid w:val="00ED1B16"/>
    <w:rsid w:val="00ED1E13"/>
    <w:rsid w:val="00ED22B5"/>
    <w:rsid w:val="00ED307E"/>
    <w:rsid w:val="00ED38BD"/>
    <w:rsid w:val="00ED435B"/>
    <w:rsid w:val="00ED4405"/>
    <w:rsid w:val="00ED442C"/>
    <w:rsid w:val="00ED468E"/>
    <w:rsid w:val="00ED46AC"/>
    <w:rsid w:val="00ED4E9F"/>
    <w:rsid w:val="00ED55F4"/>
    <w:rsid w:val="00ED59EB"/>
    <w:rsid w:val="00ED5A3E"/>
    <w:rsid w:val="00ED5B2B"/>
    <w:rsid w:val="00ED5E82"/>
    <w:rsid w:val="00ED5F76"/>
    <w:rsid w:val="00ED740E"/>
    <w:rsid w:val="00ED780E"/>
    <w:rsid w:val="00ED7858"/>
    <w:rsid w:val="00ED7F47"/>
    <w:rsid w:val="00EE0982"/>
    <w:rsid w:val="00EE1493"/>
    <w:rsid w:val="00EE1912"/>
    <w:rsid w:val="00EE20A6"/>
    <w:rsid w:val="00EE21C0"/>
    <w:rsid w:val="00EE2DB2"/>
    <w:rsid w:val="00EE387D"/>
    <w:rsid w:val="00EE393D"/>
    <w:rsid w:val="00EE4071"/>
    <w:rsid w:val="00EE41C0"/>
    <w:rsid w:val="00EE4443"/>
    <w:rsid w:val="00EE6F40"/>
    <w:rsid w:val="00EE72C1"/>
    <w:rsid w:val="00EF0B7E"/>
    <w:rsid w:val="00EF1504"/>
    <w:rsid w:val="00EF2FB5"/>
    <w:rsid w:val="00EF491C"/>
    <w:rsid w:val="00EF4C7D"/>
    <w:rsid w:val="00EF50E6"/>
    <w:rsid w:val="00EF5E93"/>
    <w:rsid w:val="00EF6A99"/>
    <w:rsid w:val="00EF6AFA"/>
    <w:rsid w:val="00EF7A55"/>
    <w:rsid w:val="00F005E6"/>
    <w:rsid w:val="00F006FC"/>
    <w:rsid w:val="00F0138F"/>
    <w:rsid w:val="00F0190A"/>
    <w:rsid w:val="00F0326A"/>
    <w:rsid w:val="00F0344E"/>
    <w:rsid w:val="00F035BC"/>
    <w:rsid w:val="00F0381A"/>
    <w:rsid w:val="00F03BF3"/>
    <w:rsid w:val="00F03DFB"/>
    <w:rsid w:val="00F03FFD"/>
    <w:rsid w:val="00F042BD"/>
    <w:rsid w:val="00F059D4"/>
    <w:rsid w:val="00F05AB6"/>
    <w:rsid w:val="00F06635"/>
    <w:rsid w:val="00F06DAC"/>
    <w:rsid w:val="00F0732B"/>
    <w:rsid w:val="00F11403"/>
    <w:rsid w:val="00F11470"/>
    <w:rsid w:val="00F11A3A"/>
    <w:rsid w:val="00F11AA8"/>
    <w:rsid w:val="00F14748"/>
    <w:rsid w:val="00F1486B"/>
    <w:rsid w:val="00F15760"/>
    <w:rsid w:val="00F15F40"/>
    <w:rsid w:val="00F16877"/>
    <w:rsid w:val="00F175C8"/>
    <w:rsid w:val="00F20229"/>
    <w:rsid w:val="00F204AE"/>
    <w:rsid w:val="00F20665"/>
    <w:rsid w:val="00F20D2C"/>
    <w:rsid w:val="00F21EA9"/>
    <w:rsid w:val="00F225B1"/>
    <w:rsid w:val="00F22E22"/>
    <w:rsid w:val="00F23E05"/>
    <w:rsid w:val="00F245AA"/>
    <w:rsid w:val="00F24805"/>
    <w:rsid w:val="00F24919"/>
    <w:rsid w:val="00F250FB"/>
    <w:rsid w:val="00F2557E"/>
    <w:rsid w:val="00F258EF"/>
    <w:rsid w:val="00F26115"/>
    <w:rsid w:val="00F26637"/>
    <w:rsid w:val="00F26B5B"/>
    <w:rsid w:val="00F2756A"/>
    <w:rsid w:val="00F30076"/>
    <w:rsid w:val="00F30478"/>
    <w:rsid w:val="00F310C6"/>
    <w:rsid w:val="00F31460"/>
    <w:rsid w:val="00F31483"/>
    <w:rsid w:val="00F31F94"/>
    <w:rsid w:val="00F33396"/>
    <w:rsid w:val="00F339C9"/>
    <w:rsid w:val="00F33B22"/>
    <w:rsid w:val="00F34E62"/>
    <w:rsid w:val="00F35322"/>
    <w:rsid w:val="00F355E8"/>
    <w:rsid w:val="00F35AAC"/>
    <w:rsid w:val="00F36515"/>
    <w:rsid w:val="00F36D05"/>
    <w:rsid w:val="00F37246"/>
    <w:rsid w:val="00F412C6"/>
    <w:rsid w:val="00F41985"/>
    <w:rsid w:val="00F42137"/>
    <w:rsid w:val="00F42821"/>
    <w:rsid w:val="00F42B9C"/>
    <w:rsid w:val="00F42D26"/>
    <w:rsid w:val="00F42DE7"/>
    <w:rsid w:val="00F436DB"/>
    <w:rsid w:val="00F43C47"/>
    <w:rsid w:val="00F44976"/>
    <w:rsid w:val="00F45849"/>
    <w:rsid w:val="00F458E6"/>
    <w:rsid w:val="00F45D08"/>
    <w:rsid w:val="00F45E1B"/>
    <w:rsid w:val="00F45F9F"/>
    <w:rsid w:val="00F4653E"/>
    <w:rsid w:val="00F46819"/>
    <w:rsid w:val="00F468B0"/>
    <w:rsid w:val="00F46AF6"/>
    <w:rsid w:val="00F47030"/>
    <w:rsid w:val="00F47330"/>
    <w:rsid w:val="00F47440"/>
    <w:rsid w:val="00F475ED"/>
    <w:rsid w:val="00F506D7"/>
    <w:rsid w:val="00F50779"/>
    <w:rsid w:val="00F50F7E"/>
    <w:rsid w:val="00F514D2"/>
    <w:rsid w:val="00F5196B"/>
    <w:rsid w:val="00F52A58"/>
    <w:rsid w:val="00F532D9"/>
    <w:rsid w:val="00F5390B"/>
    <w:rsid w:val="00F53AEE"/>
    <w:rsid w:val="00F53D38"/>
    <w:rsid w:val="00F53ED4"/>
    <w:rsid w:val="00F54594"/>
    <w:rsid w:val="00F54A06"/>
    <w:rsid w:val="00F54B45"/>
    <w:rsid w:val="00F54D1F"/>
    <w:rsid w:val="00F55DBD"/>
    <w:rsid w:val="00F56092"/>
    <w:rsid w:val="00F5666B"/>
    <w:rsid w:val="00F56829"/>
    <w:rsid w:val="00F56B72"/>
    <w:rsid w:val="00F56EEE"/>
    <w:rsid w:val="00F576ED"/>
    <w:rsid w:val="00F57B96"/>
    <w:rsid w:val="00F57D22"/>
    <w:rsid w:val="00F605E3"/>
    <w:rsid w:val="00F6081A"/>
    <w:rsid w:val="00F60B93"/>
    <w:rsid w:val="00F61101"/>
    <w:rsid w:val="00F62FFA"/>
    <w:rsid w:val="00F6314E"/>
    <w:rsid w:val="00F63AB8"/>
    <w:rsid w:val="00F64D5A"/>
    <w:rsid w:val="00F64E51"/>
    <w:rsid w:val="00F65B58"/>
    <w:rsid w:val="00F66EC2"/>
    <w:rsid w:val="00F67494"/>
    <w:rsid w:val="00F7013E"/>
    <w:rsid w:val="00F705B3"/>
    <w:rsid w:val="00F71F61"/>
    <w:rsid w:val="00F720A0"/>
    <w:rsid w:val="00F725E3"/>
    <w:rsid w:val="00F726C5"/>
    <w:rsid w:val="00F72DDC"/>
    <w:rsid w:val="00F72E1C"/>
    <w:rsid w:val="00F73C46"/>
    <w:rsid w:val="00F742A0"/>
    <w:rsid w:val="00F74CB8"/>
    <w:rsid w:val="00F75B02"/>
    <w:rsid w:val="00F75B1A"/>
    <w:rsid w:val="00F76446"/>
    <w:rsid w:val="00F76458"/>
    <w:rsid w:val="00F77AAF"/>
    <w:rsid w:val="00F81470"/>
    <w:rsid w:val="00F82AED"/>
    <w:rsid w:val="00F8319F"/>
    <w:rsid w:val="00F83905"/>
    <w:rsid w:val="00F84520"/>
    <w:rsid w:val="00F8465C"/>
    <w:rsid w:val="00F8546D"/>
    <w:rsid w:val="00F85861"/>
    <w:rsid w:val="00F85AAA"/>
    <w:rsid w:val="00F86710"/>
    <w:rsid w:val="00F8683C"/>
    <w:rsid w:val="00F86930"/>
    <w:rsid w:val="00F8720C"/>
    <w:rsid w:val="00F87308"/>
    <w:rsid w:val="00F878FA"/>
    <w:rsid w:val="00F87A85"/>
    <w:rsid w:val="00F904D6"/>
    <w:rsid w:val="00F90DA7"/>
    <w:rsid w:val="00F91080"/>
    <w:rsid w:val="00F91393"/>
    <w:rsid w:val="00F918FA"/>
    <w:rsid w:val="00F91B81"/>
    <w:rsid w:val="00F91DC8"/>
    <w:rsid w:val="00F91DF2"/>
    <w:rsid w:val="00F92108"/>
    <w:rsid w:val="00F935C8"/>
    <w:rsid w:val="00F94B5E"/>
    <w:rsid w:val="00F95FB8"/>
    <w:rsid w:val="00F963F4"/>
    <w:rsid w:val="00F96740"/>
    <w:rsid w:val="00F96846"/>
    <w:rsid w:val="00F968A7"/>
    <w:rsid w:val="00F96BDD"/>
    <w:rsid w:val="00FA0879"/>
    <w:rsid w:val="00FA0945"/>
    <w:rsid w:val="00FA2723"/>
    <w:rsid w:val="00FA28E7"/>
    <w:rsid w:val="00FA2C25"/>
    <w:rsid w:val="00FA2E51"/>
    <w:rsid w:val="00FA37E3"/>
    <w:rsid w:val="00FA4129"/>
    <w:rsid w:val="00FA4432"/>
    <w:rsid w:val="00FA4EB3"/>
    <w:rsid w:val="00FA5236"/>
    <w:rsid w:val="00FA55DB"/>
    <w:rsid w:val="00FA56E3"/>
    <w:rsid w:val="00FA5A2E"/>
    <w:rsid w:val="00FA6843"/>
    <w:rsid w:val="00FA690F"/>
    <w:rsid w:val="00FA7D91"/>
    <w:rsid w:val="00FA7DDA"/>
    <w:rsid w:val="00FB0A3C"/>
    <w:rsid w:val="00FB0FE9"/>
    <w:rsid w:val="00FB15D0"/>
    <w:rsid w:val="00FB25A4"/>
    <w:rsid w:val="00FB267F"/>
    <w:rsid w:val="00FB2CAB"/>
    <w:rsid w:val="00FB333C"/>
    <w:rsid w:val="00FB33D1"/>
    <w:rsid w:val="00FB3F35"/>
    <w:rsid w:val="00FB436D"/>
    <w:rsid w:val="00FB4F28"/>
    <w:rsid w:val="00FB5333"/>
    <w:rsid w:val="00FC010B"/>
    <w:rsid w:val="00FC0464"/>
    <w:rsid w:val="00FC050E"/>
    <w:rsid w:val="00FC0F06"/>
    <w:rsid w:val="00FC1167"/>
    <w:rsid w:val="00FC1762"/>
    <w:rsid w:val="00FC1CE8"/>
    <w:rsid w:val="00FC2203"/>
    <w:rsid w:val="00FC293B"/>
    <w:rsid w:val="00FC3637"/>
    <w:rsid w:val="00FC424D"/>
    <w:rsid w:val="00FC4FF8"/>
    <w:rsid w:val="00FC51D6"/>
    <w:rsid w:val="00FC53EF"/>
    <w:rsid w:val="00FC5975"/>
    <w:rsid w:val="00FC5C3B"/>
    <w:rsid w:val="00FC67DC"/>
    <w:rsid w:val="00FC6D8D"/>
    <w:rsid w:val="00FC6EC3"/>
    <w:rsid w:val="00FC718B"/>
    <w:rsid w:val="00FC7A12"/>
    <w:rsid w:val="00FD0F60"/>
    <w:rsid w:val="00FD1837"/>
    <w:rsid w:val="00FD3586"/>
    <w:rsid w:val="00FD3B13"/>
    <w:rsid w:val="00FD3CE0"/>
    <w:rsid w:val="00FD4203"/>
    <w:rsid w:val="00FD48F3"/>
    <w:rsid w:val="00FD5067"/>
    <w:rsid w:val="00FD5131"/>
    <w:rsid w:val="00FD5A2F"/>
    <w:rsid w:val="00FD5FA7"/>
    <w:rsid w:val="00FD62F9"/>
    <w:rsid w:val="00FD7075"/>
    <w:rsid w:val="00FD77E7"/>
    <w:rsid w:val="00FD7C2E"/>
    <w:rsid w:val="00FD7D93"/>
    <w:rsid w:val="00FE06A2"/>
    <w:rsid w:val="00FE1057"/>
    <w:rsid w:val="00FE1F30"/>
    <w:rsid w:val="00FE31A0"/>
    <w:rsid w:val="00FE3814"/>
    <w:rsid w:val="00FE3DA0"/>
    <w:rsid w:val="00FE7449"/>
    <w:rsid w:val="00FE7EC1"/>
    <w:rsid w:val="00FF01DD"/>
    <w:rsid w:val="00FF04D5"/>
    <w:rsid w:val="00FF13C6"/>
    <w:rsid w:val="00FF15F8"/>
    <w:rsid w:val="00FF2008"/>
    <w:rsid w:val="00FF2C9D"/>
    <w:rsid w:val="00FF2DF7"/>
    <w:rsid w:val="00FF2F8D"/>
    <w:rsid w:val="00FF340B"/>
    <w:rsid w:val="00FF35DE"/>
    <w:rsid w:val="00FF4EB0"/>
    <w:rsid w:val="00FF56E9"/>
    <w:rsid w:val="00FF598A"/>
    <w:rsid w:val="00FF6231"/>
    <w:rsid w:val="00FF691E"/>
    <w:rsid w:val="00FF6C5A"/>
    <w:rsid w:val="00FF6FFF"/>
    <w:rsid w:val="00FF7636"/>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DB200C"/>
  <w15:chartTrackingRefBased/>
  <w15:docId w15:val="{E5BE567D-EE71-475D-811A-CB41C6A8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ar-SA"/>
      </w:rPr>
    </w:rPrDefault>
    <w:pPrDefault>
      <w:pPr>
        <w:spacing w:after="120" w:line="260" w:lineRule="atLeast"/>
      </w:pPr>
    </w:pPrDefault>
  </w:docDefaults>
  <w:latentStyles w:defLockedState="0" w:defUIPriority="44"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2"/>
    <w:lsdException w:name="heading 6" w:semiHidden="1" w:uiPriority="2"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3"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55DB"/>
    <w:pPr>
      <w:tabs>
        <w:tab w:val="left" w:pos="284"/>
      </w:tabs>
      <w:spacing w:after="0" w:line="300" w:lineRule="atLeast"/>
    </w:pPr>
    <w:rPr>
      <w:rFonts w:ascii="Garamond" w:hAnsi="Garamond" w:cstheme="minorBidi"/>
      <w:lang w:val="sv-SE"/>
    </w:rPr>
  </w:style>
  <w:style w:type="paragraph" w:styleId="Rubrik1">
    <w:name w:val="heading 1"/>
    <w:basedOn w:val="Normal"/>
    <w:next w:val="Normal"/>
    <w:link w:val="Rubrik1Char"/>
    <w:qFormat/>
    <w:rsid w:val="00A370B3"/>
    <w:pPr>
      <w:keepNext/>
      <w:spacing w:before="600" w:line="240" w:lineRule="auto"/>
      <w:outlineLvl w:val="0"/>
    </w:pPr>
    <w:rPr>
      <w:rFonts w:asciiTheme="majorHAnsi" w:eastAsiaTheme="majorEastAsia" w:hAnsiTheme="majorHAnsi"/>
      <w:b/>
      <w:bCs/>
      <w:sz w:val="36"/>
      <w:szCs w:val="28"/>
    </w:rPr>
  </w:style>
  <w:style w:type="paragraph" w:styleId="Rubrik2">
    <w:name w:val="heading 2"/>
    <w:basedOn w:val="Normal"/>
    <w:next w:val="Normal"/>
    <w:link w:val="Rubrik2Char"/>
    <w:qFormat/>
    <w:rsid w:val="00A370B3"/>
    <w:pPr>
      <w:keepNext/>
      <w:spacing w:before="360" w:after="80" w:line="240" w:lineRule="auto"/>
      <w:outlineLvl w:val="1"/>
    </w:pPr>
    <w:rPr>
      <w:rFonts w:asciiTheme="majorHAnsi" w:eastAsiaTheme="majorEastAsia" w:hAnsiTheme="majorHAnsi"/>
      <w:b/>
      <w:bCs/>
      <w:sz w:val="28"/>
      <w:szCs w:val="26"/>
    </w:rPr>
  </w:style>
  <w:style w:type="paragraph" w:styleId="Rubrik3">
    <w:name w:val="heading 3"/>
    <w:basedOn w:val="Normal"/>
    <w:next w:val="Normal"/>
    <w:link w:val="Rubrik3Char"/>
    <w:qFormat/>
    <w:rsid w:val="00A370B3"/>
    <w:pPr>
      <w:keepNext/>
      <w:spacing w:before="360" w:after="40" w:line="240" w:lineRule="auto"/>
      <w:outlineLvl w:val="2"/>
    </w:pPr>
    <w:rPr>
      <w:rFonts w:asciiTheme="majorHAnsi" w:eastAsiaTheme="majorEastAsia" w:hAnsiTheme="majorHAnsi"/>
      <w:b/>
      <w:bCs/>
      <w:sz w:val="24"/>
    </w:rPr>
  </w:style>
  <w:style w:type="paragraph" w:styleId="Rubrik4">
    <w:name w:val="heading 4"/>
    <w:basedOn w:val="Normal"/>
    <w:next w:val="Normal"/>
    <w:link w:val="Rubrik4Char"/>
    <w:qFormat/>
    <w:rsid w:val="001A2E30"/>
    <w:pPr>
      <w:keepNext/>
      <w:spacing w:before="360" w:after="40" w:line="240" w:lineRule="auto"/>
      <w:outlineLvl w:val="3"/>
    </w:pPr>
    <w:rPr>
      <w:rFonts w:asciiTheme="majorHAnsi" w:hAnsiTheme="majorHAnsi"/>
      <w:b/>
      <w:bCs/>
      <w:iCs/>
    </w:rPr>
  </w:style>
  <w:style w:type="paragraph" w:styleId="Rubrik5">
    <w:name w:val="heading 5"/>
    <w:basedOn w:val="Normal"/>
    <w:next w:val="Normal"/>
    <w:link w:val="Rubrik5Char"/>
    <w:uiPriority w:val="2"/>
    <w:semiHidden/>
    <w:rsid w:val="00FA4EB3"/>
    <w:pPr>
      <w:keepNext/>
      <w:spacing w:before="120"/>
      <w:outlineLvl w:val="4"/>
    </w:pPr>
  </w:style>
  <w:style w:type="paragraph" w:styleId="Rubrik6">
    <w:name w:val="heading 6"/>
    <w:basedOn w:val="Normal"/>
    <w:next w:val="Normal"/>
    <w:link w:val="Rubrik6Char"/>
    <w:uiPriority w:val="2"/>
    <w:semiHidden/>
    <w:rsid w:val="00FA4EB3"/>
    <w:pPr>
      <w:keepNext/>
      <w:spacing w:before="120"/>
      <w:outlineLvl w:val="5"/>
    </w:pPr>
    <w:rPr>
      <w:iCs/>
    </w:rPr>
  </w:style>
  <w:style w:type="paragraph" w:styleId="Rubrik7">
    <w:name w:val="heading 7"/>
    <w:basedOn w:val="Normal"/>
    <w:next w:val="Normal"/>
    <w:link w:val="Rubrik7Char"/>
    <w:uiPriority w:val="9"/>
    <w:semiHidden/>
    <w:qFormat/>
    <w:rsid w:val="00FA4EB3"/>
    <w:pPr>
      <w:keepNext/>
      <w:spacing w:before="120"/>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DA71FF"/>
    <w:pPr>
      <w:tabs>
        <w:tab w:val="center" w:pos="4536"/>
        <w:tab w:val="right" w:pos="9072"/>
      </w:tabs>
      <w:spacing w:after="60" w:line="240" w:lineRule="auto"/>
    </w:pPr>
    <w:rPr>
      <w:rFonts w:asciiTheme="majorHAnsi" w:hAnsiTheme="majorHAnsi"/>
    </w:rPr>
  </w:style>
  <w:style w:type="paragraph" w:styleId="Sidfot">
    <w:name w:val="footer"/>
    <w:basedOn w:val="Normal"/>
    <w:link w:val="SidfotChar"/>
    <w:uiPriority w:val="99"/>
    <w:rsid w:val="005229A3"/>
    <w:pPr>
      <w:tabs>
        <w:tab w:val="center" w:pos="4536"/>
        <w:tab w:val="right" w:pos="9072"/>
      </w:tabs>
      <w:spacing w:line="200" w:lineRule="atLeast"/>
    </w:pPr>
    <w:rPr>
      <w:rFonts w:asciiTheme="majorHAnsi" w:hAnsiTheme="majorHAnsi"/>
      <w:sz w:val="16"/>
    </w:rPr>
  </w:style>
  <w:style w:type="character" w:styleId="Hyperlnk">
    <w:name w:val="Hyperlink"/>
    <w:basedOn w:val="Standardstycketeckensnitt"/>
    <w:uiPriority w:val="3"/>
    <w:rsid w:val="00CF184A"/>
    <w:rPr>
      <w:color w:val="auto"/>
      <w:u w:val="single"/>
    </w:rPr>
  </w:style>
  <w:style w:type="character" w:styleId="Sidnummer">
    <w:name w:val="page number"/>
    <w:basedOn w:val="Standardstycketeckensnitt"/>
    <w:rsid w:val="0048215F"/>
    <w:rPr>
      <w:rFonts w:asciiTheme="majorHAnsi" w:hAnsiTheme="majorHAnsi"/>
      <w:color w:val="auto"/>
    </w:rPr>
  </w:style>
  <w:style w:type="character" w:customStyle="1" w:styleId="Rubrik1Char">
    <w:name w:val="Rubrik 1 Char"/>
    <w:link w:val="Rubrik1"/>
    <w:rsid w:val="00A370B3"/>
    <w:rPr>
      <w:rFonts w:asciiTheme="majorHAnsi" w:eastAsiaTheme="majorEastAsia" w:hAnsiTheme="majorHAnsi"/>
      <w:b/>
      <w:bCs/>
      <w:sz w:val="36"/>
      <w:szCs w:val="28"/>
      <w:lang w:val="sv-SE"/>
    </w:rPr>
  </w:style>
  <w:style w:type="character" w:customStyle="1" w:styleId="Rubrik3Char">
    <w:name w:val="Rubrik 3 Char"/>
    <w:link w:val="Rubrik3"/>
    <w:rsid w:val="00A370B3"/>
    <w:rPr>
      <w:rFonts w:asciiTheme="majorHAnsi" w:eastAsiaTheme="majorEastAsia" w:hAnsiTheme="majorHAnsi"/>
      <w:b/>
      <w:bCs/>
      <w:sz w:val="24"/>
      <w:lang w:val="sv-SE"/>
    </w:rPr>
  </w:style>
  <w:style w:type="character" w:customStyle="1" w:styleId="Rubrik2Char">
    <w:name w:val="Rubrik 2 Char"/>
    <w:link w:val="Rubrik2"/>
    <w:rsid w:val="00A370B3"/>
    <w:rPr>
      <w:rFonts w:asciiTheme="majorHAnsi" w:eastAsiaTheme="majorEastAsia" w:hAnsiTheme="majorHAnsi"/>
      <w:b/>
      <w:bCs/>
      <w:sz w:val="28"/>
      <w:szCs w:val="26"/>
      <w:lang w:val="sv-SE"/>
    </w:rPr>
  </w:style>
  <w:style w:type="paragraph" w:styleId="Liststycke">
    <w:name w:val="List Paragraph"/>
    <w:basedOn w:val="Normal"/>
    <w:uiPriority w:val="34"/>
    <w:qFormat/>
    <w:rsid w:val="00A466FA"/>
    <w:pPr>
      <w:ind w:left="720"/>
    </w:pPr>
  </w:style>
  <w:style w:type="character" w:customStyle="1" w:styleId="Rubrik4Char">
    <w:name w:val="Rubrik 4 Char"/>
    <w:link w:val="Rubrik4"/>
    <w:rsid w:val="001A2E30"/>
    <w:rPr>
      <w:rFonts w:asciiTheme="majorHAnsi" w:hAnsiTheme="majorHAnsi"/>
      <w:b/>
      <w:bCs/>
      <w:iCs/>
      <w:lang w:val="sv-SE"/>
    </w:rPr>
  </w:style>
  <w:style w:type="character" w:customStyle="1" w:styleId="Rubrik5Char">
    <w:name w:val="Rubrik 5 Char"/>
    <w:link w:val="Rubrik5"/>
    <w:uiPriority w:val="2"/>
    <w:semiHidden/>
    <w:rsid w:val="00FA4EB3"/>
    <w:rPr>
      <w:rFonts w:eastAsia="Times New Roman"/>
      <w:sz w:val="24"/>
      <w:szCs w:val="24"/>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FA4EB3"/>
    <w:pPr>
      <w:numPr>
        <w:numId w:val="4"/>
      </w:numPr>
    </w:pPr>
  </w:style>
  <w:style w:type="numbering" w:customStyle="1" w:styleId="CompanyListBullet">
    <w:name w:val="Company_ListBullet"/>
    <w:basedOn w:val="Ingenlista"/>
    <w:rsid w:val="00961959"/>
    <w:pPr>
      <w:numPr>
        <w:numId w:val="5"/>
      </w:numPr>
    </w:pPr>
  </w:style>
  <w:style w:type="paragraph" w:styleId="Innehllsfrteckningsrubrik">
    <w:name w:val="TOC Heading"/>
    <w:basedOn w:val="Rubrik1"/>
    <w:next w:val="Normal"/>
    <w:uiPriority w:val="39"/>
    <w:qFormat/>
    <w:rsid w:val="00FC4FF8"/>
    <w:pPr>
      <w:keepLines/>
      <w:outlineLvl w:val="9"/>
    </w:pPr>
    <w:rPr>
      <w:rFonts w:cstheme="majorBidi"/>
      <w:szCs w:val="50"/>
      <w:lang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99"/>
    <w:rsid w:val="005229A3"/>
    <w:rPr>
      <w:rFonts w:asciiTheme="majorHAnsi" w:hAnsiTheme="majorHAnsi"/>
      <w:sz w:val="16"/>
      <w:lang w:val="sv-SE"/>
    </w:rPr>
  </w:style>
  <w:style w:type="paragraph" w:customStyle="1" w:styleId="Heading1No">
    <w:name w:val="Heading_1 No"/>
    <w:basedOn w:val="Normal"/>
    <w:next w:val="Normal"/>
    <w:link w:val="Heading1NoChar"/>
    <w:uiPriority w:val="2"/>
    <w:semiHidden/>
    <w:rsid w:val="00CD2461"/>
    <w:pPr>
      <w:keepNext/>
      <w:numPr>
        <w:numId w:val="3"/>
      </w:numPr>
      <w:spacing w:before="300" w:after="60"/>
      <w:outlineLvl w:val="0"/>
    </w:pPr>
    <w:rPr>
      <w:rFonts w:asciiTheme="majorHAnsi" w:eastAsiaTheme="majorEastAsia" w:hAnsiTheme="majorHAnsi" w:cs="Arial"/>
      <w:color w:val="000000" w:themeColor="text1"/>
      <w:sz w:val="32"/>
      <w:szCs w:val="26"/>
      <w:lang w:val="en-GB"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val="0"/>
      <w:bCs w:val="0"/>
      <w:color w:val="000000" w:themeColor="text1"/>
      <w:sz w:val="32"/>
      <w:szCs w:val="26"/>
      <w:lang w:val="en-GB" w:eastAsia="sv-SE"/>
    </w:rPr>
  </w:style>
  <w:style w:type="paragraph" w:customStyle="1" w:styleId="Heading2No">
    <w:name w:val="Heading_2 No"/>
    <w:basedOn w:val="Normal"/>
    <w:next w:val="Normal"/>
    <w:link w:val="Heading2NoChar"/>
    <w:uiPriority w:val="2"/>
    <w:semiHidden/>
    <w:rsid w:val="00CD2461"/>
    <w:pPr>
      <w:keepNext/>
      <w:numPr>
        <w:ilvl w:val="1"/>
        <w:numId w:val="3"/>
      </w:numPr>
      <w:spacing w:before="300" w:after="60"/>
      <w:outlineLvl w:val="1"/>
    </w:pPr>
    <w:rPr>
      <w:rFonts w:ascii="Arial" w:eastAsiaTheme="majorEastAsia" w:hAnsi="Arial" w:cs="Arial"/>
      <w:sz w:val="28"/>
      <w:szCs w:val="26"/>
      <w:lang w:val="en-GB"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val="0"/>
      <w:bCs w:val="0"/>
      <w:sz w:val="28"/>
      <w:szCs w:val="26"/>
      <w:lang w:val="en-GB" w:eastAsia="sv-SE"/>
    </w:rPr>
  </w:style>
  <w:style w:type="paragraph" w:customStyle="1" w:styleId="Heading3No">
    <w:name w:val="Heading_3 No"/>
    <w:basedOn w:val="Normal"/>
    <w:next w:val="Normal"/>
    <w:link w:val="Heading3NoChar"/>
    <w:uiPriority w:val="2"/>
    <w:semiHidden/>
    <w:rsid w:val="00CD2461"/>
    <w:pPr>
      <w:keepNext/>
      <w:numPr>
        <w:ilvl w:val="2"/>
        <w:numId w:val="3"/>
      </w:numPr>
      <w:spacing w:before="300"/>
      <w:ind w:left="851" w:hanging="851"/>
      <w:outlineLvl w:val="2"/>
    </w:pPr>
    <w:rPr>
      <w:rFonts w:asciiTheme="majorHAnsi" w:eastAsiaTheme="majorEastAsia" w:hAnsiTheme="majorHAnsi" w:cs="Arial"/>
      <w:szCs w:val="26"/>
      <w:lang w:val="en-GB"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val="0"/>
      <w:bCs w:val="0"/>
      <w:sz w:val="28"/>
      <w:szCs w:val="26"/>
      <w:lang w:val="en-GB" w:eastAsia="sv-SE"/>
    </w:rPr>
  </w:style>
  <w:style w:type="character" w:customStyle="1" w:styleId="Rubrik6Char">
    <w:name w:val="Rubrik 6 Char"/>
    <w:link w:val="Rubrik6"/>
    <w:uiPriority w:val="2"/>
    <w:semiHidden/>
    <w:rsid w:val="00FA4EB3"/>
    <w:rPr>
      <w:rFonts w:eastAsia="Times New Roman"/>
      <w:iCs/>
      <w:sz w:val="24"/>
      <w:szCs w:val="24"/>
    </w:rPr>
  </w:style>
  <w:style w:type="character" w:customStyle="1" w:styleId="Rubrik7Char">
    <w:name w:val="Rubrik 7 Char"/>
    <w:basedOn w:val="Standardstycketeckensnitt"/>
    <w:link w:val="Rubrik7"/>
    <w:uiPriority w:val="9"/>
    <w:semiHidden/>
    <w:rsid w:val="00FA4EB3"/>
    <w:rPr>
      <w:rFonts w:eastAsiaTheme="majorEastAsia"/>
      <w:iCs/>
      <w:sz w:val="24"/>
      <w:szCs w:val="24"/>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sz w:val="24"/>
      <w:szCs w:val="24"/>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lang w:val="sv-SE"/>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39"/>
    <w:rsid w:val="00CD2461"/>
    <w:pPr>
      <w:tabs>
        <w:tab w:val="clear" w:pos="284"/>
      </w:tabs>
      <w:spacing w:before="120"/>
    </w:pPr>
    <w:rPr>
      <w:rFonts w:asciiTheme="minorHAnsi" w:hAnsiTheme="minorHAnsi"/>
      <w:b/>
      <w:bCs/>
      <w:i/>
      <w:iCs/>
      <w:sz w:val="24"/>
      <w:szCs w:val="24"/>
    </w:rPr>
  </w:style>
  <w:style w:type="paragraph" w:styleId="Innehll2">
    <w:name w:val="toc 2"/>
    <w:basedOn w:val="Normal"/>
    <w:next w:val="Normal"/>
    <w:autoRedefine/>
    <w:uiPriority w:val="39"/>
    <w:rsid w:val="00CD2461"/>
    <w:pPr>
      <w:tabs>
        <w:tab w:val="clear" w:pos="284"/>
      </w:tabs>
      <w:spacing w:before="120"/>
      <w:ind w:left="220"/>
    </w:pPr>
    <w:rPr>
      <w:rFonts w:asciiTheme="minorHAnsi" w:hAnsiTheme="minorHAnsi"/>
      <w:b/>
      <w:bCs/>
    </w:rPr>
  </w:style>
  <w:style w:type="paragraph" w:styleId="Innehll3">
    <w:name w:val="toc 3"/>
    <w:basedOn w:val="Normal"/>
    <w:next w:val="Normal"/>
    <w:autoRedefine/>
    <w:uiPriority w:val="39"/>
    <w:rsid w:val="00CD2461"/>
    <w:pPr>
      <w:tabs>
        <w:tab w:val="clear" w:pos="284"/>
      </w:tabs>
      <w:ind w:left="440"/>
    </w:pPr>
    <w:rPr>
      <w:rFonts w:asciiTheme="minorHAnsi" w:hAnsiTheme="minorHAnsi"/>
      <w:sz w:val="20"/>
      <w:szCs w:val="20"/>
    </w:rPr>
  </w:style>
  <w:style w:type="paragraph" w:styleId="Fotnotstext">
    <w:name w:val="footnote text"/>
    <w:basedOn w:val="Normal"/>
    <w:link w:val="FotnotstextChar"/>
    <w:uiPriority w:val="99"/>
    <w:rsid w:val="00ED1157"/>
  </w:style>
  <w:style w:type="character" w:customStyle="1" w:styleId="FotnotstextChar">
    <w:name w:val="Fotnotstext Char"/>
    <w:basedOn w:val="Standardstycketeckensnitt"/>
    <w:link w:val="Fotnotstext"/>
    <w:uiPriority w:val="99"/>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00A6E2"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3"/>
      </w:numPr>
      <w:spacing w:before="240"/>
      <w:outlineLvl w:val="3"/>
    </w:pPr>
    <w:rPr>
      <w:rFonts w:asciiTheme="majorHAnsi" w:eastAsiaTheme="majorEastAsia" w:hAnsiTheme="majorHAnsi" w:cs="Arial"/>
      <w:color w:val="000000"/>
      <w:szCs w:val="26"/>
      <w:lang w:val="en-GB"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val="0"/>
      <w:bCs w:val="0"/>
      <w:color w:val="000000"/>
      <w:sz w:val="28"/>
      <w:szCs w:val="26"/>
      <w:lang w:val="en-GB" w:eastAsia="sv-SE"/>
    </w:rPr>
  </w:style>
  <w:style w:type="paragraph" w:customStyle="1" w:styleId="Heading5No">
    <w:name w:val="Heading_5 No"/>
    <w:basedOn w:val="Normal"/>
    <w:next w:val="Normal"/>
    <w:link w:val="Heading5NoChar"/>
    <w:uiPriority w:val="2"/>
    <w:semiHidden/>
    <w:rsid w:val="00207F54"/>
    <w:pPr>
      <w:keepNext/>
      <w:numPr>
        <w:ilvl w:val="4"/>
        <w:numId w:val="3"/>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cstheme="minorBidi"/>
      <w:b w:val="0"/>
      <w:bCs w:val="0"/>
      <w:color w:val="000000"/>
      <w:sz w:val="28"/>
      <w:szCs w:val="26"/>
      <w:lang w:val="en-GB" w:eastAsia="sv-SE"/>
    </w:rPr>
  </w:style>
  <w:style w:type="paragraph" w:styleId="Innehll4">
    <w:name w:val="toc 4"/>
    <w:basedOn w:val="Normal"/>
    <w:next w:val="Normal"/>
    <w:autoRedefine/>
    <w:uiPriority w:val="39"/>
    <w:rsid w:val="00FA4EB3"/>
    <w:pPr>
      <w:tabs>
        <w:tab w:val="clear" w:pos="284"/>
      </w:tabs>
      <w:ind w:left="660"/>
    </w:pPr>
    <w:rPr>
      <w:rFonts w:asciiTheme="minorHAnsi" w:hAnsiTheme="minorHAnsi"/>
      <w:sz w:val="20"/>
      <w:szCs w:val="20"/>
    </w:rPr>
  </w:style>
  <w:style w:type="paragraph" w:styleId="Innehll5">
    <w:name w:val="toc 5"/>
    <w:basedOn w:val="Normal"/>
    <w:next w:val="Normal"/>
    <w:autoRedefine/>
    <w:uiPriority w:val="39"/>
    <w:rsid w:val="00FA4EB3"/>
    <w:pPr>
      <w:tabs>
        <w:tab w:val="clear" w:pos="284"/>
      </w:tabs>
      <w:ind w:left="880"/>
    </w:pPr>
    <w:rPr>
      <w:rFonts w:asciiTheme="minorHAnsi" w:hAnsiTheme="minorHAnsi"/>
      <w:sz w:val="20"/>
      <w:szCs w:val="20"/>
    </w:rPr>
  </w:style>
  <w:style w:type="table" w:styleId="Rutntstabell7frgstarkdekorfrg6">
    <w:name w:val="Grid Table 7 Colorful Accent 6"/>
    <w:basedOn w:val="Normaltabell"/>
    <w:uiPriority w:val="52"/>
    <w:rsid w:val="006B5584"/>
    <w:rPr>
      <w:color w:val="B46400" w:themeColor="accent6" w:themeShade="BF"/>
    </w:rPr>
    <w:tblPr>
      <w:tblStyleRowBandSize w:val="1"/>
      <w:tblStyleColBandSize w:val="1"/>
      <w:tblBorders>
        <w:top w:val="single" w:sz="4" w:space="0" w:color="FFB75D" w:themeColor="accent6" w:themeTint="99"/>
        <w:left w:val="single" w:sz="4" w:space="0" w:color="FFB75D" w:themeColor="accent6" w:themeTint="99"/>
        <w:bottom w:val="single" w:sz="4" w:space="0" w:color="FFB75D" w:themeColor="accent6" w:themeTint="99"/>
        <w:right w:val="single" w:sz="4" w:space="0" w:color="FFB75D" w:themeColor="accent6" w:themeTint="99"/>
        <w:insideH w:val="single" w:sz="4" w:space="0" w:color="FFB75D" w:themeColor="accent6" w:themeTint="99"/>
        <w:insideV w:val="single" w:sz="4" w:space="0" w:color="FFB7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C9" w:themeFill="accent6" w:themeFillTint="33"/>
      </w:tcPr>
    </w:tblStylePr>
    <w:tblStylePr w:type="band1Horz">
      <w:tblPr/>
      <w:tcPr>
        <w:shd w:val="clear" w:color="auto" w:fill="FFE7C9" w:themeFill="accent6" w:themeFillTint="33"/>
      </w:tcPr>
    </w:tblStylePr>
    <w:tblStylePr w:type="neCell">
      <w:tblPr/>
      <w:tcPr>
        <w:tcBorders>
          <w:bottom w:val="single" w:sz="4" w:space="0" w:color="FFB75D" w:themeColor="accent6" w:themeTint="99"/>
        </w:tcBorders>
      </w:tcPr>
    </w:tblStylePr>
    <w:tblStylePr w:type="nwCell">
      <w:tblPr/>
      <w:tcPr>
        <w:tcBorders>
          <w:bottom w:val="single" w:sz="4" w:space="0" w:color="FFB75D" w:themeColor="accent6" w:themeTint="99"/>
        </w:tcBorders>
      </w:tcPr>
    </w:tblStylePr>
    <w:tblStylePr w:type="seCell">
      <w:tblPr/>
      <w:tcPr>
        <w:tcBorders>
          <w:top w:val="single" w:sz="4" w:space="0" w:color="FFB75D" w:themeColor="accent6" w:themeTint="99"/>
        </w:tcBorders>
      </w:tcPr>
    </w:tblStylePr>
    <w:tblStylePr w:type="swCell">
      <w:tblPr/>
      <w:tcPr>
        <w:tcBorders>
          <w:top w:val="single" w:sz="4" w:space="0" w:color="FFB75D" w:themeColor="accent6" w:themeTint="99"/>
        </w:tcBorders>
      </w:tcPr>
    </w:tblStylePr>
  </w:style>
  <w:style w:type="paragraph" w:styleId="Punktlista">
    <w:name w:val="List Bullet"/>
    <w:basedOn w:val="Normal"/>
    <w:semiHidden/>
    <w:rsid w:val="00FA4EB3"/>
    <w:pPr>
      <w:numPr>
        <w:numId w:val="6"/>
      </w:numPr>
      <w:contextualSpacing/>
    </w:pPr>
  </w:style>
  <w:style w:type="character" w:styleId="Fotnotsreferens">
    <w:name w:val="footnote reference"/>
    <w:basedOn w:val="Standardstycketeckensnitt"/>
    <w:unhideWhenUsed/>
    <w:rsid w:val="00282FF5"/>
    <w:rPr>
      <w:vertAlign w:val="superscript"/>
    </w:rPr>
  </w:style>
  <w:style w:type="paragraph" w:styleId="Normalwebb">
    <w:name w:val="Normal (Web)"/>
    <w:basedOn w:val="Normal"/>
    <w:uiPriority w:val="99"/>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99"/>
    <w:rsid w:val="00DA71FF"/>
    <w:rPr>
      <w:rFonts w:asciiTheme="majorHAnsi" w:hAnsiTheme="majorHAnsi"/>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7"/>
      </w:numPr>
    </w:pPr>
  </w:style>
  <w:style w:type="paragraph" w:customStyle="1" w:styleId="Lista-Nummer">
    <w:name w:val="Lista - Nummer"/>
    <w:basedOn w:val="Liststycke"/>
    <w:uiPriority w:val="3"/>
    <w:qFormat/>
    <w:rsid w:val="00961959"/>
    <w:pPr>
      <w:numPr>
        <w:numId w:val="8"/>
      </w:numPr>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uiPriority w:val="99"/>
    <w:unhideWhenUsed/>
    <w:rsid w:val="00187E2B"/>
    <w:rPr>
      <w:rFonts w:ascii="Segoe UI" w:hAnsi="Segoe UI" w:cs="Segoe UI"/>
      <w:sz w:val="18"/>
      <w:szCs w:val="18"/>
    </w:rPr>
  </w:style>
  <w:style w:type="character" w:customStyle="1" w:styleId="BallongtextChar">
    <w:name w:val="Ballongtext Char"/>
    <w:basedOn w:val="Standardstycketeckensnitt"/>
    <w:link w:val="Ballongtext"/>
    <w:uiPriority w:val="99"/>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semiHidden/>
    <w:qFormat/>
    <w:rsid w:val="000F7312"/>
    <w:pPr>
      <w:spacing w:before="120" w:after="240" w:line="240" w:lineRule="auto"/>
    </w:pPr>
    <w:rPr>
      <w:iCs/>
      <w:szCs w:val="18"/>
    </w:rPr>
  </w:style>
  <w:style w:type="table" w:customStyle="1" w:styleId="RegionBlekinge-utanlinjer">
    <w:name w:val="Region Blekinge - utan linjer"/>
    <w:basedOn w:val="Normaltabell"/>
    <w:uiPriority w:val="99"/>
    <w:rsid w:val="007A2080"/>
    <w:pPr>
      <w:spacing w:after="0" w:line="240" w:lineRule="auto"/>
    </w:pPr>
    <w:tblPr>
      <w:tblCellMar>
        <w:top w:w="57" w:type="dxa"/>
        <w:left w:w="0" w:type="dxa"/>
        <w:bottom w:w="57" w:type="dxa"/>
        <w:right w:w="0" w:type="dxa"/>
      </w:tblCellMar>
    </w:tblPr>
    <w:tblStylePr w:type="firstRow">
      <w:rPr>
        <w:rFonts w:asciiTheme="minorHAnsi" w:hAnsiTheme="minorHAnsi"/>
        <w:b/>
      </w:rPr>
      <w:tblPr>
        <w:tblCellMar>
          <w:top w:w="57" w:type="dxa"/>
          <w:left w:w="0" w:type="dxa"/>
          <w:bottom w:w="57" w:type="dxa"/>
          <w:right w:w="0" w:type="dxa"/>
        </w:tblCellMar>
      </w:tblPr>
    </w:tblStylePr>
  </w:style>
  <w:style w:type="table" w:customStyle="1" w:styleId="RegionBlekinge-medlinjer">
    <w:name w:val="Region Blekinge - med linjer"/>
    <w:basedOn w:val="Normaltabell"/>
    <w:uiPriority w:val="99"/>
    <w:rsid w:val="00EB60D0"/>
    <w:pPr>
      <w:spacing w:after="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 w:type="table" w:customStyle="1" w:styleId="RegionBlekinge-tabellmedrubrikrad">
    <w:name w:val="Region Blekinge - tabell med rubrikrad"/>
    <w:basedOn w:val="Normaltabell"/>
    <w:uiPriority w:val="99"/>
    <w:rsid w:val="00F75B1A"/>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inorHAnsi" w:hAnsiTheme="minorHAnsi"/>
        <w:b/>
        <w:color w:val="FFFFFF" w:themeColor="background1"/>
        <w:sz w:val="22"/>
      </w:rPr>
      <w:tblPr/>
      <w:tcPr>
        <w:shd w:val="clear" w:color="auto" w:fill="00A6E2" w:themeFill="accent1"/>
      </w:tcPr>
    </w:tblStylePr>
  </w:style>
  <w:style w:type="paragraph" w:customStyle="1" w:styleId="Etikett">
    <w:name w:val="Etikett"/>
    <w:basedOn w:val="Normal"/>
    <w:uiPriority w:val="11"/>
    <w:semiHidden/>
    <w:qFormat/>
    <w:rsid w:val="00BF44B1"/>
    <w:pPr>
      <w:spacing w:line="240" w:lineRule="auto"/>
    </w:pPr>
    <w:rPr>
      <w:rFonts w:asciiTheme="majorHAnsi" w:eastAsia="Times New Roman" w:hAnsiTheme="majorHAnsi"/>
      <w:sz w:val="14"/>
      <w:szCs w:val="16"/>
    </w:rPr>
  </w:style>
  <w:style w:type="paragraph" w:styleId="Underrubrik">
    <w:name w:val="Subtitle"/>
    <w:basedOn w:val="Normal"/>
    <w:next w:val="Normal"/>
    <w:link w:val="UnderrubrikChar"/>
    <w:uiPriority w:val="11"/>
    <w:rsid w:val="00AF634E"/>
    <w:pPr>
      <w:numPr>
        <w:ilvl w:val="1"/>
      </w:numPr>
      <w:spacing w:line="320" w:lineRule="exact"/>
    </w:pPr>
    <w:rPr>
      <w:rFonts w:eastAsiaTheme="minorEastAsia"/>
      <w:color w:val="000000" w:themeColor="text1"/>
      <w:sz w:val="24"/>
    </w:rPr>
  </w:style>
  <w:style w:type="character" w:customStyle="1" w:styleId="UnderrubrikChar">
    <w:name w:val="Underrubrik Char"/>
    <w:basedOn w:val="Standardstycketeckensnitt"/>
    <w:link w:val="Underrubrik"/>
    <w:uiPriority w:val="11"/>
    <w:rsid w:val="00AF634E"/>
    <w:rPr>
      <w:rFonts w:ascii="Garamond" w:eastAsiaTheme="minorEastAsia" w:hAnsi="Garamond" w:cstheme="minorBidi"/>
      <w:color w:val="000000" w:themeColor="text1"/>
      <w:sz w:val="24"/>
      <w:lang w:val="sv-SE"/>
    </w:rPr>
  </w:style>
  <w:style w:type="table" w:styleId="Professionelltabell">
    <w:name w:val="Table Professional"/>
    <w:basedOn w:val="Normaltabell"/>
    <w:rsid w:val="00AF634E"/>
    <w:pPr>
      <w:spacing w:after="0" w:line="240" w:lineRule="auto"/>
    </w:pPr>
    <w:rPr>
      <w:rFonts w:ascii="Times New Roman" w:eastAsia="Times New Roman" w:hAnsi="Times New Roman"/>
      <w:sz w:val="20"/>
      <w:szCs w:val="20"/>
      <w:lang w:val="sv-SE" w:eastAsia="sv-S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ildtext">
    <w:name w:val="Bildtext"/>
    <w:basedOn w:val="Normal"/>
    <w:link w:val="BildtextChar"/>
    <w:qFormat/>
    <w:rsid w:val="00AF634E"/>
    <w:pPr>
      <w:spacing w:before="120" w:line="240" w:lineRule="auto"/>
    </w:pPr>
    <w:rPr>
      <w:rFonts w:eastAsia="Times New Roman" w:cs="Times New Roman"/>
      <w:szCs w:val="20"/>
      <w:lang w:eastAsia="sv-SE"/>
    </w:rPr>
  </w:style>
  <w:style w:type="character" w:customStyle="1" w:styleId="BildtextChar">
    <w:name w:val="Bildtext Char"/>
    <w:basedOn w:val="Standardstycketeckensnitt"/>
    <w:link w:val="Bildtext"/>
    <w:rsid w:val="00AF634E"/>
    <w:rPr>
      <w:rFonts w:ascii="Garamond" w:eastAsia="Times New Roman" w:hAnsi="Garamond"/>
      <w:szCs w:val="20"/>
      <w:lang w:val="sv-SE" w:eastAsia="sv-SE"/>
    </w:rPr>
  </w:style>
  <w:style w:type="paragraph" w:customStyle="1" w:styleId="Tabelltext">
    <w:name w:val="Tabelltext"/>
    <w:basedOn w:val="Normal"/>
    <w:link w:val="TabelltextChar"/>
    <w:qFormat/>
    <w:rsid w:val="00AF634E"/>
    <w:pPr>
      <w:spacing w:before="20" w:after="20" w:line="240" w:lineRule="auto"/>
    </w:pPr>
    <w:rPr>
      <w:rFonts w:ascii="Corbel" w:eastAsia="Times New Roman" w:hAnsi="Corbel" w:cs="Arial"/>
      <w:szCs w:val="20"/>
      <w:lang w:eastAsia="sv-SE"/>
    </w:rPr>
  </w:style>
  <w:style w:type="character" w:customStyle="1" w:styleId="TabelltextChar">
    <w:name w:val="Tabelltext Char"/>
    <w:basedOn w:val="Standardstycketeckensnitt"/>
    <w:link w:val="Tabelltext"/>
    <w:rsid w:val="00AF634E"/>
    <w:rPr>
      <w:rFonts w:ascii="Corbel" w:eastAsia="Times New Roman" w:hAnsi="Corbel" w:cs="Arial"/>
      <w:szCs w:val="20"/>
      <w:lang w:val="sv-SE" w:eastAsia="sv-SE"/>
    </w:rPr>
  </w:style>
  <w:style w:type="paragraph" w:styleId="Ingetavstnd">
    <w:name w:val="No Spacing"/>
    <w:uiPriority w:val="1"/>
    <w:qFormat/>
    <w:rsid w:val="00AF634E"/>
    <w:pPr>
      <w:tabs>
        <w:tab w:val="left" w:pos="284"/>
      </w:tabs>
      <w:spacing w:after="0" w:line="240" w:lineRule="auto"/>
    </w:pPr>
    <w:rPr>
      <w:rFonts w:ascii="Garamond" w:hAnsi="Garamond" w:cstheme="minorBidi"/>
      <w:sz w:val="18"/>
    </w:rPr>
  </w:style>
  <w:style w:type="paragraph" w:customStyle="1" w:styleId="Dokumenttext">
    <w:name w:val="Dokumenttext"/>
    <w:basedOn w:val="Normal"/>
    <w:rsid w:val="00AF634E"/>
  </w:style>
  <w:style w:type="paragraph" w:customStyle="1" w:styleId="tblbeskrivning">
    <w:name w:val="tbl_beskrivning"/>
    <w:basedOn w:val="Normal"/>
    <w:link w:val="tblbeskrivningChar"/>
    <w:rsid w:val="00AF634E"/>
    <w:pPr>
      <w:framePr w:hSpace="141" w:wrap="around" w:vAnchor="page" w:hAnchor="margin" w:y="2806"/>
    </w:pPr>
    <w:rPr>
      <w:rFonts w:ascii="Corbel" w:hAnsi="Corbel" w:cs="Arial"/>
      <w:sz w:val="16"/>
      <w:szCs w:val="16"/>
    </w:rPr>
  </w:style>
  <w:style w:type="paragraph" w:customStyle="1" w:styleId="tbltext">
    <w:name w:val="tbl_text"/>
    <w:basedOn w:val="Normal"/>
    <w:link w:val="tbltextChar"/>
    <w:rsid w:val="00AF634E"/>
    <w:pPr>
      <w:framePr w:hSpace="141" w:wrap="around" w:vAnchor="page" w:hAnchor="margin" w:y="2806"/>
    </w:pPr>
    <w:rPr>
      <w:rFonts w:ascii="Corbel" w:hAnsi="Corbel"/>
      <w:sz w:val="20"/>
    </w:rPr>
  </w:style>
  <w:style w:type="character" w:customStyle="1" w:styleId="tblbeskrivningChar">
    <w:name w:val="tbl_beskrivning Char"/>
    <w:basedOn w:val="Standardstycketeckensnitt"/>
    <w:link w:val="tblbeskrivning"/>
    <w:rsid w:val="00AF634E"/>
    <w:rPr>
      <w:rFonts w:ascii="Corbel" w:hAnsi="Corbel" w:cs="Arial"/>
      <w:sz w:val="16"/>
      <w:szCs w:val="16"/>
      <w:lang w:val="sv-SE"/>
    </w:rPr>
  </w:style>
  <w:style w:type="paragraph" w:customStyle="1" w:styleId="tblrubrik">
    <w:name w:val="tbl_rubrik"/>
    <w:basedOn w:val="Normal"/>
    <w:link w:val="tblrubrikChar"/>
    <w:rsid w:val="00AF634E"/>
    <w:pPr>
      <w:framePr w:hSpace="141" w:wrap="around" w:vAnchor="page" w:hAnchor="margin" w:y="2806"/>
    </w:pPr>
    <w:rPr>
      <w:rFonts w:ascii="Corbel" w:hAnsi="Corbel"/>
      <w:b/>
      <w:sz w:val="28"/>
      <w:szCs w:val="28"/>
    </w:rPr>
  </w:style>
  <w:style w:type="character" w:customStyle="1" w:styleId="tbltextChar">
    <w:name w:val="tbl_text Char"/>
    <w:basedOn w:val="Standardstycketeckensnitt"/>
    <w:link w:val="tbltext"/>
    <w:rsid w:val="00AF634E"/>
    <w:rPr>
      <w:rFonts w:ascii="Corbel" w:hAnsi="Corbel" w:cstheme="minorBidi"/>
      <w:sz w:val="20"/>
      <w:lang w:val="sv-SE"/>
    </w:rPr>
  </w:style>
  <w:style w:type="character" w:customStyle="1" w:styleId="tblrubrikChar">
    <w:name w:val="tbl_rubrik Char"/>
    <w:basedOn w:val="Standardstycketeckensnitt"/>
    <w:link w:val="tblrubrik"/>
    <w:rsid w:val="00AF634E"/>
    <w:rPr>
      <w:rFonts w:ascii="Corbel" w:hAnsi="Corbel" w:cstheme="minorBidi"/>
      <w:b/>
      <w:sz w:val="28"/>
      <w:szCs w:val="28"/>
      <w:lang w:val="sv-SE"/>
    </w:rPr>
  </w:style>
  <w:style w:type="character" w:styleId="Betoning">
    <w:name w:val="Emphasis"/>
    <w:basedOn w:val="Standardstycketeckensnitt"/>
    <w:uiPriority w:val="20"/>
    <w:qFormat/>
    <w:rsid w:val="00AF634E"/>
    <w:rPr>
      <w:i/>
      <w:iCs/>
    </w:rPr>
  </w:style>
  <w:style w:type="character" w:styleId="Kommentarsreferens">
    <w:name w:val="annotation reference"/>
    <w:basedOn w:val="Standardstycketeckensnitt"/>
    <w:uiPriority w:val="44"/>
    <w:rsid w:val="00AF634E"/>
    <w:rPr>
      <w:sz w:val="16"/>
      <w:szCs w:val="16"/>
    </w:rPr>
  </w:style>
  <w:style w:type="paragraph" w:styleId="Kommentarer">
    <w:name w:val="annotation text"/>
    <w:basedOn w:val="Normal"/>
    <w:link w:val="KommentarerChar"/>
    <w:uiPriority w:val="44"/>
    <w:rsid w:val="00AF634E"/>
    <w:pPr>
      <w:tabs>
        <w:tab w:val="clear" w:pos="284"/>
      </w:tabs>
      <w:spacing w:line="240" w:lineRule="auto"/>
    </w:pPr>
    <w:rPr>
      <w:rFonts w:eastAsia="Times New Roman" w:cs="Times New Roman"/>
      <w:sz w:val="20"/>
      <w:szCs w:val="20"/>
      <w:lang w:eastAsia="sv-SE"/>
    </w:rPr>
  </w:style>
  <w:style w:type="character" w:customStyle="1" w:styleId="KommentarerChar">
    <w:name w:val="Kommentarer Char"/>
    <w:basedOn w:val="Standardstycketeckensnitt"/>
    <w:link w:val="Kommentarer"/>
    <w:uiPriority w:val="44"/>
    <w:rsid w:val="00AF634E"/>
    <w:rPr>
      <w:rFonts w:ascii="Garamond" w:eastAsia="Times New Roman" w:hAnsi="Garamond"/>
      <w:sz w:val="20"/>
      <w:szCs w:val="20"/>
      <w:lang w:val="sv-SE" w:eastAsia="sv-SE"/>
    </w:rPr>
  </w:style>
  <w:style w:type="paragraph" w:styleId="Kommentarsmne">
    <w:name w:val="annotation subject"/>
    <w:basedOn w:val="Kommentarer"/>
    <w:next w:val="Kommentarer"/>
    <w:link w:val="KommentarsmneChar"/>
    <w:rsid w:val="00AF634E"/>
    <w:rPr>
      <w:b/>
      <w:bCs/>
    </w:rPr>
  </w:style>
  <w:style w:type="character" w:customStyle="1" w:styleId="KommentarsmneChar">
    <w:name w:val="Kommentarsämne Char"/>
    <w:basedOn w:val="KommentarerChar"/>
    <w:link w:val="Kommentarsmne"/>
    <w:rsid w:val="00AF634E"/>
    <w:rPr>
      <w:rFonts w:ascii="Garamond" w:eastAsia="Times New Roman" w:hAnsi="Garamond"/>
      <w:b/>
      <w:bCs/>
      <w:sz w:val="20"/>
      <w:szCs w:val="20"/>
      <w:lang w:val="sv-SE" w:eastAsia="sv-SE"/>
    </w:rPr>
  </w:style>
  <w:style w:type="table" w:styleId="Moderntabell">
    <w:name w:val="Table Contemporary"/>
    <w:basedOn w:val="Normaltabell"/>
    <w:rsid w:val="00AF634E"/>
    <w:pPr>
      <w:spacing w:after="0" w:line="240" w:lineRule="auto"/>
    </w:pPr>
    <w:rPr>
      <w:rFonts w:ascii="Times New Roman" w:eastAsia="Times New Roman" w:hAnsi="Times New Roman"/>
      <w:sz w:val="20"/>
      <w:szCs w:val="20"/>
      <w:lang w:val="sv-SE" w:eastAsia="sv-S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Rubrik">
    <w:name w:val="Title"/>
    <w:aliases w:val="Rubrik försättsblad"/>
    <w:basedOn w:val="Normal"/>
    <w:next w:val="Normal"/>
    <w:link w:val="RubrikChar"/>
    <w:qFormat/>
    <w:rsid w:val="00AF634E"/>
    <w:pPr>
      <w:tabs>
        <w:tab w:val="clear" w:pos="284"/>
      </w:tabs>
      <w:spacing w:after="300" w:line="240" w:lineRule="auto"/>
      <w:contextualSpacing/>
      <w:jc w:val="right"/>
    </w:pPr>
    <w:rPr>
      <w:rFonts w:ascii="Arial" w:eastAsiaTheme="majorEastAsia" w:hAnsi="Arial" w:cstheme="majorBidi"/>
      <w:spacing w:val="5"/>
      <w:kern w:val="28"/>
      <w:sz w:val="52"/>
      <w:szCs w:val="52"/>
      <w:lang w:eastAsia="sv-SE"/>
    </w:rPr>
  </w:style>
  <w:style w:type="character" w:customStyle="1" w:styleId="RubrikChar">
    <w:name w:val="Rubrik Char"/>
    <w:aliases w:val="Rubrik försättsblad Char"/>
    <w:basedOn w:val="Standardstycketeckensnitt"/>
    <w:link w:val="Rubrik"/>
    <w:rsid w:val="00AF634E"/>
    <w:rPr>
      <w:rFonts w:ascii="Arial" w:eastAsiaTheme="majorEastAsia" w:hAnsi="Arial" w:cstheme="majorBidi"/>
      <w:spacing w:val="5"/>
      <w:kern w:val="28"/>
      <w:sz w:val="52"/>
      <w:szCs w:val="52"/>
      <w:lang w:val="sv-SE" w:eastAsia="sv-SE"/>
    </w:rPr>
  </w:style>
  <w:style w:type="paragraph" w:styleId="Innehll6">
    <w:name w:val="toc 6"/>
    <w:basedOn w:val="Normal"/>
    <w:next w:val="Normal"/>
    <w:autoRedefine/>
    <w:uiPriority w:val="39"/>
    <w:unhideWhenUsed/>
    <w:rsid w:val="00AF634E"/>
    <w:pPr>
      <w:tabs>
        <w:tab w:val="clear" w:pos="284"/>
      </w:tabs>
      <w:ind w:left="1100"/>
    </w:pPr>
    <w:rPr>
      <w:rFonts w:asciiTheme="minorHAnsi" w:hAnsiTheme="minorHAnsi"/>
      <w:sz w:val="20"/>
      <w:szCs w:val="20"/>
    </w:rPr>
  </w:style>
  <w:style w:type="paragraph" w:styleId="Innehll7">
    <w:name w:val="toc 7"/>
    <w:basedOn w:val="Normal"/>
    <w:next w:val="Normal"/>
    <w:autoRedefine/>
    <w:uiPriority w:val="39"/>
    <w:unhideWhenUsed/>
    <w:rsid w:val="00AF634E"/>
    <w:pPr>
      <w:tabs>
        <w:tab w:val="clear" w:pos="284"/>
      </w:tabs>
      <w:ind w:left="1320"/>
    </w:pPr>
    <w:rPr>
      <w:rFonts w:asciiTheme="minorHAnsi" w:hAnsiTheme="minorHAnsi"/>
      <w:sz w:val="20"/>
      <w:szCs w:val="20"/>
    </w:rPr>
  </w:style>
  <w:style w:type="paragraph" w:styleId="Innehll8">
    <w:name w:val="toc 8"/>
    <w:basedOn w:val="Normal"/>
    <w:next w:val="Normal"/>
    <w:autoRedefine/>
    <w:uiPriority w:val="39"/>
    <w:unhideWhenUsed/>
    <w:rsid w:val="00AF634E"/>
    <w:pPr>
      <w:tabs>
        <w:tab w:val="clear" w:pos="284"/>
      </w:tabs>
      <w:ind w:left="1540"/>
    </w:pPr>
    <w:rPr>
      <w:rFonts w:asciiTheme="minorHAnsi" w:hAnsiTheme="minorHAnsi"/>
      <w:sz w:val="20"/>
      <w:szCs w:val="20"/>
    </w:rPr>
  </w:style>
  <w:style w:type="paragraph" w:styleId="Innehll9">
    <w:name w:val="toc 9"/>
    <w:basedOn w:val="Normal"/>
    <w:next w:val="Normal"/>
    <w:autoRedefine/>
    <w:uiPriority w:val="39"/>
    <w:unhideWhenUsed/>
    <w:rsid w:val="00AF634E"/>
    <w:pPr>
      <w:tabs>
        <w:tab w:val="clear" w:pos="284"/>
      </w:tabs>
      <w:ind w:left="1760"/>
    </w:pPr>
    <w:rPr>
      <w:rFonts w:asciiTheme="minorHAnsi" w:hAnsiTheme="minorHAnsi"/>
      <w:sz w:val="20"/>
      <w:szCs w:val="20"/>
    </w:rPr>
  </w:style>
  <w:style w:type="table" w:customStyle="1" w:styleId="Mellanmrkskuggning1-dekorfrg11">
    <w:name w:val="Mellanmörk skuggning 1 - dekorfärg 11"/>
    <w:basedOn w:val="Normaltabell"/>
    <w:next w:val="Mellanmrkskuggning1-dekorfrg1"/>
    <w:uiPriority w:val="63"/>
    <w:rsid w:val="00AF634E"/>
    <w:pPr>
      <w:spacing w:after="0" w:line="240" w:lineRule="auto"/>
    </w:pPr>
    <w:rPr>
      <w:rFonts w:ascii="Times New Roman" w:eastAsia="Times New Roman" w:hAnsi="Times New Roman"/>
      <w:sz w:val="20"/>
      <w:szCs w:val="20"/>
      <w:lang w:val="sv-SE" w:eastAsia="sv-SE"/>
    </w:rPr>
    <w:tblPr>
      <w:tblStyleRowBandSize w:val="1"/>
      <w:tblStyleColBandSize w:val="1"/>
      <w:tblBorders>
        <w:top w:val="single" w:sz="8" w:space="0" w:color="2AC6FF" w:themeColor="accent1" w:themeTint="BF"/>
        <w:left w:val="single" w:sz="8" w:space="0" w:color="2AC6FF" w:themeColor="accent1" w:themeTint="BF"/>
        <w:bottom w:val="single" w:sz="8" w:space="0" w:color="2AC6FF" w:themeColor="accent1" w:themeTint="BF"/>
        <w:right w:val="single" w:sz="8" w:space="0" w:color="2AC6FF" w:themeColor="accent1" w:themeTint="BF"/>
        <w:insideH w:val="single" w:sz="8" w:space="0" w:color="2AC6FF" w:themeColor="accent1" w:themeTint="BF"/>
      </w:tblBorders>
    </w:tblPr>
    <w:tblStylePr w:type="firstRow">
      <w:pPr>
        <w:spacing w:before="0" w:after="0" w:line="240" w:lineRule="auto"/>
      </w:pPr>
      <w:rPr>
        <w:b/>
        <w:bCs/>
        <w:color w:val="FFFFFF" w:themeColor="background1"/>
      </w:rPr>
      <w:tblPr/>
      <w:tcPr>
        <w:tcBorders>
          <w:top w:val="single" w:sz="8" w:space="0" w:color="2AC6FF" w:themeColor="accent1" w:themeTint="BF"/>
          <w:left w:val="single" w:sz="8" w:space="0" w:color="2AC6FF" w:themeColor="accent1" w:themeTint="BF"/>
          <w:bottom w:val="single" w:sz="8" w:space="0" w:color="2AC6FF" w:themeColor="accent1" w:themeTint="BF"/>
          <w:right w:val="single" w:sz="8" w:space="0" w:color="2AC6FF" w:themeColor="accent1" w:themeTint="BF"/>
          <w:insideH w:val="nil"/>
          <w:insideV w:val="nil"/>
        </w:tcBorders>
        <w:shd w:val="clear" w:color="auto" w:fill="00A6E2" w:themeFill="accent1"/>
      </w:tcPr>
    </w:tblStylePr>
    <w:tblStylePr w:type="lastRow">
      <w:pPr>
        <w:spacing w:before="0" w:after="0" w:line="240" w:lineRule="auto"/>
      </w:pPr>
      <w:rPr>
        <w:b/>
        <w:bCs/>
      </w:rPr>
      <w:tblPr/>
      <w:tcPr>
        <w:tcBorders>
          <w:top w:val="double" w:sz="6" w:space="0" w:color="2AC6FF" w:themeColor="accent1" w:themeTint="BF"/>
          <w:left w:val="single" w:sz="8" w:space="0" w:color="2AC6FF" w:themeColor="accent1" w:themeTint="BF"/>
          <w:bottom w:val="single" w:sz="8" w:space="0" w:color="2AC6FF" w:themeColor="accent1" w:themeTint="BF"/>
          <w:right w:val="single" w:sz="8" w:space="0" w:color="2AC6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ECFF" w:themeFill="accent1" w:themeFillTint="3F"/>
      </w:tcPr>
    </w:tblStylePr>
    <w:tblStylePr w:type="band1Horz">
      <w:tblPr/>
      <w:tcPr>
        <w:tcBorders>
          <w:insideH w:val="nil"/>
          <w:insideV w:val="nil"/>
        </w:tcBorders>
        <w:shd w:val="clear" w:color="auto" w:fill="B8ECFF" w:themeFill="accen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AF634E"/>
    <w:pPr>
      <w:spacing w:after="0" w:line="240" w:lineRule="auto"/>
    </w:pPr>
    <w:rPr>
      <w:rFonts w:ascii="Times New Roman" w:eastAsia="Times New Roman" w:hAnsi="Times New Roman"/>
      <w:sz w:val="20"/>
      <w:szCs w:val="20"/>
      <w:lang w:val="sv-SE" w:eastAsia="sv-SE"/>
    </w:rPr>
    <w:tblPr>
      <w:tblStyleRowBandSize w:val="1"/>
      <w:tblStyleColBandSize w:val="1"/>
      <w:tblBorders>
        <w:top w:val="single" w:sz="8" w:space="0" w:color="2AC6FF" w:themeColor="accent1" w:themeTint="BF"/>
        <w:left w:val="single" w:sz="8" w:space="0" w:color="2AC6FF" w:themeColor="accent1" w:themeTint="BF"/>
        <w:bottom w:val="single" w:sz="8" w:space="0" w:color="2AC6FF" w:themeColor="accent1" w:themeTint="BF"/>
        <w:right w:val="single" w:sz="8" w:space="0" w:color="2AC6FF" w:themeColor="accent1" w:themeTint="BF"/>
        <w:insideH w:val="single" w:sz="8" w:space="0" w:color="2AC6FF" w:themeColor="accent1" w:themeTint="BF"/>
      </w:tblBorders>
    </w:tblPr>
    <w:tblStylePr w:type="firstRow">
      <w:pPr>
        <w:spacing w:before="0" w:after="0" w:line="240" w:lineRule="auto"/>
      </w:pPr>
      <w:rPr>
        <w:b/>
        <w:bCs/>
        <w:color w:val="FFFFFF" w:themeColor="background1"/>
      </w:rPr>
      <w:tblPr/>
      <w:tcPr>
        <w:tcBorders>
          <w:top w:val="single" w:sz="8" w:space="0" w:color="2AC6FF" w:themeColor="accent1" w:themeTint="BF"/>
          <w:left w:val="single" w:sz="8" w:space="0" w:color="2AC6FF" w:themeColor="accent1" w:themeTint="BF"/>
          <w:bottom w:val="single" w:sz="8" w:space="0" w:color="2AC6FF" w:themeColor="accent1" w:themeTint="BF"/>
          <w:right w:val="single" w:sz="8" w:space="0" w:color="2AC6FF" w:themeColor="accent1" w:themeTint="BF"/>
          <w:insideH w:val="nil"/>
          <w:insideV w:val="nil"/>
        </w:tcBorders>
        <w:shd w:val="clear" w:color="auto" w:fill="00A6E2" w:themeFill="accent1"/>
      </w:tcPr>
    </w:tblStylePr>
    <w:tblStylePr w:type="lastRow">
      <w:pPr>
        <w:spacing w:before="0" w:after="0" w:line="240" w:lineRule="auto"/>
      </w:pPr>
      <w:rPr>
        <w:b/>
        <w:bCs/>
      </w:rPr>
      <w:tblPr/>
      <w:tcPr>
        <w:tcBorders>
          <w:top w:val="double" w:sz="6" w:space="0" w:color="2AC6FF" w:themeColor="accent1" w:themeTint="BF"/>
          <w:left w:val="single" w:sz="8" w:space="0" w:color="2AC6FF" w:themeColor="accent1" w:themeTint="BF"/>
          <w:bottom w:val="single" w:sz="8" w:space="0" w:color="2AC6FF" w:themeColor="accent1" w:themeTint="BF"/>
          <w:right w:val="single" w:sz="8" w:space="0" w:color="2AC6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ECFF" w:themeFill="accent1" w:themeFillTint="3F"/>
      </w:tcPr>
    </w:tblStylePr>
    <w:tblStylePr w:type="band1Horz">
      <w:tblPr/>
      <w:tcPr>
        <w:tcBorders>
          <w:insideH w:val="nil"/>
          <w:insideV w:val="nil"/>
        </w:tcBorders>
        <w:shd w:val="clear" w:color="auto" w:fill="B8ECFF" w:themeFill="accent1" w:themeFillTint="3F"/>
      </w:tcPr>
    </w:tblStylePr>
    <w:tblStylePr w:type="band2Horz">
      <w:tblPr/>
      <w:tcPr>
        <w:tcBorders>
          <w:insideH w:val="nil"/>
          <w:insideV w:val="nil"/>
        </w:tcBorders>
      </w:tcPr>
    </w:tblStylePr>
  </w:style>
  <w:style w:type="paragraph" w:customStyle="1" w:styleId="Ingress">
    <w:name w:val="Ingress"/>
    <w:basedOn w:val="Normal"/>
    <w:link w:val="IngressChar"/>
    <w:qFormat/>
    <w:rsid w:val="00AF634E"/>
    <w:pPr>
      <w:tabs>
        <w:tab w:val="clear" w:pos="284"/>
      </w:tabs>
      <w:spacing w:line="360" w:lineRule="exact"/>
    </w:pPr>
    <w:rPr>
      <w:rFonts w:ascii="Arial" w:eastAsia="Times New Roman" w:hAnsi="Arial" w:cs="Arial"/>
      <w:sz w:val="24"/>
      <w:szCs w:val="20"/>
      <w:lang w:eastAsia="sv-SE"/>
    </w:rPr>
  </w:style>
  <w:style w:type="character" w:customStyle="1" w:styleId="IngressChar">
    <w:name w:val="Ingress Char"/>
    <w:basedOn w:val="Standardstycketeckensnitt"/>
    <w:link w:val="Ingress"/>
    <w:rsid w:val="00AF634E"/>
    <w:rPr>
      <w:rFonts w:ascii="Arial" w:eastAsia="Times New Roman" w:hAnsi="Arial" w:cs="Arial"/>
      <w:sz w:val="24"/>
      <w:szCs w:val="20"/>
      <w:lang w:val="sv-SE" w:eastAsia="sv-SE"/>
    </w:rPr>
  </w:style>
  <w:style w:type="table" w:styleId="Ljustrutnt-dekorfrg1">
    <w:name w:val="Light Grid Accent 1"/>
    <w:basedOn w:val="Normaltabell"/>
    <w:uiPriority w:val="62"/>
    <w:rsid w:val="00AF634E"/>
    <w:pPr>
      <w:spacing w:after="0" w:line="240" w:lineRule="auto"/>
    </w:pPr>
    <w:rPr>
      <w:rFonts w:ascii="Times New Roman" w:eastAsia="Times New Roman" w:hAnsi="Times New Roman"/>
      <w:sz w:val="20"/>
      <w:szCs w:val="20"/>
      <w:lang w:val="sv-SE" w:eastAsia="sv-SE"/>
    </w:rPr>
    <w:tblPr>
      <w:tblStyleRowBandSize w:val="1"/>
      <w:tblStyleColBandSize w:val="1"/>
      <w:tblBorders>
        <w:top w:val="single" w:sz="8" w:space="0" w:color="00A6E2" w:themeColor="accent1"/>
        <w:left w:val="single" w:sz="8" w:space="0" w:color="00A6E2" w:themeColor="accent1"/>
        <w:bottom w:val="single" w:sz="8" w:space="0" w:color="00A6E2" w:themeColor="accent1"/>
        <w:right w:val="single" w:sz="8" w:space="0" w:color="00A6E2" w:themeColor="accent1"/>
        <w:insideH w:val="single" w:sz="8" w:space="0" w:color="00A6E2" w:themeColor="accent1"/>
        <w:insideV w:val="single" w:sz="8" w:space="0" w:color="00A6E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6E2" w:themeColor="accent1"/>
          <w:left w:val="single" w:sz="8" w:space="0" w:color="00A6E2" w:themeColor="accent1"/>
          <w:bottom w:val="single" w:sz="18" w:space="0" w:color="00A6E2" w:themeColor="accent1"/>
          <w:right w:val="single" w:sz="8" w:space="0" w:color="00A6E2" w:themeColor="accent1"/>
          <w:insideH w:val="nil"/>
          <w:insideV w:val="single" w:sz="8" w:space="0" w:color="00A6E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6E2" w:themeColor="accent1"/>
          <w:left w:val="single" w:sz="8" w:space="0" w:color="00A6E2" w:themeColor="accent1"/>
          <w:bottom w:val="single" w:sz="8" w:space="0" w:color="00A6E2" w:themeColor="accent1"/>
          <w:right w:val="single" w:sz="8" w:space="0" w:color="00A6E2" w:themeColor="accent1"/>
          <w:insideH w:val="nil"/>
          <w:insideV w:val="single" w:sz="8" w:space="0" w:color="00A6E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6E2" w:themeColor="accent1"/>
          <w:left w:val="single" w:sz="8" w:space="0" w:color="00A6E2" w:themeColor="accent1"/>
          <w:bottom w:val="single" w:sz="8" w:space="0" w:color="00A6E2" w:themeColor="accent1"/>
          <w:right w:val="single" w:sz="8" w:space="0" w:color="00A6E2" w:themeColor="accent1"/>
        </w:tcBorders>
      </w:tcPr>
    </w:tblStylePr>
    <w:tblStylePr w:type="band1Vert">
      <w:tblPr/>
      <w:tcPr>
        <w:tcBorders>
          <w:top w:val="single" w:sz="8" w:space="0" w:color="00A6E2" w:themeColor="accent1"/>
          <w:left w:val="single" w:sz="8" w:space="0" w:color="00A6E2" w:themeColor="accent1"/>
          <w:bottom w:val="single" w:sz="8" w:space="0" w:color="00A6E2" w:themeColor="accent1"/>
          <w:right w:val="single" w:sz="8" w:space="0" w:color="00A6E2" w:themeColor="accent1"/>
        </w:tcBorders>
        <w:shd w:val="clear" w:color="auto" w:fill="B8ECFF" w:themeFill="accent1" w:themeFillTint="3F"/>
      </w:tcPr>
    </w:tblStylePr>
    <w:tblStylePr w:type="band1Horz">
      <w:tblPr/>
      <w:tcPr>
        <w:tcBorders>
          <w:top w:val="single" w:sz="8" w:space="0" w:color="00A6E2" w:themeColor="accent1"/>
          <w:left w:val="single" w:sz="8" w:space="0" w:color="00A6E2" w:themeColor="accent1"/>
          <w:bottom w:val="single" w:sz="8" w:space="0" w:color="00A6E2" w:themeColor="accent1"/>
          <w:right w:val="single" w:sz="8" w:space="0" w:color="00A6E2" w:themeColor="accent1"/>
          <w:insideV w:val="single" w:sz="8" w:space="0" w:color="00A6E2" w:themeColor="accent1"/>
        </w:tcBorders>
        <w:shd w:val="clear" w:color="auto" w:fill="B8ECFF" w:themeFill="accent1" w:themeFillTint="3F"/>
      </w:tcPr>
    </w:tblStylePr>
    <w:tblStylePr w:type="band2Horz">
      <w:tblPr/>
      <w:tcPr>
        <w:tcBorders>
          <w:top w:val="single" w:sz="8" w:space="0" w:color="00A6E2" w:themeColor="accent1"/>
          <w:left w:val="single" w:sz="8" w:space="0" w:color="00A6E2" w:themeColor="accent1"/>
          <w:bottom w:val="single" w:sz="8" w:space="0" w:color="00A6E2" w:themeColor="accent1"/>
          <w:right w:val="single" w:sz="8" w:space="0" w:color="00A6E2" w:themeColor="accent1"/>
          <w:insideV w:val="single" w:sz="8" w:space="0" w:color="00A6E2" w:themeColor="accent1"/>
        </w:tcBorders>
      </w:tcPr>
    </w:tblStylePr>
  </w:style>
  <w:style w:type="paragraph" w:customStyle="1" w:styleId="Sidfotltb">
    <w:name w:val="Sidfot ltb"/>
    <w:basedOn w:val="Sidfot"/>
    <w:link w:val="SidfotltbChar"/>
    <w:qFormat/>
    <w:rsid w:val="00AF634E"/>
    <w:pPr>
      <w:tabs>
        <w:tab w:val="clear" w:pos="284"/>
      </w:tabs>
      <w:spacing w:line="240" w:lineRule="auto"/>
    </w:pPr>
    <w:rPr>
      <w:rFonts w:ascii="Arial" w:eastAsia="Times New Roman" w:hAnsi="Arial" w:cs="Times New Roman"/>
      <w:szCs w:val="16"/>
      <w:lang w:eastAsia="sv-SE"/>
    </w:rPr>
  </w:style>
  <w:style w:type="paragraph" w:customStyle="1" w:styleId="Underrubrikfrsttsblad">
    <w:name w:val="Underrubrik försättsblad"/>
    <w:basedOn w:val="Normal"/>
    <w:link w:val="UnderrubrikfrsttsbladChar"/>
    <w:qFormat/>
    <w:rsid w:val="00AF634E"/>
    <w:pPr>
      <w:tabs>
        <w:tab w:val="clear" w:pos="284"/>
      </w:tabs>
      <w:spacing w:line="240" w:lineRule="auto"/>
      <w:jc w:val="right"/>
    </w:pPr>
    <w:rPr>
      <w:rFonts w:ascii="Arial" w:eastAsia="Times New Roman" w:hAnsi="Arial" w:cs="Arial"/>
      <w:sz w:val="24"/>
      <w:szCs w:val="20"/>
      <w:lang w:eastAsia="sv-SE"/>
    </w:rPr>
  </w:style>
  <w:style w:type="character" w:customStyle="1" w:styleId="SidfotltbChar">
    <w:name w:val="Sidfot ltb Char"/>
    <w:basedOn w:val="SidfotChar"/>
    <w:link w:val="Sidfotltb"/>
    <w:rsid w:val="00AF634E"/>
    <w:rPr>
      <w:rFonts w:ascii="Arial" w:eastAsia="Times New Roman" w:hAnsi="Arial"/>
      <w:sz w:val="16"/>
      <w:szCs w:val="16"/>
      <w:lang w:val="sv-SE" w:eastAsia="sv-SE"/>
    </w:rPr>
  </w:style>
  <w:style w:type="character" w:customStyle="1" w:styleId="UnderrubrikfrsttsbladChar">
    <w:name w:val="Underrubrik försättsblad Char"/>
    <w:basedOn w:val="Standardstycketeckensnitt"/>
    <w:link w:val="Underrubrikfrsttsblad"/>
    <w:rsid w:val="00AF634E"/>
    <w:rPr>
      <w:rFonts w:ascii="Arial" w:eastAsia="Times New Roman" w:hAnsi="Arial" w:cs="Arial"/>
      <w:sz w:val="24"/>
      <w:szCs w:val="20"/>
      <w:lang w:val="sv-SE" w:eastAsia="sv-SE"/>
    </w:rPr>
  </w:style>
  <w:style w:type="character" w:customStyle="1" w:styleId="word-explaination">
    <w:name w:val="word-explaination"/>
    <w:basedOn w:val="Standardstycketeckensnitt"/>
    <w:rsid w:val="00AF634E"/>
  </w:style>
  <w:style w:type="character" w:customStyle="1" w:styleId="apple-converted-space">
    <w:name w:val="apple-converted-space"/>
    <w:basedOn w:val="Standardstycketeckensnitt"/>
    <w:rsid w:val="00AF634E"/>
  </w:style>
  <w:style w:type="table" w:customStyle="1" w:styleId="NormalTable0">
    <w:name w:val="Normal Table0"/>
    <w:uiPriority w:val="2"/>
    <w:semiHidden/>
    <w:unhideWhenUsed/>
    <w:qFormat/>
    <w:rsid w:val="00AF634E"/>
    <w:pPr>
      <w:widowControl w:val="0"/>
      <w:spacing w:after="0" w:line="240" w:lineRule="auto"/>
    </w:pPr>
    <w:rPr>
      <w:rFonts w:cstheme="minorBidi"/>
    </w:rPr>
    <w:tblPr>
      <w:tblInd w:w="0" w:type="dxa"/>
      <w:tblCellMar>
        <w:top w:w="0" w:type="dxa"/>
        <w:left w:w="0" w:type="dxa"/>
        <w:bottom w:w="0" w:type="dxa"/>
        <w:right w:w="0" w:type="dxa"/>
      </w:tblCellMar>
    </w:tblPr>
  </w:style>
  <w:style w:type="paragraph" w:customStyle="1" w:styleId="Innehll11">
    <w:name w:val="Innehåll 11"/>
    <w:basedOn w:val="Normal"/>
    <w:uiPriority w:val="1"/>
    <w:qFormat/>
    <w:rsid w:val="00AF634E"/>
    <w:pPr>
      <w:widowControl w:val="0"/>
      <w:tabs>
        <w:tab w:val="clear" w:pos="284"/>
      </w:tabs>
      <w:spacing w:before="137" w:line="240" w:lineRule="auto"/>
      <w:ind w:left="321"/>
    </w:pPr>
    <w:rPr>
      <w:rFonts w:ascii="Calibri" w:eastAsia="Calibri" w:hAnsi="Calibri"/>
      <w:lang w:val="en-US"/>
    </w:rPr>
  </w:style>
  <w:style w:type="paragraph" w:customStyle="1" w:styleId="Innehll21">
    <w:name w:val="Innehåll 21"/>
    <w:basedOn w:val="Normal"/>
    <w:uiPriority w:val="1"/>
    <w:qFormat/>
    <w:rsid w:val="00AF634E"/>
    <w:pPr>
      <w:widowControl w:val="0"/>
      <w:tabs>
        <w:tab w:val="clear" w:pos="284"/>
      </w:tabs>
      <w:spacing w:before="144" w:line="240" w:lineRule="auto"/>
      <w:ind w:left="539"/>
    </w:pPr>
    <w:rPr>
      <w:rFonts w:ascii="Calibri" w:eastAsia="Calibri" w:hAnsi="Calibri"/>
      <w:lang w:val="en-US"/>
    </w:rPr>
  </w:style>
  <w:style w:type="paragraph" w:styleId="Brdtext">
    <w:name w:val="Body Text"/>
    <w:basedOn w:val="Normal"/>
    <w:link w:val="BrdtextChar"/>
    <w:uiPriority w:val="1"/>
    <w:qFormat/>
    <w:rsid w:val="00AF634E"/>
    <w:pPr>
      <w:widowControl w:val="0"/>
      <w:tabs>
        <w:tab w:val="clear" w:pos="284"/>
      </w:tabs>
      <w:spacing w:line="240" w:lineRule="auto"/>
      <w:ind w:left="116"/>
    </w:pPr>
    <w:rPr>
      <w:rFonts w:eastAsia="Garamond"/>
      <w:sz w:val="24"/>
      <w:szCs w:val="24"/>
      <w:lang w:val="en-US"/>
    </w:rPr>
  </w:style>
  <w:style w:type="character" w:customStyle="1" w:styleId="BrdtextChar">
    <w:name w:val="Brödtext Char"/>
    <w:basedOn w:val="Standardstycketeckensnitt"/>
    <w:link w:val="Brdtext"/>
    <w:uiPriority w:val="1"/>
    <w:rsid w:val="00AF634E"/>
    <w:rPr>
      <w:rFonts w:ascii="Garamond" w:eastAsia="Garamond" w:hAnsi="Garamond" w:cstheme="minorBidi"/>
      <w:sz w:val="24"/>
      <w:szCs w:val="24"/>
    </w:rPr>
  </w:style>
  <w:style w:type="paragraph" w:customStyle="1" w:styleId="Rubrik11">
    <w:name w:val="Rubrik 11"/>
    <w:basedOn w:val="Normal"/>
    <w:uiPriority w:val="1"/>
    <w:qFormat/>
    <w:rsid w:val="00AF634E"/>
    <w:pPr>
      <w:widowControl w:val="0"/>
      <w:tabs>
        <w:tab w:val="clear" w:pos="284"/>
      </w:tabs>
      <w:spacing w:before="31" w:line="240" w:lineRule="auto"/>
      <w:ind w:left="116"/>
      <w:outlineLvl w:val="1"/>
    </w:pPr>
    <w:rPr>
      <w:rFonts w:ascii="Arial" w:eastAsia="Arial" w:hAnsi="Arial"/>
      <w:b/>
      <w:bCs/>
      <w:sz w:val="48"/>
      <w:szCs w:val="48"/>
      <w:lang w:val="en-US"/>
    </w:rPr>
  </w:style>
  <w:style w:type="paragraph" w:customStyle="1" w:styleId="Rubrik21">
    <w:name w:val="Rubrik 21"/>
    <w:basedOn w:val="Normal"/>
    <w:uiPriority w:val="1"/>
    <w:qFormat/>
    <w:rsid w:val="00AF634E"/>
    <w:pPr>
      <w:widowControl w:val="0"/>
      <w:tabs>
        <w:tab w:val="clear" w:pos="284"/>
      </w:tabs>
      <w:spacing w:line="240" w:lineRule="auto"/>
      <w:ind w:left="196"/>
      <w:outlineLvl w:val="2"/>
    </w:pPr>
    <w:rPr>
      <w:rFonts w:ascii="Arial" w:eastAsia="Arial" w:hAnsi="Arial"/>
      <w:b/>
      <w:bCs/>
      <w:sz w:val="36"/>
      <w:szCs w:val="36"/>
      <w:lang w:val="en-US"/>
    </w:rPr>
  </w:style>
  <w:style w:type="paragraph" w:customStyle="1" w:styleId="Rubrik31">
    <w:name w:val="Rubrik 31"/>
    <w:basedOn w:val="Normal"/>
    <w:uiPriority w:val="1"/>
    <w:qFormat/>
    <w:rsid w:val="00AF634E"/>
    <w:pPr>
      <w:widowControl w:val="0"/>
      <w:tabs>
        <w:tab w:val="clear" w:pos="284"/>
      </w:tabs>
      <w:spacing w:line="240" w:lineRule="auto"/>
      <w:ind w:left="116"/>
      <w:outlineLvl w:val="3"/>
    </w:pPr>
    <w:rPr>
      <w:rFonts w:ascii="Arial" w:eastAsia="Arial" w:hAnsi="Arial"/>
      <w:b/>
      <w:bCs/>
      <w:sz w:val="32"/>
      <w:szCs w:val="32"/>
      <w:lang w:val="en-US"/>
    </w:rPr>
  </w:style>
  <w:style w:type="paragraph" w:customStyle="1" w:styleId="Rubrik41">
    <w:name w:val="Rubrik 41"/>
    <w:basedOn w:val="Normal"/>
    <w:uiPriority w:val="1"/>
    <w:qFormat/>
    <w:rsid w:val="00AF634E"/>
    <w:pPr>
      <w:widowControl w:val="0"/>
      <w:tabs>
        <w:tab w:val="clear" w:pos="284"/>
      </w:tabs>
      <w:spacing w:line="240" w:lineRule="auto"/>
      <w:ind w:left="116"/>
      <w:outlineLvl w:val="4"/>
    </w:pPr>
    <w:rPr>
      <w:rFonts w:ascii="Arial" w:eastAsia="Arial" w:hAnsi="Arial"/>
      <w:b/>
      <w:bCs/>
      <w:sz w:val="28"/>
      <w:szCs w:val="28"/>
      <w:lang w:val="en-US"/>
    </w:rPr>
  </w:style>
  <w:style w:type="paragraph" w:customStyle="1" w:styleId="Rubrik51">
    <w:name w:val="Rubrik 51"/>
    <w:basedOn w:val="Normal"/>
    <w:uiPriority w:val="1"/>
    <w:qFormat/>
    <w:rsid w:val="00AF634E"/>
    <w:pPr>
      <w:widowControl w:val="0"/>
      <w:tabs>
        <w:tab w:val="clear" w:pos="284"/>
      </w:tabs>
      <w:spacing w:line="240" w:lineRule="auto"/>
      <w:ind w:left="100"/>
      <w:outlineLvl w:val="5"/>
    </w:pPr>
    <w:rPr>
      <w:rFonts w:ascii="Arial" w:eastAsia="Arial" w:hAnsi="Arial"/>
      <w:sz w:val="28"/>
      <w:szCs w:val="28"/>
      <w:lang w:val="en-US"/>
    </w:rPr>
  </w:style>
  <w:style w:type="paragraph" w:customStyle="1" w:styleId="Rubrik61">
    <w:name w:val="Rubrik 61"/>
    <w:basedOn w:val="Normal"/>
    <w:uiPriority w:val="1"/>
    <w:qFormat/>
    <w:rsid w:val="00AF634E"/>
    <w:pPr>
      <w:widowControl w:val="0"/>
      <w:tabs>
        <w:tab w:val="clear" w:pos="284"/>
      </w:tabs>
      <w:spacing w:line="240" w:lineRule="auto"/>
      <w:ind w:left="101"/>
      <w:outlineLvl w:val="6"/>
    </w:pPr>
    <w:rPr>
      <w:rFonts w:eastAsia="Garamond"/>
      <w:i/>
      <w:sz w:val="28"/>
      <w:szCs w:val="28"/>
      <w:lang w:val="en-US"/>
    </w:rPr>
  </w:style>
  <w:style w:type="paragraph" w:customStyle="1" w:styleId="Rubrik71">
    <w:name w:val="Rubrik 71"/>
    <w:basedOn w:val="Normal"/>
    <w:uiPriority w:val="1"/>
    <w:qFormat/>
    <w:rsid w:val="00AF634E"/>
    <w:pPr>
      <w:widowControl w:val="0"/>
      <w:tabs>
        <w:tab w:val="clear" w:pos="284"/>
      </w:tabs>
      <w:spacing w:line="240" w:lineRule="auto"/>
      <w:ind w:left="116"/>
      <w:outlineLvl w:val="7"/>
    </w:pPr>
    <w:rPr>
      <w:rFonts w:ascii="Arial" w:eastAsia="Arial" w:hAnsi="Arial"/>
      <w:b/>
      <w:bCs/>
      <w:sz w:val="26"/>
      <w:szCs w:val="26"/>
      <w:lang w:val="en-US"/>
    </w:rPr>
  </w:style>
  <w:style w:type="paragraph" w:customStyle="1" w:styleId="Rubrik81">
    <w:name w:val="Rubrik 81"/>
    <w:basedOn w:val="Normal"/>
    <w:uiPriority w:val="1"/>
    <w:qFormat/>
    <w:rsid w:val="00AF634E"/>
    <w:pPr>
      <w:widowControl w:val="0"/>
      <w:tabs>
        <w:tab w:val="clear" w:pos="284"/>
      </w:tabs>
      <w:spacing w:line="240" w:lineRule="auto"/>
      <w:ind w:left="116"/>
      <w:outlineLvl w:val="8"/>
    </w:pPr>
    <w:rPr>
      <w:rFonts w:eastAsia="Garamond"/>
      <w:b/>
      <w:bCs/>
      <w:sz w:val="25"/>
      <w:szCs w:val="25"/>
      <w:lang w:val="en-US"/>
    </w:rPr>
  </w:style>
  <w:style w:type="paragraph" w:customStyle="1" w:styleId="Rubrik91">
    <w:name w:val="Rubrik 91"/>
    <w:basedOn w:val="Normal"/>
    <w:uiPriority w:val="1"/>
    <w:qFormat/>
    <w:rsid w:val="00AF634E"/>
    <w:pPr>
      <w:widowControl w:val="0"/>
      <w:tabs>
        <w:tab w:val="clear" w:pos="284"/>
      </w:tabs>
      <w:spacing w:line="240" w:lineRule="auto"/>
      <w:ind w:left="116"/>
    </w:pPr>
    <w:rPr>
      <w:rFonts w:eastAsia="Garamond"/>
      <w:sz w:val="25"/>
      <w:szCs w:val="25"/>
      <w:lang w:val="en-US"/>
    </w:rPr>
  </w:style>
  <w:style w:type="paragraph" w:customStyle="1" w:styleId="TableParagraph">
    <w:name w:val="Table Paragraph"/>
    <w:basedOn w:val="Normal"/>
    <w:uiPriority w:val="1"/>
    <w:qFormat/>
    <w:rsid w:val="00AF634E"/>
    <w:pPr>
      <w:widowControl w:val="0"/>
      <w:tabs>
        <w:tab w:val="clear" w:pos="284"/>
      </w:tabs>
      <w:spacing w:line="240" w:lineRule="auto"/>
    </w:pPr>
    <w:rPr>
      <w:rFonts w:asciiTheme="minorHAnsi" w:hAnsiTheme="minorHAnsi"/>
      <w:lang w:val="en-US"/>
    </w:rPr>
  </w:style>
  <w:style w:type="character" w:styleId="AnvndHyperlnk">
    <w:name w:val="FollowedHyperlink"/>
    <w:basedOn w:val="Standardstycketeckensnitt"/>
    <w:uiPriority w:val="99"/>
    <w:unhideWhenUsed/>
    <w:rsid w:val="00AF634E"/>
    <w:rPr>
      <w:color w:val="E31836" w:themeColor="followedHyperlink"/>
      <w:u w:val="single"/>
    </w:rPr>
  </w:style>
  <w:style w:type="character" w:styleId="Stark">
    <w:name w:val="Strong"/>
    <w:basedOn w:val="Standardstycketeckensnitt"/>
    <w:uiPriority w:val="22"/>
    <w:qFormat/>
    <w:rsid w:val="00AF634E"/>
    <w:rPr>
      <w:b/>
    </w:rPr>
  </w:style>
  <w:style w:type="paragraph" w:styleId="Brdtextmedindrag">
    <w:name w:val="Body Text Indent"/>
    <w:basedOn w:val="Normal"/>
    <w:link w:val="BrdtextmedindragChar"/>
    <w:rsid w:val="00AF634E"/>
    <w:pPr>
      <w:tabs>
        <w:tab w:val="clear" w:pos="284"/>
      </w:tabs>
      <w:spacing w:after="120" w:line="240" w:lineRule="auto"/>
      <w:ind w:left="283"/>
    </w:pPr>
    <w:rPr>
      <w:rFonts w:ascii="Times New Roman" w:eastAsia="Times New Roman" w:hAnsi="Times New Roman" w:cs="Times New Roman"/>
      <w:sz w:val="24"/>
      <w:szCs w:val="20"/>
      <w:lang w:eastAsia="sv-SE"/>
    </w:rPr>
  </w:style>
  <w:style w:type="character" w:customStyle="1" w:styleId="BrdtextmedindragChar">
    <w:name w:val="Brödtext med indrag Char"/>
    <w:basedOn w:val="Standardstycketeckensnitt"/>
    <w:link w:val="Brdtextmedindrag"/>
    <w:rsid w:val="00AF634E"/>
    <w:rPr>
      <w:rFonts w:ascii="Times New Roman" w:eastAsia="Times New Roman" w:hAnsi="Times New Roman"/>
      <w:sz w:val="24"/>
      <w:szCs w:val="20"/>
      <w:lang w:val="sv-SE" w:eastAsia="sv-SE"/>
    </w:rPr>
  </w:style>
  <w:style w:type="paragraph" w:customStyle="1" w:styleId="pmtext">
    <w:name w:val="pmtext"/>
    <w:basedOn w:val="Normal"/>
    <w:rsid w:val="00AF634E"/>
    <w:pPr>
      <w:tabs>
        <w:tab w:val="clear" w:pos="284"/>
      </w:tabs>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Diskretbetoning">
    <w:name w:val="Subtle Emphasis"/>
    <w:basedOn w:val="Standardstycketeckensnitt"/>
    <w:uiPriority w:val="19"/>
    <w:qFormat/>
    <w:rsid w:val="00AF634E"/>
    <w:rPr>
      <w:i/>
      <w:iCs/>
      <w:color w:val="808080" w:themeColor="text1" w:themeTint="7F"/>
    </w:rPr>
  </w:style>
  <w:style w:type="paragraph" w:customStyle="1" w:styleId="numbered-paragraph">
    <w:name w:val="numbered-paragraph"/>
    <w:basedOn w:val="Normal"/>
    <w:rsid w:val="00AF634E"/>
    <w:pPr>
      <w:tabs>
        <w:tab w:val="clear" w:pos="284"/>
      </w:tabs>
      <w:spacing w:after="180" w:line="240" w:lineRule="auto"/>
    </w:pPr>
    <w:rPr>
      <w:rFonts w:ascii="Times New Roman" w:eastAsia="Times New Roman" w:hAnsi="Times New Roman" w:cs="Times New Roman"/>
      <w:sz w:val="24"/>
      <w:szCs w:val="24"/>
      <w:lang w:eastAsia="sv-SE"/>
    </w:rPr>
  </w:style>
  <w:style w:type="character" w:customStyle="1" w:styleId="tgc">
    <w:name w:val="_tgc"/>
    <w:basedOn w:val="Standardstycketeckensnitt"/>
    <w:rsid w:val="00AF634E"/>
  </w:style>
  <w:style w:type="table" w:customStyle="1" w:styleId="Matsedlar">
    <w:name w:val="Matsedlar"/>
    <w:basedOn w:val="Tabellista3"/>
    <w:uiPriority w:val="99"/>
    <w:rsid w:val="00AF634E"/>
    <w:rPr>
      <w:rFonts w:ascii="Arial" w:hAnsi="Arial"/>
    </w:rPr>
    <w:tblPr>
      <w:tblBorders>
        <w:top w:val="dotted" w:sz="18" w:space="0" w:color="FFFFFF" w:themeColor="background1"/>
        <w:bottom w:val="dotted" w:sz="18" w:space="0" w:color="FFFFFF" w:themeColor="background1"/>
        <w:insideH w:val="dotted" w:sz="18" w:space="0" w:color="FFFFFF" w:themeColor="background1"/>
      </w:tblBorders>
    </w:tblPr>
    <w:tcPr>
      <w:shd w:val="clear" w:color="auto" w:fill="98C21D" w:themeFill="accent3"/>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3">
    <w:name w:val="Table List 3"/>
    <w:basedOn w:val="Normaltabell"/>
    <w:rsid w:val="00AF634E"/>
    <w:pPr>
      <w:spacing w:after="0" w:line="240" w:lineRule="auto"/>
    </w:pPr>
    <w:rPr>
      <w:rFonts w:ascii="Times New Roman" w:eastAsia="Times New Roman" w:hAnsi="Times New Roman"/>
      <w:sz w:val="20"/>
      <w:szCs w:val="20"/>
      <w:lang w:val="sv-SE" w:eastAsia="sv-S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Normal1">
    <w:name w:val="Normal1"/>
    <w:basedOn w:val="Normal"/>
    <w:rsid w:val="00080144"/>
    <w:pPr>
      <w:tabs>
        <w:tab w:val="clear" w:pos="284"/>
      </w:tabs>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Revision">
    <w:name w:val="Revision"/>
    <w:hidden/>
    <w:uiPriority w:val="99"/>
    <w:semiHidden/>
    <w:rsid w:val="00AF634E"/>
    <w:pPr>
      <w:spacing w:after="0" w:line="240" w:lineRule="auto"/>
    </w:pPr>
    <w:rPr>
      <w:rFonts w:ascii="Garamond" w:eastAsia="Times New Roman" w:hAnsi="Garamond"/>
      <w:sz w:val="24"/>
      <w:szCs w:val="20"/>
      <w:lang w:val="sv-SE" w:eastAsia="sv-SE"/>
    </w:rPr>
  </w:style>
  <w:style w:type="character" w:customStyle="1" w:styleId="highlight">
    <w:name w:val="highlight"/>
    <w:basedOn w:val="Standardstycketeckensnitt"/>
    <w:rsid w:val="00AF634E"/>
  </w:style>
  <w:style w:type="character" w:customStyle="1" w:styleId="Olstomnmnande2">
    <w:name w:val="Olöst omnämnande2"/>
    <w:basedOn w:val="Standardstycketeckensnitt"/>
    <w:uiPriority w:val="99"/>
    <w:semiHidden/>
    <w:unhideWhenUsed/>
    <w:rsid w:val="00AF634E"/>
    <w:rPr>
      <w:color w:val="605E5C"/>
      <w:shd w:val="clear" w:color="auto" w:fill="E1DFDD"/>
    </w:rPr>
  </w:style>
  <w:style w:type="character" w:customStyle="1" w:styleId="Olstomnmnande3">
    <w:name w:val="Olöst omnämnande3"/>
    <w:basedOn w:val="Standardstycketeckensnitt"/>
    <w:uiPriority w:val="99"/>
    <w:semiHidden/>
    <w:unhideWhenUsed/>
    <w:rsid w:val="00AF634E"/>
    <w:rPr>
      <w:color w:val="605E5C"/>
      <w:shd w:val="clear" w:color="auto" w:fill="E1DFDD"/>
    </w:rPr>
  </w:style>
  <w:style w:type="paragraph" w:customStyle="1" w:styleId="Pa2">
    <w:name w:val="Pa2"/>
    <w:basedOn w:val="Default"/>
    <w:next w:val="Default"/>
    <w:uiPriority w:val="99"/>
    <w:rsid w:val="00AF634E"/>
  </w:style>
  <w:style w:type="paragraph" w:customStyle="1" w:styleId="Pa11">
    <w:name w:val="Pa11"/>
    <w:basedOn w:val="Default"/>
    <w:next w:val="Default"/>
    <w:uiPriority w:val="99"/>
    <w:rsid w:val="00AF634E"/>
  </w:style>
  <w:style w:type="character" w:customStyle="1" w:styleId="A5">
    <w:name w:val="A5"/>
    <w:uiPriority w:val="99"/>
    <w:rsid w:val="00AF634E"/>
    <w:rPr>
      <w:rFonts w:cs="Gesta Lt"/>
      <w:color w:val="000000"/>
      <w:sz w:val="14"/>
      <w:szCs w:val="14"/>
    </w:rPr>
  </w:style>
  <w:style w:type="paragraph" w:customStyle="1" w:styleId="Pa14">
    <w:name w:val="Pa14"/>
    <w:basedOn w:val="Default"/>
    <w:next w:val="Default"/>
    <w:uiPriority w:val="99"/>
    <w:rsid w:val="00AF634E"/>
  </w:style>
  <w:style w:type="character" w:styleId="Olstomnmnande">
    <w:name w:val="Unresolved Mention"/>
    <w:basedOn w:val="Standardstycketeckensnitt"/>
    <w:uiPriority w:val="99"/>
    <w:semiHidden/>
    <w:unhideWhenUsed/>
    <w:rsid w:val="00AF634E"/>
    <w:rPr>
      <w:color w:val="605E5C"/>
      <w:shd w:val="clear" w:color="auto" w:fill="E1DFDD"/>
    </w:rPr>
  </w:style>
  <w:style w:type="paragraph" w:customStyle="1" w:styleId="msonormal0">
    <w:name w:val="msonormal"/>
    <w:basedOn w:val="Normal"/>
    <w:rsid w:val="00AF634E"/>
    <w:pPr>
      <w:tabs>
        <w:tab w:val="clear" w:pos="284"/>
      </w:tabs>
      <w:spacing w:before="30" w:after="150" w:line="240" w:lineRule="auto"/>
    </w:pPr>
    <w:rPr>
      <w:rFonts w:ascii="Verdana" w:eastAsia="Times New Roman" w:hAnsi="Verdana" w:cs="Times New Roman"/>
      <w:color w:val="000000"/>
      <w:sz w:val="24"/>
      <w:szCs w:val="20"/>
      <w:lang w:eastAsia="sv-SE"/>
    </w:rPr>
  </w:style>
  <w:style w:type="character" w:customStyle="1" w:styleId="RubrikChar1">
    <w:name w:val="Rubrik Char1"/>
    <w:aliases w:val="Rubrik försättsblad Char1"/>
    <w:basedOn w:val="Standardstycketeckensnitt"/>
    <w:rsid w:val="00AF634E"/>
    <w:rPr>
      <w:rFonts w:asciiTheme="majorHAnsi" w:eastAsiaTheme="majorEastAsia" w:hAnsiTheme="majorHAnsi" w:cstheme="majorBidi"/>
      <w:spacing w:val="-10"/>
      <w:kern w:val="28"/>
      <w:sz w:val="56"/>
      <w:szCs w:val="56"/>
      <w:lang w:eastAsia="sv-SE"/>
    </w:rPr>
  </w:style>
  <w:style w:type="paragraph" w:customStyle="1" w:styleId="Normal10">
    <w:name w:val="Normal1"/>
    <w:basedOn w:val="Normal"/>
    <w:rsid w:val="00AF634E"/>
    <w:pPr>
      <w:tabs>
        <w:tab w:val="clear" w:pos="284"/>
      </w:tabs>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Oformateradtabell5">
    <w:name w:val="Plain Table 5"/>
    <w:basedOn w:val="Normaltabell"/>
    <w:uiPriority w:val="45"/>
    <w:rsid w:val="00AF634E"/>
    <w:pPr>
      <w:spacing w:after="0" w:line="240" w:lineRule="auto"/>
    </w:pPr>
    <w:rPr>
      <w:rFonts w:ascii="Times New Roman" w:eastAsia="Times New Roman" w:hAnsi="Times New Roman"/>
      <w:sz w:val="20"/>
      <w:szCs w:val="20"/>
      <w:lang w:val="sv-SE" w:eastAsia="sv-S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TML-citat">
    <w:name w:val="HTML Cite"/>
    <w:basedOn w:val="Standardstycketeckensnitt"/>
    <w:uiPriority w:val="99"/>
    <w:semiHidden/>
    <w:unhideWhenUsed/>
    <w:rsid w:val="00AF634E"/>
    <w:rPr>
      <w:i/>
      <w:iCs/>
    </w:rPr>
  </w:style>
  <w:style w:type="table" w:customStyle="1" w:styleId="Professionelltabell1">
    <w:name w:val="Professionell tabell1"/>
    <w:basedOn w:val="Normaltabell"/>
    <w:next w:val="Professionelltabell"/>
    <w:rsid w:val="00AF634E"/>
    <w:pPr>
      <w:spacing w:after="0" w:line="240" w:lineRule="auto"/>
    </w:pPr>
    <w:rPr>
      <w:rFonts w:ascii="Times New Roman" w:eastAsia="Times New Roman" w:hAnsi="Times New Roman"/>
      <w:sz w:val="20"/>
      <w:szCs w:val="20"/>
      <w:lang w:val="sv-SE" w:eastAsia="sv-S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lrutnt1">
    <w:name w:val="Tabellrutnät1"/>
    <w:basedOn w:val="Normaltabell"/>
    <w:next w:val="Tabellrutnt"/>
    <w:rsid w:val="00AF634E"/>
    <w:pPr>
      <w:spacing w:after="0" w:line="240" w:lineRule="auto"/>
    </w:pPr>
    <w:rPr>
      <w:rFonts w:cstheme="minorBidi"/>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fessionelltabell2">
    <w:name w:val="Professionell tabell2"/>
    <w:basedOn w:val="Normaltabell"/>
    <w:next w:val="Professionelltabell"/>
    <w:rsid w:val="00AF634E"/>
    <w:pPr>
      <w:spacing w:after="0" w:line="240" w:lineRule="auto"/>
    </w:pPr>
    <w:rPr>
      <w:rFonts w:ascii="Times New Roman" w:eastAsia="Times New Roman" w:hAnsi="Times New Roman"/>
      <w:sz w:val="20"/>
      <w:szCs w:val="20"/>
      <w:lang w:val="sv-SE" w:eastAsia="sv-S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lrutnt2">
    <w:name w:val="Tabellrutnät2"/>
    <w:basedOn w:val="Normaltabell"/>
    <w:next w:val="Tabellrutnt"/>
    <w:rsid w:val="00AF634E"/>
    <w:pPr>
      <w:spacing w:after="0" w:line="240" w:lineRule="auto"/>
    </w:pPr>
    <w:rPr>
      <w:rFonts w:cstheme="minorBidi"/>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oderntabell1">
    <w:name w:val="Modern tabell1"/>
    <w:basedOn w:val="Normaltabell"/>
    <w:next w:val="Moderntabell"/>
    <w:rsid w:val="00AF634E"/>
    <w:pPr>
      <w:spacing w:after="0" w:line="240" w:lineRule="auto"/>
    </w:pPr>
    <w:rPr>
      <w:rFonts w:ascii="Times New Roman" w:eastAsia="Times New Roman" w:hAnsi="Times New Roman"/>
      <w:sz w:val="20"/>
      <w:szCs w:val="20"/>
      <w:lang w:val="sv-SE" w:eastAsia="sv-S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ellanmrkskuggning1-dekorfrg111">
    <w:name w:val="Mellanmörk skuggning 1 - dekorfärg 111"/>
    <w:basedOn w:val="Normaltabell"/>
    <w:next w:val="Mellanmrkskuggning1-dekorfrg1"/>
    <w:uiPriority w:val="63"/>
    <w:rsid w:val="00AF634E"/>
    <w:pPr>
      <w:spacing w:after="0" w:line="240" w:lineRule="auto"/>
    </w:pPr>
    <w:rPr>
      <w:rFonts w:ascii="Times New Roman" w:eastAsia="Times New Roman" w:hAnsi="Times New Roman"/>
      <w:sz w:val="20"/>
      <w:szCs w:val="20"/>
      <w:lang w:val="sv-SE" w:eastAsia="sv-SE"/>
    </w:rPr>
    <w:tblPr>
      <w:tblStyleRowBandSize w:val="1"/>
      <w:tblStyleColBandSize w:val="1"/>
      <w:tblBorders>
        <w:top w:val="single" w:sz="8" w:space="0" w:color="2AC6FF" w:themeColor="accent1" w:themeTint="BF"/>
        <w:left w:val="single" w:sz="8" w:space="0" w:color="2AC6FF" w:themeColor="accent1" w:themeTint="BF"/>
        <w:bottom w:val="single" w:sz="8" w:space="0" w:color="2AC6FF" w:themeColor="accent1" w:themeTint="BF"/>
        <w:right w:val="single" w:sz="8" w:space="0" w:color="2AC6FF" w:themeColor="accent1" w:themeTint="BF"/>
        <w:insideH w:val="single" w:sz="8" w:space="0" w:color="2AC6FF" w:themeColor="accent1" w:themeTint="BF"/>
      </w:tblBorders>
    </w:tblPr>
    <w:tblStylePr w:type="firstRow">
      <w:pPr>
        <w:spacing w:before="0" w:after="0" w:line="240" w:lineRule="auto"/>
      </w:pPr>
      <w:rPr>
        <w:b/>
        <w:bCs/>
        <w:color w:val="FFFFFF" w:themeColor="background1"/>
      </w:rPr>
      <w:tblPr/>
      <w:tcPr>
        <w:tcBorders>
          <w:top w:val="single" w:sz="8" w:space="0" w:color="2AC6FF" w:themeColor="accent1" w:themeTint="BF"/>
          <w:left w:val="single" w:sz="8" w:space="0" w:color="2AC6FF" w:themeColor="accent1" w:themeTint="BF"/>
          <w:bottom w:val="single" w:sz="8" w:space="0" w:color="2AC6FF" w:themeColor="accent1" w:themeTint="BF"/>
          <w:right w:val="single" w:sz="8" w:space="0" w:color="2AC6FF" w:themeColor="accent1" w:themeTint="BF"/>
          <w:insideH w:val="nil"/>
          <w:insideV w:val="nil"/>
        </w:tcBorders>
        <w:shd w:val="clear" w:color="auto" w:fill="00A6E2" w:themeFill="accent1"/>
      </w:tcPr>
    </w:tblStylePr>
    <w:tblStylePr w:type="lastRow">
      <w:pPr>
        <w:spacing w:before="0" w:after="0" w:line="240" w:lineRule="auto"/>
      </w:pPr>
      <w:rPr>
        <w:b/>
        <w:bCs/>
      </w:rPr>
      <w:tblPr/>
      <w:tcPr>
        <w:tcBorders>
          <w:top w:val="double" w:sz="6" w:space="0" w:color="2AC6FF" w:themeColor="accent1" w:themeTint="BF"/>
          <w:left w:val="single" w:sz="8" w:space="0" w:color="2AC6FF" w:themeColor="accent1" w:themeTint="BF"/>
          <w:bottom w:val="single" w:sz="8" w:space="0" w:color="2AC6FF" w:themeColor="accent1" w:themeTint="BF"/>
          <w:right w:val="single" w:sz="8" w:space="0" w:color="2AC6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ECFF" w:themeFill="accent1" w:themeFillTint="3F"/>
      </w:tcPr>
    </w:tblStylePr>
    <w:tblStylePr w:type="band1Horz">
      <w:tblPr/>
      <w:tcPr>
        <w:tcBorders>
          <w:insideH w:val="nil"/>
          <w:insideV w:val="nil"/>
        </w:tcBorders>
        <w:shd w:val="clear" w:color="auto" w:fill="B8ECFF" w:themeFill="accent1" w:themeFillTint="3F"/>
      </w:tcPr>
    </w:tblStylePr>
    <w:tblStylePr w:type="band2Horz">
      <w:tblPr/>
      <w:tcPr>
        <w:tcBorders>
          <w:insideH w:val="nil"/>
          <w:insideV w:val="nil"/>
        </w:tcBorders>
      </w:tcPr>
    </w:tblStylePr>
  </w:style>
  <w:style w:type="table" w:customStyle="1" w:styleId="Mellanmrkskuggning1-dekorfrg12">
    <w:name w:val="Mellanmörk skuggning 1 - dekorfärg 12"/>
    <w:basedOn w:val="Normaltabell"/>
    <w:next w:val="Mellanmrkskuggning1-dekorfrg1"/>
    <w:uiPriority w:val="63"/>
    <w:rsid w:val="00AF634E"/>
    <w:pPr>
      <w:spacing w:after="0" w:line="240" w:lineRule="auto"/>
    </w:pPr>
    <w:rPr>
      <w:rFonts w:ascii="Times New Roman" w:eastAsia="Times New Roman" w:hAnsi="Times New Roman"/>
      <w:sz w:val="20"/>
      <w:szCs w:val="20"/>
      <w:lang w:val="sv-SE" w:eastAsia="sv-SE"/>
    </w:rPr>
    <w:tblPr>
      <w:tblStyleRowBandSize w:val="1"/>
      <w:tblStyleColBandSize w:val="1"/>
      <w:tblBorders>
        <w:top w:val="single" w:sz="8" w:space="0" w:color="2AC6FF" w:themeColor="accent1" w:themeTint="BF"/>
        <w:left w:val="single" w:sz="8" w:space="0" w:color="2AC6FF" w:themeColor="accent1" w:themeTint="BF"/>
        <w:bottom w:val="single" w:sz="8" w:space="0" w:color="2AC6FF" w:themeColor="accent1" w:themeTint="BF"/>
        <w:right w:val="single" w:sz="8" w:space="0" w:color="2AC6FF" w:themeColor="accent1" w:themeTint="BF"/>
        <w:insideH w:val="single" w:sz="8" w:space="0" w:color="2AC6FF" w:themeColor="accent1" w:themeTint="BF"/>
      </w:tblBorders>
    </w:tblPr>
    <w:tblStylePr w:type="firstRow">
      <w:pPr>
        <w:spacing w:before="0" w:after="0" w:line="240" w:lineRule="auto"/>
      </w:pPr>
      <w:rPr>
        <w:b/>
        <w:bCs/>
        <w:color w:val="FFFFFF" w:themeColor="background1"/>
      </w:rPr>
      <w:tblPr/>
      <w:tcPr>
        <w:tcBorders>
          <w:top w:val="single" w:sz="8" w:space="0" w:color="2AC6FF" w:themeColor="accent1" w:themeTint="BF"/>
          <w:left w:val="single" w:sz="8" w:space="0" w:color="2AC6FF" w:themeColor="accent1" w:themeTint="BF"/>
          <w:bottom w:val="single" w:sz="8" w:space="0" w:color="2AC6FF" w:themeColor="accent1" w:themeTint="BF"/>
          <w:right w:val="single" w:sz="8" w:space="0" w:color="2AC6FF" w:themeColor="accent1" w:themeTint="BF"/>
          <w:insideH w:val="nil"/>
          <w:insideV w:val="nil"/>
        </w:tcBorders>
        <w:shd w:val="clear" w:color="auto" w:fill="00A6E2" w:themeFill="accent1"/>
      </w:tcPr>
    </w:tblStylePr>
    <w:tblStylePr w:type="lastRow">
      <w:pPr>
        <w:spacing w:before="0" w:after="0" w:line="240" w:lineRule="auto"/>
      </w:pPr>
      <w:rPr>
        <w:b/>
        <w:bCs/>
      </w:rPr>
      <w:tblPr/>
      <w:tcPr>
        <w:tcBorders>
          <w:top w:val="double" w:sz="6" w:space="0" w:color="2AC6FF" w:themeColor="accent1" w:themeTint="BF"/>
          <w:left w:val="single" w:sz="8" w:space="0" w:color="2AC6FF" w:themeColor="accent1" w:themeTint="BF"/>
          <w:bottom w:val="single" w:sz="8" w:space="0" w:color="2AC6FF" w:themeColor="accent1" w:themeTint="BF"/>
          <w:right w:val="single" w:sz="8" w:space="0" w:color="2AC6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ECFF" w:themeFill="accent1" w:themeFillTint="3F"/>
      </w:tcPr>
    </w:tblStylePr>
    <w:tblStylePr w:type="band1Horz">
      <w:tblPr/>
      <w:tcPr>
        <w:tcBorders>
          <w:insideH w:val="nil"/>
          <w:insideV w:val="nil"/>
        </w:tcBorders>
        <w:shd w:val="clear" w:color="auto" w:fill="B8ECFF" w:themeFill="accent1" w:themeFillTint="3F"/>
      </w:tcPr>
    </w:tblStylePr>
    <w:tblStylePr w:type="band2Horz">
      <w:tblPr/>
      <w:tcPr>
        <w:tcBorders>
          <w:insideH w:val="nil"/>
          <w:insideV w:val="nil"/>
        </w:tcBorders>
      </w:tcPr>
    </w:tblStylePr>
  </w:style>
  <w:style w:type="table" w:customStyle="1" w:styleId="Ljustrutnt-dekorfrg11">
    <w:name w:val="Ljust rutnät - dekorfärg 11"/>
    <w:basedOn w:val="Normaltabell"/>
    <w:next w:val="Ljustrutnt-dekorfrg1"/>
    <w:uiPriority w:val="62"/>
    <w:rsid w:val="00AF634E"/>
    <w:pPr>
      <w:spacing w:after="0" w:line="240" w:lineRule="auto"/>
    </w:pPr>
    <w:rPr>
      <w:rFonts w:ascii="Times New Roman" w:eastAsia="Times New Roman" w:hAnsi="Times New Roman"/>
      <w:sz w:val="20"/>
      <w:szCs w:val="20"/>
      <w:lang w:val="sv-SE" w:eastAsia="sv-SE"/>
    </w:rPr>
    <w:tblPr>
      <w:tblStyleRowBandSize w:val="1"/>
      <w:tblStyleColBandSize w:val="1"/>
      <w:tblBorders>
        <w:top w:val="single" w:sz="8" w:space="0" w:color="00A6E2" w:themeColor="accent1"/>
        <w:left w:val="single" w:sz="8" w:space="0" w:color="00A6E2" w:themeColor="accent1"/>
        <w:bottom w:val="single" w:sz="8" w:space="0" w:color="00A6E2" w:themeColor="accent1"/>
        <w:right w:val="single" w:sz="8" w:space="0" w:color="00A6E2" w:themeColor="accent1"/>
        <w:insideH w:val="single" w:sz="8" w:space="0" w:color="00A6E2" w:themeColor="accent1"/>
        <w:insideV w:val="single" w:sz="8" w:space="0" w:color="00A6E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6E2" w:themeColor="accent1"/>
          <w:left w:val="single" w:sz="8" w:space="0" w:color="00A6E2" w:themeColor="accent1"/>
          <w:bottom w:val="single" w:sz="18" w:space="0" w:color="00A6E2" w:themeColor="accent1"/>
          <w:right w:val="single" w:sz="8" w:space="0" w:color="00A6E2" w:themeColor="accent1"/>
          <w:insideH w:val="nil"/>
          <w:insideV w:val="single" w:sz="8" w:space="0" w:color="00A6E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6E2" w:themeColor="accent1"/>
          <w:left w:val="single" w:sz="8" w:space="0" w:color="00A6E2" w:themeColor="accent1"/>
          <w:bottom w:val="single" w:sz="8" w:space="0" w:color="00A6E2" w:themeColor="accent1"/>
          <w:right w:val="single" w:sz="8" w:space="0" w:color="00A6E2" w:themeColor="accent1"/>
          <w:insideH w:val="nil"/>
          <w:insideV w:val="single" w:sz="8" w:space="0" w:color="00A6E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6E2" w:themeColor="accent1"/>
          <w:left w:val="single" w:sz="8" w:space="0" w:color="00A6E2" w:themeColor="accent1"/>
          <w:bottom w:val="single" w:sz="8" w:space="0" w:color="00A6E2" w:themeColor="accent1"/>
          <w:right w:val="single" w:sz="8" w:space="0" w:color="00A6E2" w:themeColor="accent1"/>
        </w:tcBorders>
      </w:tcPr>
    </w:tblStylePr>
    <w:tblStylePr w:type="band1Vert">
      <w:tblPr/>
      <w:tcPr>
        <w:tcBorders>
          <w:top w:val="single" w:sz="8" w:space="0" w:color="00A6E2" w:themeColor="accent1"/>
          <w:left w:val="single" w:sz="8" w:space="0" w:color="00A6E2" w:themeColor="accent1"/>
          <w:bottom w:val="single" w:sz="8" w:space="0" w:color="00A6E2" w:themeColor="accent1"/>
          <w:right w:val="single" w:sz="8" w:space="0" w:color="00A6E2" w:themeColor="accent1"/>
        </w:tcBorders>
        <w:shd w:val="clear" w:color="auto" w:fill="B8ECFF" w:themeFill="accent1" w:themeFillTint="3F"/>
      </w:tcPr>
    </w:tblStylePr>
    <w:tblStylePr w:type="band1Horz">
      <w:tblPr/>
      <w:tcPr>
        <w:tcBorders>
          <w:top w:val="single" w:sz="8" w:space="0" w:color="00A6E2" w:themeColor="accent1"/>
          <w:left w:val="single" w:sz="8" w:space="0" w:color="00A6E2" w:themeColor="accent1"/>
          <w:bottom w:val="single" w:sz="8" w:space="0" w:color="00A6E2" w:themeColor="accent1"/>
          <w:right w:val="single" w:sz="8" w:space="0" w:color="00A6E2" w:themeColor="accent1"/>
          <w:insideV w:val="single" w:sz="8" w:space="0" w:color="00A6E2" w:themeColor="accent1"/>
        </w:tcBorders>
        <w:shd w:val="clear" w:color="auto" w:fill="B8ECFF" w:themeFill="accent1" w:themeFillTint="3F"/>
      </w:tcPr>
    </w:tblStylePr>
    <w:tblStylePr w:type="band2Horz">
      <w:tblPr/>
      <w:tcPr>
        <w:tcBorders>
          <w:top w:val="single" w:sz="8" w:space="0" w:color="00A6E2" w:themeColor="accent1"/>
          <w:left w:val="single" w:sz="8" w:space="0" w:color="00A6E2" w:themeColor="accent1"/>
          <w:bottom w:val="single" w:sz="8" w:space="0" w:color="00A6E2" w:themeColor="accent1"/>
          <w:right w:val="single" w:sz="8" w:space="0" w:color="00A6E2" w:themeColor="accent1"/>
          <w:insideV w:val="single" w:sz="8" w:space="0" w:color="00A6E2" w:themeColor="accent1"/>
        </w:tcBorders>
      </w:tcPr>
    </w:tblStylePr>
  </w:style>
  <w:style w:type="table" w:customStyle="1" w:styleId="TableNormal1">
    <w:name w:val="Table Normal1"/>
    <w:uiPriority w:val="2"/>
    <w:semiHidden/>
    <w:unhideWhenUsed/>
    <w:qFormat/>
    <w:rsid w:val="00AF634E"/>
    <w:pPr>
      <w:widowControl w:val="0"/>
      <w:spacing w:after="0" w:line="240" w:lineRule="auto"/>
    </w:pPr>
    <w:rPr>
      <w:rFonts w:cstheme="minorBidi"/>
    </w:rPr>
    <w:tblPr>
      <w:tblInd w:w="0" w:type="dxa"/>
      <w:tblCellMar>
        <w:top w:w="0" w:type="dxa"/>
        <w:left w:w="0" w:type="dxa"/>
        <w:bottom w:w="0" w:type="dxa"/>
        <w:right w:w="0" w:type="dxa"/>
      </w:tblCellMar>
    </w:tblPr>
  </w:style>
  <w:style w:type="table" w:customStyle="1" w:styleId="Matsedlar1">
    <w:name w:val="Matsedlar1"/>
    <w:basedOn w:val="Tabellista3"/>
    <w:uiPriority w:val="99"/>
    <w:rsid w:val="00AF634E"/>
    <w:rPr>
      <w:rFonts w:ascii="Arial" w:hAnsi="Arial"/>
    </w:rPr>
    <w:tblPr>
      <w:tblBorders>
        <w:top w:val="dotted" w:sz="18" w:space="0" w:color="FFFFFF" w:themeColor="background1"/>
        <w:bottom w:val="dotted" w:sz="18" w:space="0" w:color="FFFFFF" w:themeColor="background1"/>
        <w:insideH w:val="dotted" w:sz="18" w:space="0" w:color="FFFFFF" w:themeColor="background1"/>
      </w:tblBorders>
    </w:tblPr>
    <w:tcPr>
      <w:shd w:val="clear" w:color="auto" w:fill="98C21D" w:themeFill="accent3"/>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sta31">
    <w:name w:val="Tabellista 31"/>
    <w:basedOn w:val="Normaltabell"/>
    <w:next w:val="Tabellista3"/>
    <w:rsid w:val="00AF634E"/>
    <w:pPr>
      <w:spacing w:after="0" w:line="240" w:lineRule="auto"/>
    </w:pPr>
    <w:rPr>
      <w:rFonts w:ascii="Times New Roman" w:eastAsia="Times New Roman" w:hAnsi="Times New Roman"/>
      <w:sz w:val="20"/>
      <w:szCs w:val="20"/>
      <w:lang w:val="sv-SE" w:eastAsia="sv-S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isttabell3">
    <w:name w:val="List Table 3"/>
    <w:basedOn w:val="Normaltabell"/>
    <w:uiPriority w:val="48"/>
    <w:rsid w:val="00AF634E"/>
    <w:pPr>
      <w:spacing w:after="0" w:line="240" w:lineRule="auto"/>
    </w:pPr>
    <w:rPr>
      <w:rFonts w:cstheme="minorBidi"/>
      <w:lang w:val="sv-S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Rutntstabell1ljusdekorfrg1">
    <w:name w:val="Grid Table 1 Light Accent 1"/>
    <w:basedOn w:val="Normaltabell"/>
    <w:uiPriority w:val="46"/>
    <w:rsid w:val="00AF634E"/>
    <w:pPr>
      <w:spacing w:after="0" w:line="240" w:lineRule="auto"/>
    </w:pPr>
    <w:rPr>
      <w:rFonts w:cstheme="minorBidi"/>
      <w:lang w:val="sv-SE"/>
    </w:rPr>
    <w:tblPr>
      <w:tblStyleRowBandSize w:val="1"/>
      <w:tblStyleColBandSize w:val="1"/>
      <w:tblBorders>
        <w:top w:val="single" w:sz="4" w:space="0" w:color="8DE0FF" w:themeColor="accent1" w:themeTint="66"/>
        <w:left w:val="single" w:sz="4" w:space="0" w:color="8DE0FF" w:themeColor="accent1" w:themeTint="66"/>
        <w:bottom w:val="single" w:sz="4" w:space="0" w:color="8DE0FF" w:themeColor="accent1" w:themeTint="66"/>
        <w:right w:val="single" w:sz="4" w:space="0" w:color="8DE0FF" w:themeColor="accent1" w:themeTint="66"/>
        <w:insideH w:val="single" w:sz="4" w:space="0" w:color="8DE0FF" w:themeColor="accent1" w:themeTint="66"/>
        <w:insideV w:val="single" w:sz="4" w:space="0" w:color="8DE0FF" w:themeColor="accent1" w:themeTint="66"/>
      </w:tblBorders>
    </w:tblPr>
    <w:tblStylePr w:type="firstRow">
      <w:rPr>
        <w:b/>
        <w:bCs/>
      </w:rPr>
      <w:tblPr/>
      <w:tcPr>
        <w:tcBorders>
          <w:bottom w:val="single" w:sz="12" w:space="0" w:color="54D1FF" w:themeColor="accent1" w:themeTint="99"/>
        </w:tcBorders>
      </w:tcPr>
    </w:tblStylePr>
    <w:tblStylePr w:type="lastRow">
      <w:rPr>
        <w:b/>
        <w:bCs/>
      </w:rPr>
      <w:tblPr/>
      <w:tcPr>
        <w:tcBorders>
          <w:top w:val="double" w:sz="2" w:space="0" w:color="54D1FF" w:themeColor="accent1" w:themeTint="99"/>
        </w:tcBorders>
      </w:tcPr>
    </w:tblStylePr>
    <w:tblStylePr w:type="firstCol">
      <w:rPr>
        <w:b/>
        <w:bCs/>
      </w:rPr>
    </w:tblStylePr>
    <w:tblStylePr w:type="lastCol">
      <w:rPr>
        <w:b/>
        <w:bCs/>
      </w:rPr>
    </w:tblStylePr>
  </w:style>
  <w:style w:type="character" w:customStyle="1" w:styleId="titledefault">
    <w:name w:val="title_default"/>
    <w:basedOn w:val="Standardstycketeckensnitt"/>
    <w:rsid w:val="00B21336"/>
  </w:style>
  <w:style w:type="paragraph" w:customStyle="1" w:styleId="Normal2">
    <w:name w:val="Normal2"/>
    <w:basedOn w:val="Normal"/>
    <w:rsid w:val="00D8799E"/>
    <w:pPr>
      <w:tabs>
        <w:tab w:val="clear" w:pos="284"/>
      </w:tabs>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tableheading">
    <w:name w:val="tableheading"/>
    <w:basedOn w:val="Normal"/>
    <w:rsid w:val="00D8799E"/>
    <w:pPr>
      <w:tabs>
        <w:tab w:val="clear" w:pos="284"/>
      </w:tabs>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env-assistive-text">
    <w:name w:val="env-assistive-text"/>
    <w:basedOn w:val="Standardstycketeckensnitt"/>
    <w:rsid w:val="00D8799E"/>
  </w:style>
  <w:style w:type="paragraph" w:customStyle="1" w:styleId="Normal3">
    <w:name w:val="Normal3"/>
    <w:basedOn w:val="Normal"/>
    <w:rsid w:val="00564ED7"/>
    <w:pPr>
      <w:tabs>
        <w:tab w:val="clear" w:pos="284"/>
      </w:tabs>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Listtabell2dekorfrg2">
    <w:name w:val="List Table 2 Accent 2"/>
    <w:basedOn w:val="Normaltabell"/>
    <w:uiPriority w:val="47"/>
    <w:rsid w:val="00785831"/>
    <w:pPr>
      <w:spacing w:after="0" w:line="240" w:lineRule="auto"/>
    </w:pPr>
    <w:rPr>
      <w:rFonts w:cstheme="minorBidi"/>
      <w:lang w:val="sv-SE"/>
    </w:rPr>
    <w:tblPr>
      <w:tblStyleRowBandSize w:val="1"/>
      <w:tblStyleColBandSize w:val="1"/>
      <w:tblBorders>
        <w:top w:val="single" w:sz="4" w:space="0" w:color="1788FF" w:themeColor="accent2" w:themeTint="99"/>
        <w:bottom w:val="single" w:sz="4" w:space="0" w:color="1788FF" w:themeColor="accent2" w:themeTint="99"/>
        <w:insideH w:val="single" w:sz="4" w:space="0" w:color="178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7FF" w:themeFill="accent2" w:themeFillTint="33"/>
      </w:tcPr>
    </w:tblStylePr>
    <w:tblStylePr w:type="band1Horz">
      <w:tblPr/>
      <w:tcPr>
        <w:shd w:val="clear" w:color="auto" w:fill="B1D7FF" w:themeFill="accent2" w:themeFillTint="33"/>
      </w:tcPr>
    </w:tblStylePr>
  </w:style>
  <w:style w:type="table" w:customStyle="1" w:styleId="TableNormal">
    <w:name w:val="Table Normal"/>
    <w:uiPriority w:val="2"/>
    <w:semiHidden/>
    <w:unhideWhenUsed/>
    <w:qFormat/>
    <w:rsid w:val="00E0523D"/>
    <w:pPr>
      <w:widowControl w:val="0"/>
      <w:spacing w:after="0" w:line="240" w:lineRule="auto"/>
    </w:pPr>
    <w:rPr>
      <w:rFonts w:cstheme="minorBidi"/>
    </w:rPr>
    <w:tblPr>
      <w:tblInd w:w="0" w:type="dxa"/>
      <w:tblCellMar>
        <w:top w:w="0" w:type="dxa"/>
        <w:left w:w="0" w:type="dxa"/>
        <w:bottom w:w="0" w:type="dxa"/>
        <w:right w:w="0" w:type="dxa"/>
      </w:tblCellMar>
    </w:tblPr>
  </w:style>
  <w:style w:type="paragraph" w:customStyle="1" w:styleId="Normal4">
    <w:name w:val="Normal4"/>
    <w:basedOn w:val="Normal"/>
    <w:rsid w:val="00836043"/>
    <w:pPr>
      <w:tabs>
        <w:tab w:val="clear" w:pos="284"/>
      </w:tabs>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Normal5">
    <w:name w:val="Normal5"/>
    <w:basedOn w:val="Normal"/>
    <w:rsid w:val="004405B0"/>
    <w:pPr>
      <w:tabs>
        <w:tab w:val="clear" w:pos="284"/>
      </w:tabs>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Normal6">
    <w:name w:val="Normal6"/>
    <w:basedOn w:val="Normal"/>
    <w:rsid w:val="00B40ECE"/>
    <w:pPr>
      <w:tabs>
        <w:tab w:val="clear" w:pos="284"/>
      </w:tabs>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Normal7">
    <w:name w:val="Normal7"/>
    <w:basedOn w:val="Normal"/>
    <w:rsid w:val="00110B32"/>
    <w:pPr>
      <w:tabs>
        <w:tab w:val="clear" w:pos="284"/>
      </w:tabs>
      <w:spacing w:before="100" w:beforeAutospacing="1" w:after="100" w:afterAutospacing="1" w:line="240" w:lineRule="auto"/>
    </w:pPr>
    <w:rPr>
      <w:rFonts w:ascii="Times New Roman" w:hAnsi="Times New Roman" w:cs="Times New Roman"/>
      <w:sz w:val="24"/>
      <w:szCs w:val="24"/>
      <w:lang w:eastAsia="sv-SE"/>
    </w:rPr>
  </w:style>
  <w:style w:type="paragraph" w:customStyle="1" w:styleId="font-normal">
    <w:name w:val="font-normal"/>
    <w:basedOn w:val="Normal"/>
    <w:rsid w:val="00B37E6D"/>
    <w:pPr>
      <w:tabs>
        <w:tab w:val="clear" w:pos="284"/>
      </w:tabs>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Rutntstabell4dekorfrg2">
    <w:name w:val="Grid Table 4 Accent 2"/>
    <w:basedOn w:val="Normaltabell"/>
    <w:uiPriority w:val="49"/>
    <w:rsid w:val="0084029B"/>
    <w:pPr>
      <w:spacing w:after="0" w:line="240" w:lineRule="auto"/>
    </w:pPr>
    <w:tblPr>
      <w:tblStyleRowBandSize w:val="1"/>
      <w:tblStyleColBandSize w:val="1"/>
      <w:tblBorders>
        <w:top w:val="single" w:sz="4" w:space="0" w:color="1788FF" w:themeColor="accent2" w:themeTint="99"/>
        <w:left w:val="single" w:sz="4" w:space="0" w:color="1788FF" w:themeColor="accent2" w:themeTint="99"/>
        <w:bottom w:val="single" w:sz="4" w:space="0" w:color="1788FF" w:themeColor="accent2" w:themeTint="99"/>
        <w:right w:val="single" w:sz="4" w:space="0" w:color="1788FF" w:themeColor="accent2" w:themeTint="99"/>
        <w:insideH w:val="single" w:sz="4" w:space="0" w:color="1788FF" w:themeColor="accent2" w:themeTint="99"/>
        <w:insideV w:val="single" w:sz="4" w:space="0" w:color="1788FF" w:themeColor="accent2" w:themeTint="99"/>
      </w:tblBorders>
    </w:tblPr>
    <w:tblStylePr w:type="firstRow">
      <w:rPr>
        <w:b/>
        <w:bCs/>
        <w:color w:val="FFFFFF" w:themeColor="background1"/>
      </w:rPr>
      <w:tblPr/>
      <w:tcPr>
        <w:tcBorders>
          <w:top w:val="single" w:sz="4" w:space="0" w:color="003D7C" w:themeColor="accent2"/>
          <w:left w:val="single" w:sz="4" w:space="0" w:color="003D7C" w:themeColor="accent2"/>
          <w:bottom w:val="single" w:sz="4" w:space="0" w:color="003D7C" w:themeColor="accent2"/>
          <w:right w:val="single" w:sz="4" w:space="0" w:color="003D7C" w:themeColor="accent2"/>
          <w:insideH w:val="nil"/>
          <w:insideV w:val="nil"/>
        </w:tcBorders>
        <w:shd w:val="clear" w:color="auto" w:fill="003D7C" w:themeFill="accent2"/>
      </w:tcPr>
    </w:tblStylePr>
    <w:tblStylePr w:type="lastRow">
      <w:rPr>
        <w:b/>
        <w:bCs/>
      </w:rPr>
      <w:tblPr/>
      <w:tcPr>
        <w:tcBorders>
          <w:top w:val="double" w:sz="4" w:space="0" w:color="003D7C" w:themeColor="accent2"/>
        </w:tcBorders>
      </w:tcPr>
    </w:tblStylePr>
    <w:tblStylePr w:type="firstCol">
      <w:rPr>
        <w:b/>
        <w:bCs/>
      </w:rPr>
    </w:tblStylePr>
    <w:tblStylePr w:type="lastCol">
      <w:rPr>
        <w:b/>
        <w:bCs/>
      </w:rPr>
    </w:tblStylePr>
    <w:tblStylePr w:type="band1Vert">
      <w:tblPr/>
      <w:tcPr>
        <w:shd w:val="clear" w:color="auto" w:fill="B1D7FF" w:themeFill="accent2" w:themeFillTint="33"/>
      </w:tcPr>
    </w:tblStylePr>
    <w:tblStylePr w:type="band1Horz">
      <w:tblPr/>
      <w:tcPr>
        <w:shd w:val="clear" w:color="auto" w:fill="B1D7FF" w:themeFill="accent2" w:themeFillTint="33"/>
      </w:tcPr>
    </w:tblStylePr>
  </w:style>
  <w:style w:type="table" w:styleId="Rutntstabell3dekorfrg2">
    <w:name w:val="Grid Table 3 Accent 2"/>
    <w:basedOn w:val="Normaltabell"/>
    <w:uiPriority w:val="48"/>
    <w:rsid w:val="0074231F"/>
    <w:pPr>
      <w:spacing w:after="0" w:line="240" w:lineRule="auto"/>
    </w:pPr>
    <w:tblPr>
      <w:tblStyleRowBandSize w:val="1"/>
      <w:tblStyleColBandSize w:val="1"/>
      <w:tblBorders>
        <w:top w:val="single" w:sz="4" w:space="0" w:color="1788FF" w:themeColor="accent2" w:themeTint="99"/>
        <w:left w:val="single" w:sz="4" w:space="0" w:color="1788FF" w:themeColor="accent2" w:themeTint="99"/>
        <w:bottom w:val="single" w:sz="4" w:space="0" w:color="1788FF" w:themeColor="accent2" w:themeTint="99"/>
        <w:right w:val="single" w:sz="4" w:space="0" w:color="1788FF" w:themeColor="accent2" w:themeTint="99"/>
        <w:insideH w:val="single" w:sz="4" w:space="0" w:color="1788FF" w:themeColor="accent2" w:themeTint="99"/>
        <w:insideV w:val="single" w:sz="4" w:space="0" w:color="178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D7FF" w:themeFill="accent2" w:themeFillTint="33"/>
      </w:tcPr>
    </w:tblStylePr>
    <w:tblStylePr w:type="band1Horz">
      <w:tblPr/>
      <w:tcPr>
        <w:shd w:val="clear" w:color="auto" w:fill="B1D7FF" w:themeFill="accent2" w:themeFillTint="33"/>
      </w:tcPr>
    </w:tblStylePr>
    <w:tblStylePr w:type="neCell">
      <w:tblPr/>
      <w:tcPr>
        <w:tcBorders>
          <w:bottom w:val="single" w:sz="4" w:space="0" w:color="1788FF" w:themeColor="accent2" w:themeTint="99"/>
        </w:tcBorders>
      </w:tcPr>
    </w:tblStylePr>
    <w:tblStylePr w:type="nwCell">
      <w:tblPr/>
      <w:tcPr>
        <w:tcBorders>
          <w:bottom w:val="single" w:sz="4" w:space="0" w:color="1788FF" w:themeColor="accent2" w:themeTint="99"/>
        </w:tcBorders>
      </w:tcPr>
    </w:tblStylePr>
    <w:tblStylePr w:type="seCell">
      <w:tblPr/>
      <w:tcPr>
        <w:tcBorders>
          <w:top w:val="single" w:sz="4" w:space="0" w:color="1788FF" w:themeColor="accent2" w:themeTint="99"/>
        </w:tcBorders>
      </w:tcPr>
    </w:tblStylePr>
    <w:tblStylePr w:type="swCell">
      <w:tblPr/>
      <w:tcPr>
        <w:tcBorders>
          <w:top w:val="single" w:sz="4" w:space="0" w:color="1788FF" w:themeColor="accent2" w:themeTint="99"/>
        </w:tcBorders>
      </w:tcPr>
    </w:tblStylePr>
  </w:style>
  <w:style w:type="table" w:styleId="Listtabell7frgstarkdekorfrg1">
    <w:name w:val="List Table 7 Colorful Accent 1"/>
    <w:basedOn w:val="Normaltabell"/>
    <w:uiPriority w:val="52"/>
    <w:rsid w:val="0074231F"/>
    <w:pPr>
      <w:spacing w:after="0" w:line="240" w:lineRule="auto"/>
    </w:pPr>
    <w:rPr>
      <w:color w:val="007BA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6E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6E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6E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6E2" w:themeColor="accent1"/>
        </w:tcBorders>
        <w:shd w:val="clear" w:color="auto" w:fill="FFFFFF" w:themeFill="background1"/>
      </w:tcPr>
    </w:tblStylePr>
    <w:tblStylePr w:type="band1Vert">
      <w:tblPr/>
      <w:tcPr>
        <w:shd w:val="clear" w:color="auto" w:fill="C6EFFF" w:themeFill="accent1" w:themeFillTint="33"/>
      </w:tcPr>
    </w:tblStylePr>
    <w:tblStylePr w:type="band1Horz">
      <w:tblPr/>
      <w:tcPr>
        <w:shd w:val="clear" w:color="auto" w:fill="C6E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f01">
    <w:name w:val="cf01"/>
    <w:basedOn w:val="Standardstycketeckensnitt"/>
    <w:rsid w:val="00F75B02"/>
    <w:rPr>
      <w:rFonts w:ascii="Segoe UI" w:hAnsi="Segoe UI" w:cs="Segoe UI" w:hint="default"/>
      <w:sz w:val="18"/>
      <w:szCs w:val="18"/>
    </w:rPr>
  </w:style>
  <w:style w:type="table" w:styleId="Rutntstabell3dekorfrg1">
    <w:name w:val="Grid Table 3 Accent 1"/>
    <w:basedOn w:val="Normaltabell"/>
    <w:uiPriority w:val="48"/>
    <w:rsid w:val="00F75B02"/>
    <w:pPr>
      <w:spacing w:after="0" w:line="240" w:lineRule="auto"/>
    </w:pPr>
    <w:tblPr>
      <w:tblStyleRowBandSize w:val="1"/>
      <w:tblStyleColBandSize w:val="1"/>
      <w:tblBorders>
        <w:top w:val="single" w:sz="4" w:space="0" w:color="54D1FF" w:themeColor="accent1" w:themeTint="99"/>
        <w:left w:val="single" w:sz="4" w:space="0" w:color="54D1FF" w:themeColor="accent1" w:themeTint="99"/>
        <w:bottom w:val="single" w:sz="4" w:space="0" w:color="54D1FF" w:themeColor="accent1" w:themeTint="99"/>
        <w:right w:val="single" w:sz="4" w:space="0" w:color="54D1FF" w:themeColor="accent1" w:themeTint="99"/>
        <w:insideH w:val="single" w:sz="4" w:space="0" w:color="54D1FF" w:themeColor="accent1" w:themeTint="99"/>
        <w:insideV w:val="single" w:sz="4" w:space="0" w:color="54D1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FFF" w:themeFill="accent1" w:themeFillTint="33"/>
      </w:tcPr>
    </w:tblStylePr>
    <w:tblStylePr w:type="band1Horz">
      <w:tblPr/>
      <w:tcPr>
        <w:shd w:val="clear" w:color="auto" w:fill="C6EFFF" w:themeFill="accent1" w:themeFillTint="33"/>
      </w:tcPr>
    </w:tblStylePr>
    <w:tblStylePr w:type="neCell">
      <w:tblPr/>
      <w:tcPr>
        <w:tcBorders>
          <w:bottom w:val="single" w:sz="4" w:space="0" w:color="54D1FF" w:themeColor="accent1" w:themeTint="99"/>
        </w:tcBorders>
      </w:tcPr>
    </w:tblStylePr>
    <w:tblStylePr w:type="nwCell">
      <w:tblPr/>
      <w:tcPr>
        <w:tcBorders>
          <w:bottom w:val="single" w:sz="4" w:space="0" w:color="54D1FF" w:themeColor="accent1" w:themeTint="99"/>
        </w:tcBorders>
      </w:tcPr>
    </w:tblStylePr>
    <w:tblStylePr w:type="seCell">
      <w:tblPr/>
      <w:tcPr>
        <w:tcBorders>
          <w:top w:val="single" w:sz="4" w:space="0" w:color="54D1FF" w:themeColor="accent1" w:themeTint="99"/>
        </w:tcBorders>
      </w:tcPr>
    </w:tblStylePr>
    <w:tblStylePr w:type="swCell">
      <w:tblPr/>
      <w:tcPr>
        <w:tcBorders>
          <w:top w:val="single" w:sz="4" w:space="0" w:color="54D1FF" w:themeColor="accent1" w:themeTint="99"/>
        </w:tcBorders>
      </w:tcPr>
    </w:tblStylePr>
  </w:style>
  <w:style w:type="table" w:styleId="Rutntstabell7frgstarkdekorfrg2">
    <w:name w:val="Grid Table 7 Colorful Accent 2"/>
    <w:basedOn w:val="Normaltabell"/>
    <w:uiPriority w:val="52"/>
    <w:rsid w:val="0013523B"/>
    <w:pPr>
      <w:spacing w:after="0" w:line="240" w:lineRule="auto"/>
    </w:pPr>
    <w:rPr>
      <w:color w:val="002D5C" w:themeColor="accent2" w:themeShade="BF"/>
    </w:rPr>
    <w:tblPr>
      <w:tblStyleRowBandSize w:val="1"/>
      <w:tblStyleColBandSize w:val="1"/>
      <w:tblBorders>
        <w:top w:val="single" w:sz="4" w:space="0" w:color="1788FF" w:themeColor="accent2" w:themeTint="99"/>
        <w:left w:val="single" w:sz="4" w:space="0" w:color="1788FF" w:themeColor="accent2" w:themeTint="99"/>
        <w:bottom w:val="single" w:sz="4" w:space="0" w:color="1788FF" w:themeColor="accent2" w:themeTint="99"/>
        <w:right w:val="single" w:sz="4" w:space="0" w:color="1788FF" w:themeColor="accent2" w:themeTint="99"/>
        <w:insideH w:val="single" w:sz="4" w:space="0" w:color="1788FF" w:themeColor="accent2" w:themeTint="99"/>
        <w:insideV w:val="single" w:sz="4" w:space="0" w:color="178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D7FF" w:themeFill="accent2" w:themeFillTint="33"/>
      </w:tcPr>
    </w:tblStylePr>
    <w:tblStylePr w:type="band1Horz">
      <w:tblPr/>
      <w:tcPr>
        <w:shd w:val="clear" w:color="auto" w:fill="B1D7FF" w:themeFill="accent2" w:themeFillTint="33"/>
      </w:tcPr>
    </w:tblStylePr>
    <w:tblStylePr w:type="neCell">
      <w:tblPr/>
      <w:tcPr>
        <w:tcBorders>
          <w:bottom w:val="single" w:sz="4" w:space="0" w:color="1788FF" w:themeColor="accent2" w:themeTint="99"/>
        </w:tcBorders>
      </w:tcPr>
    </w:tblStylePr>
    <w:tblStylePr w:type="nwCell">
      <w:tblPr/>
      <w:tcPr>
        <w:tcBorders>
          <w:bottom w:val="single" w:sz="4" w:space="0" w:color="1788FF" w:themeColor="accent2" w:themeTint="99"/>
        </w:tcBorders>
      </w:tcPr>
    </w:tblStylePr>
    <w:tblStylePr w:type="seCell">
      <w:tblPr/>
      <w:tcPr>
        <w:tcBorders>
          <w:top w:val="single" w:sz="4" w:space="0" w:color="1788FF" w:themeColor="accent2" w:themeTint="99"/>
        </w:tcBorders>
      </w:tcPr>
    </w:tblStylePr>
    <w:tblStylePr w:type="swCell">
      <w:tblPr/>
      <w:tcPr>
        <w:tcBorders>
          <w:top w:val="single" w:sz="4" w:space="0" w:color="1788FF" w:themeColor="accent2" w:themeTint="99"/>
        </w:tcBorders>
      </w:tcPr>
    </w:tblStylePr>
  </w:style>
  <w:style w:type="paragraph" w:styleId="Oformateradtext">
    <w:name w:val="Plain Text"/>
    <w:basedOn w:val="Normal"/>
    <w:link w:val="OformateradtextChar"/>
    <w:uiPriority w:val="99"/>
    <w:unhideWhenUsed/>
    <w:rsid w:val="00953B76"/>
    <w:pPr>
      <w:tabs>
        <w:tab w:val="clear" w:pos="284"/>
      </w:tabs>
      <w:spacing w:line="240" w:lineRule="auto"/>
    </w:pPr>
    <w:rPr>
      <w:rFonts w:ascii="Calibri" w:eastAsia="Times New Roman" w:hAnsi="Calibri" w:cs="Calibri"/>
      <w:sz w:val="24"/>
      <w:szCs w:val="21"/>
      <w:lang w:eastAsia="sv-SE"/>
      <w14:numForm w14:val="lining"/>
    </w:rPr>
  </w:style>
  <w:style w:type="character" w:customStyle="1" w:styleId="OformateradtextChar">
    <w:name w:val="Oformaterad text Char"/>
    <w:basedOn w:val="Standardstycketeckensnitt"/>
    <w:link w:val="Oformateradtext"/>
    <w:uiPriority w:val="99"/>
    <w:rsid w:val="00953B76"/>
    <w:rPr>
      <w:rFonts w:ascii="Calibri" w:eastAsia="Times New Roman" w:hAnsi="Calibri" w:cs="Calibri"/>
      <w:sz w:val="24"/>
      <w:szCs w:val="21"/>
      <w:lang w:val="sv-SE" w:eastAsia="sv-SE"/>
      <w14:numForm w14:val="lining"/>
    </w:rPr>
  </w:style>
  <w:style w:type="paragraph" w:customStyle="1" w:styleId="pf0">
    <w:name w:val="pf0"/>
    <w:basedOn w:val="Normal"/>
    <w:rsid w:val="007A1826"/>
    <w:pPr>
      <w:tabs>
        <w:tab w:val="clear" w:pos="284"/>
      </w:tabs>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p1">
    <w:name w:val="p1"/>
    <w:basedOn w:val="Normal"/>
    <w:rsid w:val="006A371B"/>
    <w:pPr>
      <w:tabs>
        <w:tab w:val="clear" w:pos="284"/>
      </w:tabs>
      <w:spacing w:before="100" w:beforeAutospacing="1" w:after="100" w:afterAutospacing="1" w:line="240" w:lineRule="auto"/>
    </w:pPr>
    <w:rPr>
      <w:rFonts w:ascii="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7396868">
      <w:bodyDiv w:val="1"/>
      <w:marLeft w:val="0"/>
      <w:marRight w:val="0"/>
      <w:marTop w:val="0"/>
      <w:marBottom w:val="0"/>
      <w:divBdr>
        <w:top w:val="none" w:sz="0" w:space="0" w:color="auto"/>
        <w:left w:val="none" w:sz="0" w:space="0" w:color="auto"/>
        <w:bottom w:val="none" w:sz="0" w:space="0" w:color="auto"/>
        <w:right w:val="none" w:sz="0" w:space="0" w:color="auto"/>
      </w:divBdr>
    </w:div>
    <w:div w:id="298345026">
      <w:bodyDiv w:val="1"/>
      <w:marLeft w:val="0"/>
      <w:marRight w:val="0"/>
      <w:marTop w:val="0"/>
      <w:marBottom w:val="0"/>
      <w:divBdr>
        <w:top w:val="none" w:sz="0" w:space="0" w:color="auto"/>
        <w:left w:val="none" w:sz="0" w:space="0" w:color="auto"/>
        <w:bottom w:val="none" w:sz="0" w:space="0" w:color="auto"/>
        <w:right w:val="none" w:sz="0" w:space="0" w:color="auto"/>
      </w:divBdr>
    </w:div>
    <w:div w:id="473723111">
      <w:bodyDiv w:val="1"/>
      <w:marLeft w:val="0"/>
      <w:marRight w:val="0"/>
      <w:marTop w:val="0"/>
      <w:marBottom w:val="0"/>
      <w:divBdr>
        <w:top w:val="none" w:sz="0" w:space="0" w:color="auto"/>
        <w:left w:val="none" w:sz="0" w:space="0" w:color="auto"/>
        <w:bottom w:val="none" w:sz="0" w:space="0" w:color="auto"/>
        <w:right w:val="none" w:sz="0" w:space="0" w:color="auto"/>
      </w:divBdr>
    </w:div>
    <w:div w:id="486475552">
      <w:bodyDiv w:val="1"/>
      <w:marLeft w:val="0"/>
      <w:marRight w:val="0"/>
      <w:marTop w:val="0"/>
      <w:marBottom w:val="0"/>
      <w:divBdr>
        <w:top w:val="none" w:sz="0" w:space="0" w:color="auto"/>
        <w:left w:val="none" w:sz="0" w:space="0" w:color="auto"/>
        <w:bottom w:val="none" w:sz="0" w:space="0" w:color="auto"/>
        <w:right w:val="none" w:sz="0" w:space="0" w:color="auto"/>
      </w:divBdr>
    </w:div>
    <w:div w:id="486746474">
      <w:bodyDiv w:val="1"/>
      <w:marLeft w:val="0"/>
      <w:marRight w:val="0"/>
      <w:marTop w:val="0"/>
      <w:marBottom w:val="0"/>
      <w:divBdr>
        <w:top w:val="none" w:sz="0" w:space="0" w:color="auto"/>
        <w:left w:val="none" w:sz="0" w:space="0" w:color="auto"/>
        <w:bottom w:val="none" w:sz="0" w:space="0" w:color="auto"/>
        <w:right w:val="none" w:sz="0" w:space="0" w:color="auto"/>
      </w:divBdr>
    </w:div>
    <w:div w:id="512884791">
      <w:bodyDiv w:val="1"/>
      <w:marLeft w:val="0"/>
      <w:marRight w:val="0"/>
      <w:marTop w:val="0"/>
      <w:marBottom w:val="0"/>
      <w:divBdr>
        <w:top w:val="none" w:sz="0" w:space="0" w:color="auto"/>
        <w:left w:val="none" w:sz="0" w:space="0" w:color="auto"/>
        <w:bottom w:val="none" w:sz="0" w:space="0" w:color="auto"/>
        <w:right w:val="none" w:sz="0" w:space="0" w:color="auto"/>
      </w:divBdr>
    </w:div>
    <w:div w:id="563956945">
      <w:bodyDiv w:val="1"/>
      <w:marLeft w:val="0"/>
      <w:marRight w:val="0"/>
      <w:marTop w:val="0"/>
      <w:marBottom w:val="0"/>
      <w:divBdr>
        <w:top w:val="none" w:sz="0" w:space="0" w:color="auto"/>
        <w:left w:val="none" w:sz="0" w:space="0" w:color="auto"/>
        <w:bottom w:val="none" w:sz="0" w:space="0" w:color="auto"/>
        <w:right w:val="none" w:sz="0" w:space="0" w:color="auto"/>
      </w:divBdr>
    </w:div>
    <w:div w:id="624851381">
      <w:bodyDiv w:val="1"/>
      <w:marLeft w:val="0"/>
      <w:marRight w:val="0"/>
      <w:marTop w:val="0"/>
      <w:marBottom w:val="0"/>
      <w:divBdr>
        <w:top w:val="none" w:sz="0" w:space="0" w:color="auto"/>
        <w:left w:val="none" w:sz="0" w:space="0" w:color="auto"/>
        <w:bottom w:val="none" w:sz="0" w:space="0" w:color="auto"/>
        <w:right w:val="none" w:sz="0" w:space="0" w:color="auto"/>
      </w:divBdr>
    </w:div>
    <w:div w:id="922878929">
      <w:bodyDiv w:val="1"/>
      <w:marLeft w:val="0"/>
      <w:marRight w:val="0"/>
      <w:marTop w:val="0"/>
      <w:marBottom w:val="0"/>
      <w:divBdr>
        <w:top w:val="none" w:sz="0" w:space="0" w:color="auto"/>
        <w:left w:val="none" w:sz="0" w:space="0" w:color="auto"/>
        <w:bottom w:val="none" w:sz="0" w:space="0" w:color="auto"/>
        <w:right w:val="none" w:sz="0" w:space="0" w:color="auto"/>
      </w:divBdr>
    </w:div>
    <w:div w:id="941960228">
      <w:bodyDiv w:val="1"/>
      <w:marLeft w:val="0"/>
      <w:marRight w:val="0"/>
      <w:marTop w:val="0"/>
      <w:marBottom w:val="0"/>
      <w:divBdr>
        <w:top w:val="none" w:sz="0" w:space="0" w:color="auto"/>
        <w:left w:val="none" w:sz="0" w:space="0" w:color="auto"/>
        <w:bottom w:val="none" w:sz="0" w:space="0" w:color="auto"/>
        <w:right w:val="none" w:sz="0" w:space="0" w:color="auto"/>
      </w:divBdr>
    </w:div>
    <w:div w:id="985402368">
      <w:bodyDiv w:val="1"/>
      <w:marLeft w:val="0"/>
      <w:marRight w:val="0"/>
      <w:marTop w:val="0"/>
      <w:marBottom w:val="0"/>
      <w:divBdr>
        <w:top w:val="none" w:sz="0" w:space="0" w:color="auto"/>
        <w:left w:val="none" w:sz="0" w:space="0" w:color="auto"/>
        <w:bottom w:val="none" w:sz="0" w:space="0" w:color="auto"/>
        <w:right w:val="none" w:sz="0" w:space="0" w:color="auto"/>
      </w:divBdr>
    </w:div>
    <w:div w:id="1009723762">
      <w:bodyDiv w:val="1"/>
      <w:marLeft w:val="0"/>
      <w:marRight w:val="0"/>
      <w:marTop w:val="0"/>
      <w:marBottom w:val="0"/>
      <w:divBdr>
        <w:top w:val="none" w:sz="0" w:space="0" w:color="auto"/>
        <w:left w:val="none" w:sz="0" w:space="0" w:color="auto"/>
        <w:bottom w:val="none" w:sz="0" w:space="0" w:color="auto"/>
        <w:right w:val="none" w:sz="0" w:space="0" w:color="auto"/>
      </w:divBdr>
    </w:div>
    <w:div w:id="1159463563">
      <w:bodyDiv w:val="1"/>
      <w:marLeft w:val="0"/>
      <w:marRight w:val="0"/>
      <w:marTop w:val="0"/>
      <w:marBottom w:val="0"/>
      <w:divBdr>
        <w:top w:val="none" w:sz="0" w:space="0" w:color="auto"/>
        <w:left w:val="none" w:sz="0" w:space="0" w:color="auto"/>
        <w:bottom w:val="none" w:sz="0" w:space="0" w:color="auto"/>
        <w:right w:val="none" w:sz="0" w:space="0" w:color="auto"/>
      </w:divBdr>
      <w:divsChild>
        <w:div w:id="1775055009">
          <w:marLeft w:val="0"/>
          <w:marRight w:val="0"/>
          <w:marTop w:val="0"/>
          <w:marBottom w:val="0"/>
          <w:divBdr>
            <w:top w:val="none" w:sz="0" w:space="0" w:color="auto"/>
            <w:left w:val="none" w:sz="0" w:space="0" w:color="auto"/>
            <w:bottom w:val="none" w:sz="0" w:space="0" w:color="auto"/>
            <w:right w:val="none" w:sz="0" w:space="0" w:color="auto"/>
          </w:divBdr>
          <w:divsChild>
            <w:div w:id="510296022">
              <w:marLeft w:val="0"/>
              <w:marRight w:val="0"/>
              <w:marTop w:val="0"/>
              <w:marBottom w:val="0"/>
              <w:divBdr>
                <w:top w:val="none" w:sz="0" w:space="0" w:color="auto"/>
                <w:left w:val="none" w:sz="0" w:space="0" w:color="auto"/>
                <w:bottom w:val="none" w:sz="0" w:space="0" w:color="auto"/>
                <w:right w:val="none" w:sz="0" w:space="0" w:color="auto"/>
              </w:divBdr>
            </w:div>
          </w:divsChild>
        </w:div>
        <w:div w:id="955913773">
          <w:marLeft w:val="0"/>
          <w:marRight w:val="0"/>
          <w:marTop w:val="0"/>
          <w:marBottom w:val="0"/>
          <w:divBdr>
            <w:top w:val="none" w:sz="0" w:space="0" w:color="auto"/>
            <w:left w:val="none" w:sz="0" w:space="0" w:color="auto"/>
            <w:bottom w:val="none" w:sz="0" w:space="0" w:color="auto"/>
            <w:right w:val="none" w:sz="0" w:space="0" w:color="auto"/>
          </w:divBdr>
          <w:divsChild>
            <w:div w:id="15508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662425">
      <w:bodyDiv w:val="1"/>
      <w:marLeft w:val="0"/>
      <w:marRight w:val="0"/>
      <w:marTop w:val="0"/>
      <w:marBottom w:val="0"/>
      <w:divBdr>
        <w:top w:val="none" w:sz="0" w:space="0" w:color="auto"/>
        <w:left w:val="none" w:sz="0" w:space="0" w:color="auto"/>
        <w:bottom w:val="none" w:sz="0" w:space="0" w:color="auto"/>
        <w:right w:val="none" w:sz="0" w:space="0" w:color="auto"/>
      </w:divBdr>
    </w:div>
    <w:div w:id="1433475510">
      <w:bodyDiv w:val="1"/>
      <w:marLeft w:val="0"/>
      <w:marRight w:val="0"/>
      <w:marTop w:val="0"/>
      <w:marBottom w:val="0"/>
      <w:divBdr>
        <w:top w:val="none" w:sz="0" w:space="0" w:color="auto"/>
        <w:left w:val="none" w:sz="0" w:space="0" w:color="auto"/>
        <w:bottom w:val="none" w:sz="0" w:space="0" w:color="auto"/>
        <w:right w:val="none" w:sz="0" w:space="0" w:color="auto"/>
      </w:divBdr>
    </w:div>
    <w:div w:id="1593778367">
      <w:bodyDiv w:val="1"/>
      <w:marLeft w:val="0"/>
      <w:marRight w:val="0"/>
      <w:marTop w:val="0"/>
      <w:marBottom w:val="0"/>
      <w:divBdr>
        <w:top w:val="none" w:sz="0" w:space="0" w:color="auto"/>
        <w:left w:val="none" w:sz="0" w:space="0" w:color="auto"/>
        <w:bottom w:val="none" w:sz="0" w:space="0" w:color="auto"/>
        <w:right w:val="none" w:sz="0" w:space="0" w:color="auto"/>
      </w:divBdr>
    </w:div>
    <w:div w:id="1683822617">
      <w:bodyDiv w:val="1"/>
      <w:marLeft w:val="0"/>
      <w:marRight w:val="0"/>
      <w:marTop w:val="0"/>
      <w:marBottom w:val="0"/>
      <w:divBdr>
        <w:top w:val="none" w:sz="0" w:space="0" w:color="auto"/>
        <w:left w:val="none" w:sz="0" w:space="0" w:color="auto"/>
        <w:bottom w:val="none" w:sz="0" w:space="0" w:color="auto"/>
        <w:right w:val="none" w:sz="0" w:space="0" w:color="auto"/>
      </w:divBdr>
    </w:div>
    <w:div w:id="1695838269">
      <w:bodyDiv w:val="1"/>
      <w:marLeft w:val="0"/>
      <w:marRight w:val="0"/>
      <w:marTop w:val="0"/>
      <w:marBottom w:val="0"/>
      <w:divBdr>
        <w:top w:val="none" w:sz="0" w:space="0" w:color="auto"/>
        <w:left w:val="none" w:sz="0" w:space="0" w:color="auto"/>
        <w:bottom w:val="none" w:sz="0" w:space="0" w:color="auto"/>
        <w:right w:val="none" w:sz="0" w:space="0" w:color="auto"/>
      </w:divBdr>
    </w:div>
    <w:div w:id="1749689640">
      <w:bodyDiv w:val="1"/>
      <w:marLeft w:val="0"/>
      <w:marRight w:val="0"/>
      <w:marTop w:val="0"/>
      <w:marBottom w:val="0"/>
      <w:divBdr>
        <w:top w:val="none" w:sz="0" w:space="0" w:color="auto"/>
        <w:left w:val="none" w:sz="0" w:space="0" w:color="auto"/>
        <w:bottom w:val="none" w:sz="0" w:space="0" w:color="auto"/>
        <w:right w:val="none" w:sz="0" w:space="0" w:color="auto"/>
      </w:divBdr>
    </w:div>
    <w:div w:id="178049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1177.se/Blekinge/sa-fungerar-varden/kostnader-och-ersattningar/kostnader-och-ersattningar-inom-tandvard/sarskilt-tandvardsbidrag/" TargetMode="External"/><Relationship Id="rId21" Type="http://schemas.openxmlformats.org/officeDocument/2006/relationships/hyperlink" Target="https://registercentrum.blob.core.windows.net/lvr/r/ACT-Test-Barn-4-11-r--Hkxhh6C5VK.pdf" TargetMode="External"/><Relationship Id="rId42" Type="http://schemas.openxmlformats.org/officeDocument/2006/relationships/image" Target="media/image17.png"/><Relationship Id="rId63" Type="http://schemas.openxmlformats.org/officeDocument/2006/relationships/hyperlink" Target="http://www.diabetes.ascensia.se/sjukvardspersonal/ny-iso-standard" TargetMode="External"/><Relationship Id="rId84" Type="http://schemas.openxmlformats.org/officeDocument/2006/relationships/hyperlink" Target="http://www.ncbi.nlm.nih.gov/pubmed/20802247" TargetMode="External"/><Relationship Id="rId138" Type="http://schemas.openxmlformats.org/officeDocument/2006/relationships/hyperlink" Target="https://www.socialstyrelsen.se/kunskapsstod-och-regler/omraden/evidensbaserad-praktik/metodguiden/kbt-kognitiv-beteendeterapi/" TargetMode="External"/><Relationship Id="rId159" Type="http://schemas.openxmlformats.org/officeDocument/2006/relationships/header" Target="header5.xml"/><Relationship Id="rId170" Type="http://schemas.openxmlformats.org/officeDocument/2006/relationships/hyperlink" Target="https://www.socialstyrelsen.se/utveckla-verksamhet/evidensbaserad-praktik/metodguiden/audit-alcohol-use-disorders-identification-test/" TargetMode="External"/><Relationship Id="rId191" Type="http://schemas.openxmlformats.org/officeDocument/2006/relationships/hyperlink" Target="https://www.sbu.se/sv/publikationer/SBU-utvarderar/metoder-for-behandling-av-langvarig-smarta/" TargetMode="External"/><Relationship Id="rId205" Type="http://schemas.openxmlformats.org/officeDocument/2006/relationships/hyperlink" Target="https://www.lakemedelsverket.se/sv/behandling-och-forskrivning/behandlingsrekommendationer/sok-behandlingsrekommendationer/behandling-av-barn-och-ungdomar-i-samband-med-smartsamma-procedurer--kunskapsdokument" TargetMode="External"/><Relationship Id="rId107" Type="http://schemas.openxmlformats.org/officeDocument/2006/relationships/hyperlink" Target="https://www.sbu.se/sv/publikationer/SBU-utvarderar/att-forebygga-karies/" TargetMode="External"/><Relationship Id="rId11" Type="http://schemas.openxmlformats.org/officeDocument/2006/relationships/hyperlink" Target="http://www.woundsinternational.com" TargetMode="External"/><Relationship Id="rId32" Type="http://schemas.openxmlformats.org/officeDocument/2006/relationships/image" Target="media/image11.png"/><Relationship Id="rId53" Type="http://schemas.openxmlformats.org/officeDocument/2006/relationships/hyperlink" Target="http://www.ndr.nu" TargetMode="External"/><Relationship Id="rId74" Type="http://schemas.openxmlformats.org/officeDocument/2006/relationships/hyperlink" Target="http://www.internetmedicin.se" TargetMode="External"/><Relationship Id="rId128" Type="http://schemas.openxmlformats.org/officeDocument/2006/relationships/hyperlink" Target="https://janusinfo.se/behandling/expertgruppsutlatanden/nervsystemetssjukdomar/nervsystemetssjukdomar/behandlingavrestlesslegshosvuxna.5.3daa1b3d160c00a26d237a9.html" TargetMode="External"/><Relationship Id="rId149" Type="http://schemas.openxmlformats.org/officeDocument/2006/relationships/hyperlink" Target="https://www.praktiskmedicin.se/sjukdomar/serotoninergt-syndrom-serotonergt-syndrom/" TargetMode="External"/><Relationship Id="rId5" Type="http://schemas.openxmlformats.org/officeDocument/2006/relationships/webSettings" Target="webSettings.xml"/><Relationship Id="rId95" Type="http://schemas.openxmlformats.org/officeDocument/2006/relationships/hyperlink" Target="https://intranatet.ltblekinge.org/teams/PM_och_vardprogram/blekingesjukhuset/hud/SitePages/Startsida.aspx" TargetMode="External"/><Relationship Id="rId160" Type="http://schemas.openxmlformats.org/officeDocument/2006/relationships/footer" Target="footer5.xml"/><Relationship Id="rId181" Type="http://schemas.openxmlformats.org/officeDocument/2006/relationships/hyperlink" Target="https://www.demenscentrum.se/" TargetMode="External"/><Relationship Id="rId22" Type="http://schemas.openxmlformats.org/officeDocument/2006/relationships/hyperlink" Target="https://www.jobbafrisk.se/" TargetMode="External"/><Relationship Id="rId43" Type="http://schemas.openxmlformats.org/officeDocument/2006/relationships/image" Target="media/image18.png"/><Relationship Id="rId64" Type="http://schemas.openxmlformats.org/officeDocument/2006/relationships/hyperlink" Target="https://www.equalis.se/sv/produkter-tjanster/kunskapsstod/skup/" TargetMode="External"/><Relationship Id="rId118" Type="http://schemas.openxmlformats.org/officeDocument/2006/relationships/hyperlink" Target="https://www.1177.se/Blekinge/sa-fungerar-varden/kostnader-och-ersattningar/kostnader-och-ersattningar-inom-tandvard/tandvard-om-du-har-en-funktionsnedsattning/" TargetMode="External"/><Relationship Id="rId139" Type="http://schemas.openxmlformats.org/officeDocument/2006/relationships/hyperlink" Target="https://www.socialstyrelsen.se/kunskapsstod-och-regler/omraden/evidensbaserad-praktik/metodguiden/aterfallsprevention/" TargetMode="External"/><Relationship Id="rId85" Type="http://schemas.openxmlformats.org/officeDocument/2006/relationships/hyperlink" Target="http://www.ncbi.nlm.nih.gov/pubmed/19762550" TargetMode="External"/><Relationship Id="rId150" Type="http://schemas.openxmlformats.org/officeDocument/2006/relationships/hyperlink" Target="http://www.fasut.nu/images/FAS%20UT3_2010.pdf" TargetMode="External"/><Relationship Id="rId171" Type="http://schemas.openxmlformats.org/officeDocument/2006/relationships/hyperlink" Target="https://kunskapsstodforvardgivare.se/omraden/psykisk-halsa/skattningsskalor/skattningsskalor" TargetMode="External"/><Relationship Id="rId192" Type="http://schemas.openxmlformats.org/officeDocument/2006/relationships/hyperlink" Target="https://www.lakemedelsverket.se/sv/behandling-och-forskrivning/behandlingsrekommendationer/sok-behandlingsrekommendationer/lakemedel-vid-langvarig-smarta-hos-barn-och-vuxna--behandlingsrekommendation" TargetMode="External"/><Relationship Id="rId206" Type="http://schemas.openxmlformats.org/officeDocument/2006/relationships/hyperlink" Target="https://lakartidningen.se/klinik-och-vetenskap-1/2008/03/fa-smartmottagningar-for-barn/" TargetMode="External"/><Relationship Id="rId12" Type="http://schemas.openxmlformats.org/officeDocument/2006/relationships/hyperlink" Target="http://www.woundsinternational.com/" TargetMode="External"/><Relationship Id="rId33" Type="http://schemas.openxmlformats.org/officeDocument/2006/relationships/image" Target="media/image12.png"/><Relationship Id="rId108" Type="http://schemas.openxmlformats.org/officeDocument/2006/relationships/hyperlink" Target="https://www.socialstyrelsen.se/globalassets/sharepoint-dokument/artikelkatalog/nationella-riktlinjer/2021-9-7549-tandvard-kunskapsunderlag.pdf" TargetMode="External"/><Relationship Id="rId129" Type="http://schemas.openxmlformats.org/officeDocument/2006/relationships/hyperlink" Target="https://www.lakemedelsverket.se/490201/globalassets/dokument/publikationer/information-fran-lakemedelsverket/information-fran-lakemedelsverket-nr-3-2009.pdf" TargetMode="External"/><Relationship Id="rId54" Type="http://schemas.openxmlformats.org/officeDocument/2006/relationships/hyperlink" Target="http://www.ndr.nu/" TargetMode="External"/><Relationship Id="rId75" Type="http://schemas.openxmlformats.org/officeDocument/2006/relationships/hyperlink" Target="http://www.janusinfo.se" TargetMode="External"/><Relationship Id="rId96" Type="http://schemas.openxmlformats.org/officeDocument/2006/relationships/hyperlink" Target="https://intranatet.ltblekinge.org/teams/PM_och_vardprogram/blekingesjukhuset/hud/_layouts/15/start.aspx" TargetMode="External"/><Relationship Id="rId140" Type="http://schemas.openxmlformats.org/officeDocument/2006/relationships/hyperlink" Target="https://www.socialstyrelsen.se/kunskapsstod-och-regler/omraden/evidensbaserad-praktik/metodguiden/tolvstegsbehandling-enligt-minnesotamodellen/" TargetMode="External"/><Relationship Id="rId161" Type="http://schemas.openxmlformats.org/officeDocument/2006/relationships/hyperlink" Target="https://kunskapsstodforvardgivare.se/omraden/psykisk-halsa/stod-i-arbetet/skattningsskalor" TargetMode="External"/><Relationship Id="rId182" Type="http://schemas.openxmlformats.org/officeDocument/2006/relationships/hyperlink" Target="https://regionblekinge.se/halsa-och-vard/for-vardgivare/vardprogram/demens.html" TargetMode="External"/><Relationship Id="rId6" Type="http://schemas.openxmlformats.org/officeDocument/2006/relationships/footnotes" Target="footnotes.xml"/><Relationship Id="rId23" Type="http://schemas.openxmlformats.org/officeDocument/2006/relationships/image" Target="media/image5.png"/><Relationship Id="rId119" Type="http://schemas.openxmlformats.org/officeDocument/2006/relationships/hyperlink" Target="https://regionblekinge.se/download/18.261e3c8817618d062ef4200/1606826197483/Patientfolder%20%E2%80%93%20Information%20om%20omeprazol%20och%20andra%20protonpumpsh%C3%A4mmare.pdf" TargetMode="External"/><Relationship Id="rId44" Type="http://schemas.openxmlformats.org/officeDocument/2006/relationships/image" Target="media/image19.png"/><Relationship Id="rId65" Type="http://schemas.openxmlformats.org/officeDocument/2006/relationships/hyperlink" Target="http://www.equalis.se/sv" TargetMode="External"/><Relationship Id="rId86" Type="http://schemas.openxmlformats.org/officeDocument/2006/relationships/hyperlink" Target="https://www.ssth.se/wp-content/uploads/2021/11/NOAK-211109.pdf" TargetMode="External"/><Relationship Id="rId130" Type="http://schemas.openxmlformats.org/officeDocument/2006/relationships/hyperlink" Target="https://d2flujgsl7escs.cloudfront.net/external/Vardforlopp_stroke_och_TIA_tidiga_insatser_och_vard_publicerad_version_220915.pdf" TargetMode="External"/><Relationship Id="rId151" Type="http://schemas.openxmlformats.org/officeDocument/2006/relationships/hyperlink" Target="https://www.sbu.se/sv/publikationer/SBU-utvarderar/behandling-av-depressionssjukdomar/" TargetMode="External"/><Relationship Id="rId172" Type="http://schemas.openxmlformats.org/officeDocument/2006/relationships/hyperlink" Target="https://www.socialstyrelsen.se/kunskapsstod-och-regler/omraden/evidensbaserad-praktik/metodguiden/kbt-kognitiv-beteendeterapi/" TargetMode="External"/><Relationship Id="rId193" Type="http://schemas.openxmlformats.org/officeDocument/2006/relationships/hyperlink" Target="https://regionblekinge.se/halsa-och-vard/for-vardgivare/lakemedel/lakemedelsmal.html" TargetMode="External"/><Relationship Id="rId207" Type="http://schemas.openxmlformats.org/officeDocument/2006/relationships/hyperlink" Target="https://eped.se/backup/eped/lists/13805174060754421061.html" TargetMode="External"/><Relationship Id="rId13" Type="http://schemas.openxmlformats.org/officeDocument/2006/relationships/hyperlink" Target="http://www.sbu.se" TargetMode="External"/><Relationship Id="rId109" Type="http://schemas.openxmlformats.org/officeDocument/2006/relationships/hyperlink" Target="https://www.ncbi.nlm.nih.gov/pmc/articles/PMC4725385/" TargetMode="External"/><Relationship Id="rId34" Type="http://schemas.openxmlformats.org/officeDocument/2006/relationships/image" Target="media/image13.png"/><Relationship Id="rId55" Type="http://schemas.openxmlformats.org/officeDocument/2006/relationships/image" Target="media/image22.png"/><Relationship Id="rId76" Type="http://schemas.openxmlformats.org/officeDocument/2006/relationships/hyperlink" Target="http://www.heartscore.org/" TargetMode="External"/><Relationship Id="rId97" Type="http://schemas.openxmlformats.org/officeDocument/2006/relationships/hyperlink" Target="https://www.tlv.se/beslut/beslut-lakemedel/generell-subvention/arkiv/2016-10-13-enstilar-ingar-i-hogkostnadsskyddet.html" TargetMode="External"/><Relationship Id="rId120" Type="http://schemas.openxmlformats.org/officeDocument/2006/relationships/image" Target="media/image29.png"/><Relationship Id="rId141" Type="http://schemas.openxmlformats.org/officeDocument/2006/relationships/hyperlink" Target="https://www.socialstyrelsen.se/kunskapsstod-och-regler/omraden/evidensbaserad-praktik/metodguiden/cra-community-reinforcement-approach/" TargetMode="External"/><Relationship Id="rId7" Type="http://schemas.openxmlformats.org/officeDocument/2006/relationships/endnotes" Target="endnotes.xml"/><Relationship Id="rId162" Type="http://schemas.openxmlformats.org/officeDocument/2006/relationships/hyperlink" Target="https://www.socialstyrelsen.se/kunskapsstod-och-regler/omraden/evidensbaserad-praktik/metodguiden/kbt-kognitiv-beteendeterapi/" TargetMode="External"/><Relationship Id="rId183" Type="http://schemas.openxmlformats.org/officeDocument/2006/relationships/hyperlink" Target="https://www.socialstyrelsen.se/kunskapsstod-och-regler/regler-och-riktlinjer/nationella-riktlinjer/riktlinjer-och-utvarderingar/demens/" TargetMode="External"/><Relationship Id="rId24" Type="http://schemas.openxmlformats.org/officeDocument/2006/relationships/image" Target="media/image6.png"/><Relationship Id="rId45" Type="http://schemas.openxmlformats.org/officeDocument/2006/relationships/header" Target="header1.xml"/><Relationship Id="rId66" Type="http://schemas.openxmlformats.org/officeDocument/2006/relationships/hyperlink" Target="https://www.skup.org/" TargetMode="External"/><Relationship Id="rId87" Type="http://schemas.openxmlformats.org/officeDocument/2006/relationships/hyperlink" Target="https://www.socialstyrelsen.se/regler-och-riktlinjer/nationella-riktlinjer/riktlinjer-och-utvarderingar/hjartsjukvard/" TargetMode="External"/><Relationship Id="rId110" Type="http://schemas.openxmlformats.org/officeDocument/2006/relationships/hyperlink" Target="https://www.socialstyrelsen.se/regler-och-riktlinjer/foreskrifter-och-allmanna-rad/konsoliderade-foreskrifter/201217-om-tandvard-vid-langvarig-sjukdom-eller-funktionsnedsattning/" TargetMode="External"/><Relationship Id="rId131" Type="http://schemas.openxmlformats.org/officeDocument/2006/relationships/hyperlink" Target="https://www.lakemedelsverket.se/490201/globalassets/dokument/publikationer/information-fran-lakemedelsverket/information-fran-lakemedelsverket-nr-3-2009.pdf" TargetMode="External"/><Relationship Id="rId152" Type="http://schemas.openxmlformats.org/officeDocument/2006/relationships/hyperlink" Target="https://kunskapsstodforvardgivare.se/omraden/psykisk-halsa/stod-i-arbetet/skattningsskalor" TargetMode="External"/><Relationship Id="rId173" Type="http://schemas.openxmlformats.org/officeDocument/2006/relationships/hyperlink" Target="https://www.socialstyrelsen.se/kunskapsstod-och-regler/omraden/evidensbaserad-praktik/metodguiden/kbt-kognitiv-beteendeterapi/" TargetMode="External"/><Relationship Id="rId194" Type="http://schemas.openxmlformats.org/officeDocument/2006/relationships/hyperlink" Target="https://regionblekinge.se/halsa-och-vard/for-vardgivare/lakemedel/lakemedelsmal.html" TargetMode="External"/><Relationship Id="rId208" Type="http://schemas.openxmlformats.org/officeDocument/2006/relationships/hyperlink" Target="https://www.lakemedelsverket.se/sv/sok-lakemedelsfakta/lakemedel?id=20180911000017" TargetMode="External"/><Relationship Id="rId19" Type="http://schemas.openxmlformats.org/officeDocument/2006/relationships/image" Target="media/image3.svg"/><Relationship Id="rId14" Type="http://schemas.openxmlformats.org/officeDocument/2006/relationships/hyperlink" Target="http://www.sbu.se/" TargetMode="External"/><Relationship Id="rId30" Type="http://schemas.openxmlformats.org/officeDocument/2006/relationships/hyperlink" Target="https://intranatet.ltblekinge.org/teams/PM_och_vardprogram/offentligprimarvard/_layouts/15/WopiFrame.aspx?sourcedoc=%7b8AEEC881-ADC2-4FD0-9F7C-94DC858D0CA2%7d&amp;file=Akut-PM%20n%C3%A4ra%20v%C3%A5rd%20Blekinge.pdf&amp;action=default" TargetMode="External"/><Relationship Id="rId35" Type="http://schemas.openxmlformats.org/officeDocument/2006/relationships/image" Target="media/image14.png"/><Relationship Id="rId56" Type="http://schemas.openxmlformats.org/officeDocument/2006/relationships/hyperlink" Target="https://arende.ltblekinge.org/locator/DMS/File/CurrentRevisionFiles?recno=520669" TargetMode="External"/><Relationship Id="rId77" Type="http://schemas.openxmlformats.org/officeDocument/2006/relationships/image" Target="media/image25.PNG"/><Relationship Id="rId100" Type="http://schemas.openxmlformats.org/officeDocument/2006/relationships/hyperlink" Target="https://intranatet.ltblekinge.org/teams/PM_och_vardprogram/blekingesjukhuset/hud/_layouts/15/WopiFrame.aspx?sourcedoc=%7b62AEA0FE-410B-49BA-93A7-16571EEA194F%7d&amp;file=Skabbinfektion%20behandling%20patinf.docx&amp;action=default" TargetMode="External"/><Relationship Id="rId105" Type="http://schemas.openxmlformats.org/officeDocument/2006/relationships/hyperlink" Target="http://www.socialstyrelsen.se/riktlinjer/nationellariktlinjer/psoriasis" TargetMode="External"/><Relationship Id="rId126" Type="http://schemas.openxmlformats.org/officeDocument/2006/relationships/hyperlink" Target="https://janusinfo.se/download/18.5f0ead9216532d0a6a113e1f/1549524964351/Forteckning-over-miljobelastande-lakemedel.pdf" TargetMode="External"/><Relationship Id="rId147" Type="http://schemas.openxmlformats.org/officeDocument/2006/relationships/hyperlink" Target="https://www.nice.org.uk/guidance/ktt6/resources/hypnotics-pdf-1632173521093" TargetMode="External"/><Relationship Id="rId168" Type="http://schemas.openxmlformats.org/officeDocument/2006/relationships/hyperlink" Target="https://kunskapsstodforvardgivare.se/omraden/psykisk-halsa/stod-i-arbetet/skattningsskalor" TargetMode="External"/><Relationship Id="rId8" Type="http://schemas.openxmlformats.org/officeDocument/2006/relationships/hyperlink" Target="https://www.nationelltklinisktkunskapsstod.se/globalassets/nkk/nationell/media/dokument/kunskapsstod/vardprogram/nationellt-vardprogram-for-svarlakta-sar.pdf" TargetMode="External"/><Relationship Id="rId51" Type="http://schemas.openxmlformats.org/officeDocument/2006/relationships/hyperlink" Target="https://www.sbu.se/sv/publikationer/SBU-utvarderar/mat-vid-diabetes2/" TargetMode="External"/><Relationship Id="rId72" Type="http://schemas.openxmlformats.org/officeDocument/2006/relationships/hyperlink" Target="https://intranatet.ltblekinge.org/teams/PM_och_vardprogram/blekingesjukhuset/kvinnosjukv%C3%A5rd/_layouts/15/WopiFrame.aspx?sourcedoc=%7bCE844FF9-761A-49D6-AF71-ACC455892948%7d&amp;file=Sv%C3%A5r%20mensv%C3%A4rk-%20patientinformation%20egenv%C3%A5rd.docx&amp;action=default&amp;DefaultItemOpen=1" TargetMode="External"/><Relationship Id="rId93" Type="http://schemas.openxmlformats.org/officeDocument/2006/relationships/hyperlink" Target="https://doi.org/10.1093/gerona/glx169" TargetMode="External"/><Relationship Id="rId98" Type="http://schemas.openxmlformats.org/officeDocument/2006/relationships/hyperlink" Target="https://intranatet.ltblekinge.org/teams/PM_och_vardprogram/blekingesjukhuset/hud/Delade%20dokument/Aknebehandling-tv%C3%A4tt%20och%20sm%C3%B6rjr%C3%A5d%20till%20patienten%201502.pdf" TargetMode="External"/><Relationship Id="rId121" Type="http://schemas.openxmlformats.org/officeDocument/2006/relationships/hyperlink" Target="https://www.sbu.se/sv/publikationer/SBU-utvarderar/dyspepsi-och-reflux-/" TargetMode="External"/><Relationship Id="rId142" Type="http://schemas.openxmlformats.org/officeDocument/2006/relationships/hyperlink" Target="https://www.socialstyrelsen.se/kunskapsstod-och-regler/omraden/evidensbaserad-praktik/metodguiden/mi-motiverande-samtal/" TargetMode="External"/><Relationship Id="rId163" Type="http://schemas.openxmlformats.org/officeDocument/2006/relationships/hyperlink" Target="https://forsakringsmedicin.socialstyrelsen.se/beslutsstod-for-diagnoser/diagnoser/psykisk-sjukdom/anpassningsstorning-livskris-sorgreaktion/" TargetMode="External"/><Relationship Id="rId184" Type="http://schemas.openxmlformats.org/officeDocument/2006/relationships/hyperlink" Target="https://regionblekinge.se/halsa-och-vard/for-vardgivare/vardprogram-demens.html" TargetMode="External"/><Relationship Id="rId189" Type="http://schemas.openxmlformats.org/officeDocument/2006/relationships/hyperlink" Target="https://media.kunskapsstod.se/attachment/6d01b286-8a84-4a1b-90fd-343d6c330ce0.pdf"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image" Target="media/image7.png"/><Relationship Id="rId46" Type="http://schemas.openxmlformats.org/officeDocument/2006/relationships/footer" Target="footer1.xml"/><Relationship Id="rId67" Type="http://schemas.openxmlformats.org/officeDocument/2006/relationships/hyperlink" Target="http://www.skup.org" TargetMode="External"/><Relationship Id="rId116" Type="http://schemas.openxmlformats.org/officeDocument/2006/relationships/hyperlink" Target="https://www.socialstyrelsen.se/globalassets/sharepoint-dokument/artikelkatalog/foreskrifter-och-allmanna-rad/2012-12-12.pdf" TargetMode="External"/><Relationship Id="rId137" Type="http://schemas.openxmlformats.org/officeDocument/2006/relationships/hyperlink" Target="https://kunskapsstodforvardgivare.se/omraden/psykisk-halsa/stod-i-arbetet/skattningsskalor" TargetMode="External"/><Relationship Id="rId158" Type="http://schemas.openxmlformats.org/officeDocument/2006/relationships/footer" Target="footer4.xml"/><Relationship Id="rId20" Type="http://schemas.openxmlformats.org/officeDocument/2006/relationships/image" Target="media/image4.png"/><Relationship Id="rId41" Type="http://schemas.openxmlformats.org/officeDocument/2006/relationships/image" Target="media/image16.svg"/><Relationship Id="rId62" Type="http://schemas.openxmlformats.org/officeDocument/2006/relationships/hyperlink" Target="https://www.diabetes.ascensia.se/SJUKVARDSPERSONAL/Ny-ISO-standard/" TargetMode="External"/><Relationship Id="rId83" Type="http://schemas.openxmlformats.org/officeDocument/2006/relationships/image" Target="media/image28.jpg"/><Relationship Id="rId88" Type="http://schemas.openxmlformats.org/officeDocument/2006/relationships/hyperlink" Target="https://www.socialstyrelsen.se/regler-och-riktlinjer/nationella-riktlinjer/riktlinjer-och-utvarderingar/stroke/" TargetMode="External"/><Relationship Id="rId111" Type="http://schemas.openxmlformats.org/officeDocument/2006/relationships/hyperlink" Target="https://www.socialstyrelsen.se/globalassets/sharepoint-dokument/artikelkatalog/meddelandeblad/2012-12-36.pdf" TargetMode="External"/><Relationship Id="rId132" Type="http://schemas.openxmlformats.org/officeDocument/2006/relationships/hyperlink" Target="https://www.lakemedelsverket.se/sv/nyheter/emas-sakerhetskommitte-prac-rekommenderar-ytterligare-atgarder-for-att-undvika-behandling-med-topiramat-under-graviditet" TargetMode="External"/><Relationship Id="rId153" Type="http://schemas.openxmlformats.org/officeDocument/2006/relationships/hyperlink" Target="http://www.fasut.nu/images/FAS%20UT3_2010.pdf" TargetMode="External"/><Relationship Id="rId174" Type="http://schemas.openxmlformats.org/officeDocument/2006/relationships/hyperlink" Target="https://lakemedelsboken.se/kapitel/psykiatri/angest_och_oro.html" TargetMode="External"/><Relationship Id="rId179" Type="http://schemas.openxmlformats.org/officeDocument/2006/relationships/hyperlink" Target="https://www.socialstyrelsen.se/kunskapsstod-och-regler/regler-och-riktlinjer/nationella-riktlinjer/riktlinjer-och-utvarderingar/demens/" TargetMode="External"/><Relationship Id="rId195" Type="http://schemas.openxmlformats.org/officeDocument/2006/relationships/hyperlink" Target="https://www.vll.se/VLL/Filer/Mediacin%2010-16.pdf" TargetMode="External"/><Relationship Id="rId209" Type="http://schemas.openxmlformats.org/officeDocument/2006/relationships/header" Target="header6.xml"/><Relationship Id="rId190" Type="http://schemas.openxmlformats.org/officeDocument/2006/relationships/hyperlink" Target="https://www.socialstyrelsen.se/globalassets/sharepoint-dokument/artikelkatalog/ovrigt/2017-12-3.pdf" TargetMode="External"/><Relationship Id="rId204" Type="http://schemas.openxmlformats.org/officeDocument/2006/relationships/hyperlink" Target="https://intranatet.ltblekinge.org/teams/PM_och_vardprogram/blekingesjukhuset/barnungdomskliniken/_layouts/15/WopiFrame.aspx?sourcedoc=%7bf91e30ca-91ae-4e75-81b5-795d5be8d92e%7d&amp;action=view&amp;source=https%3A%2F%2Fintranatet%2Eltblekinge%2Eorg%2Fteams%2FPM%5Foch%5Fvardprogram%2Fblekingesjukhuset%2Fbarnungdomskliniken%2FSitePages%2FStartsida%2Easpx" TargetMode="External"/><Relationship Id="rId15" Type="http://schemas.openxmlformats.org/officeDocument/2006/relationships/hyperlink" Target="http://www.rikssar.se" TargetMode="External"/><Relationship Id="rId36" Type="http://schemas.openxmlformats.org/officeDocument/2006/relationships/hyperlink" Target="https://www.1177.se/Blekinge/liv--halsa/tobak-och-alkohol/" TargetMode="External"/><Relationship Id="rId57" Type="http://schemas.openxmlformats.org/officeDocument/2006/relationships/hyperlink" Target="https://www.socialstyrelsen.se/globalassets/sharepoint-dokument/artikelkatalog/nationella-riktlinjer/2018-10-25.pdf" TargetMode="External"/><Relationship Id="rId106" Type="http://schemas.openxmlformats.org/officeDocument/2006/relationships/hyperlink" Target="https://intranatet.ltblekinge.org/organisationer/Folktandvarden/Documents/Tandv%C3%A5dens%20l%C3%A4kemedel%202022_erbb.pdf" TargetMode="External"/><Relationship Id="rId127" Type="http://schemas.openxmlformats.org/officeDocument/2006/relationships/hyperlink" Target="https://www.lakemedelsverket.se/490201/globalassets/dokument/publikationer/information-fran-lakemedelsverket/information-fran-lakemedelsverket-nr-3-2009.pdf" TargetMode="External"/><Relationship Id="rId10" Type="http://schemas.openxmlformats.org/officeDocument/2006/relationships/image" Target="media/image1.png"/><Relationship Id="rId31" Type="http://schemas.openxmlformats.org/officeDocument/2006/relationships/hyperlink" Target="#_ORDLISTA"/><Relationship Id="rId52" Type="http://schemas.openxmlformats.org/officeDocument/2006/relationships/hyperlink" Target="http://www.fyss.se/wp-content/uploads/2018/01/Diabetes-TYP-2.pdf" TargetMode="External"/><Relationship Id="rId73" Type="http://schemas.openxmlformats.org/officeDocument/2006/relationships/image" Target="media/image24.png"/><Relationship Id="rId78" Type="http://schemas.openxmlformats.org/officeDocument/2006/relationships/hyperlink" Target="https://www.viss.nu/kunskapsstod/vardprogram/hypertoni" TargetMode="External"/><Relationship Id="rId94" Type="http://schemas.openxmlformats.org/officeDocument/2006/relationships/hyperlink" Target="https://www.ahajournals.org/doi/10.1161/CIRCULATIONAHA.123.066485" TargetMode="External"/><Relationship Id="rId99" Type="http://schemas.openxmlformats.org/officeDocument/2006/relationships/hyperlink" Target="https://intranatet.ltblekinge.org/teams/PM_och_vardprogram/blekingesjukhuset/hud/_layouts/15/WopiFrame.aspx?sourcedoc=%7b62AEA0FE-410B-49BA-93A7-16571EEA194F%7d&amp;file=Skabbinfektion%20behandling%20patinf.docx&amp;action=default" TargetMode="External"/><Relationship Id="rId101" Type="http://schemas.openxmlformats.org/officeDocument/2006/relationships/hyperlink" Target="https://intranatet.ltblekinge.org/teams/PM_och_vardprogram/blekingesjukhuset/hud/SitePages/Startsida.aspx" TargetMode="External"/><Relationship Id="rId122" Type="http://schemas.openxmlformats.org/officeDocument/2006/relationships/hyperlink" Target="https://svenskgastroenterologi.se/wp-content/uploads/2019/07/2019-Outredd-dyspepsi-ulkus-samt-funktionell-dyspepsi.pdf" TargetMode="External"/><Relationship Id="rId143" Type="http://schemas.openxmlformats.org/officeDocument/2006/relationships/hyperlink" Target="https://www.socialstyrelsen.se/kunskapsstod-och-regler/regler-och-riktlinjer/nationella-riktlinjer/riktlinjer-och-utvarderingar/missbruk-och-beroende/" TargetMode="External"/><Relationship Id="rId148" Type="http://schemas.openxmlformats.org/officeDocument/2006/relationships/hyperlink" Target="https://kunskapsstodforvardgivare.se/omraden/psykisk-halsa/skattningsskalor/skattningsskalor" TargetMode="External"/><Relationship Id="rId164" Type="http://schemas.openxmlformats.org/officeDocument/2006/relationships/hyperlink" Target="https://folkhalsaochsjukvard.rjl.se/dokument/evo/8dff8e73-9530-4423-b507-07d010dd1ddb?pageId=33165" TargetMode="External"/><Relationship Id="rId169" Type="http://schemas.openxmlformats.org/officeDocument/2006/relationships/hyperlink" Target="https://www.socialstyrelsen.se/kunskapsstod-och-regler/regler-och-riktlinjer/nationella-riktlinjer/riktlinjer-och-utvarderingar/depression-och-angest/" TargetMode="External"/><Relationship Id="rId185" Type="http://schemas.openxmlformats.org/officeDocument/2006/relationships/hyperlink" Target="https://www.demenscentrum.se/" TargetMode="External"/><Relationship Id="rId4" Type="http://schemas.openxmlformats.org/officeDocument/2006/relationships/settings" Target="settings.xml"/><Relationship Id="rId9" Type="http://schemas.openxmlformats.org/officeDocument/2006/relationships/hyperlink" Target="https://www.internetmedicin.se/page.aspx?id=255" TargetMode="External"/><Relationship Id="rId180" Type="http://schemas.openxmlformats.org/officeDocument/2006/relationships/hyperlink" Target="https://regionblekinge.se/halsa-och-vard/for-vardgivare/vardprogram-demens.html" TargetMode="External"/><Relationship Id="rId210" Type="http://schemas.openxmlformats.org/officeDocument/2006/relationships/footer" Target="footer6.xml"/><Relationship Id="rId26" Type="http://schemas.openxmlformats.org/officeDocument/2006/relationships/image" Target="media/image8.png"/><Relationship Id="rId47" Type="http://schemas.openxmlformats.org/officeDocument/2006/relationships/header" Target="header2.xml"/><Relationship Id="rId68" Type="http://schemas.openxmlformats.org/officeDocument/2006/relationships/hyperlink" Target="https://lakemedelsboken.se/kapitel/endokrinologi/kortikosteroider_och_hypofyshormoner.html" TargetMode="External"/><Relationship Id="rId89" Type="http://schemas.openxmlformats.org/officeDocument/2006/relationships/hyperlink" Target="https://academic.oup.com/eurheartj/article/39/33/3021/5079119" TargetMode="External"/><Relationship Id="rId112" Type="http://schemas.openxmlformats.org/officeDocument/2006/relationships/hyperlink" Target="https://regionblekinge.se/halsa-och-vard/for-vardgivare/tandvard/region-blekinges-tandvardsstod.html" TargetMode="External"/><Relationship Id="rId133" Type="http://schemas.openxmlformats.org/officeDocument/2006/relationships/hyperlink" Target="https://janusinfo.se/behandling/expertgruppsutlatanden/nervsystemetssjukdomar/nervsystemetssjukdomar/behandlingavrestlesslegshosvuxna.5.3daa1b3d160c00a26d237a9.html" TargetMode="External"/><Relationship Id="rId154" Type="http://schemas.openxmlformats.org/officeDocument/2006/relationships/hyperlink" Target="https://www.socialstyrelsen.se/kunskapsstod-och-regler/regler-och-riktlinjer/nationella-riktlinjer/riktlinjer-och-utvarderingar/depression-och-angest/" TargetMode="External"/><Relationship Id="rId175" Type="http://schemas.openxmlformats.org/officeDocument/2006/relationships/hyperlink" Target="https://kunskapsstodforvardgivare.se/omraden/psykisk-halsa/stod-i-arbetet/skattningsskalor" TargetMode="External"/><Relationship Id="rId196" Type="http://schemas.openxmlformats.org/officeDocument/2006/relationships/hyperlink" Target="https://vardpersonal.1177.se/globalassets/nkk/nationell/media/dokument/kunskapsstod/bilagor-kliniska-kunskapsstod/konverteringsguide-opioider-2023.pdf" TargetMode="External"/><Relationship Id="rId200" Type="http://schemas.openxmlformats.org/officeDocument/2006/relationships/hyperlink" Target="https://www.lakemedelsverket.se/sv/behandling-och-forskrivning/kopa-anvanda-och-hantera/kopa-medicin/kopa-medicin-pa-natet/cannabidiol-cbd" TargetMode="External"/><Relationship Id="rId16" Type="http://schemas.openxmlformats.org/officeDocument/2006/relationships/hyperlink" Target="http://www.rikssar.se/" TargetMode="External"/><Relationship Id="rId37" Type="http://schemas.openxmlformats.org/officeDocument/2006/relationships/hyperlink" Target="http://psykologermottobak.org/" TargetMode="External"/><Relationship Id="rId58" Type="http://schemas.openxmlformats.org/officeDocument/2006/relationships/hyperlink" Target="http://www.socialstyrelsen.se/globalassets/sharepoint-dokument/artikelkatalog/nationella-riktlinjer/2018-10-25.pdf" TargetMode="External"/><Relationship Id="rId79" Type="http://schemas.openxmlformats.org/officeDocument/2006/relationships/image" Target="media/image26.jpeg"/><Relationship Id="rId102" Type="http://schemas.openxmlformats.org/officeDocument/2006/relationships/hyperlink" Target="https://intranatet.ltblekinge.org/teams/PM_och_vardprogram/blekingesjukhuset/hud/_layouts/15/WopiFrame.aspx?sourcedoc=%7b62AEA0FE-410B-49BA-93A7-16571EEA194F%7d&amp;file=Skabbinfektion%20behandling%20patinf.docx&amp;action=default" TargetMode="External"/><Relationship Id="rId123" Type="http://schemas.openxmlformats.org/officeDocument/2006/relationships/hyperlink" Target="http://www.sbu.se/contentassets/469d6e3955e44f4cbae98aff73e4d1b5/dyspepsi_fulltext.pdf" TargetMode="External"/><Relationship Id="rId144" Type="http://schemas.openxmlformats.org/officeDocument/2006/relationships/hyperlink" Target="https://lakemedelsboken.se/kapitel/beroendetillstand/alkohol-riskbruk_skadligt_bruk_och_beroende.html" TargetMode="External"/><Relationship Id="rId90" Type="http://schemas.openxmlformats.org/officeDocument/2006/relationships/hyperlink" Target="https://watermark.silverchair.com/ehab484.pdf?token=AQECAHi208BE49Ooan9kkhW_Ercy7Dm3ZL_9Cf3qfKAc485ysgAAAuswggLnBgkqhkiG9w0BBwagggLYMIIC1AIBADCCAs0GCSqGSIb3DQEHATAeBglghkgBZQMEAS4wEQQMYmIx0PMDLFYo0JcTAgEQgIICnvw-k1Ebg7LEpVHx_c9R7WCRkvyhh8ZVmuja-lkJhxV4mz0Oh0mwUiRVWEoiMDZJlrYf8yNscHKy4i1uoMEW1PBTzLKFZhhMeRoDrwlK_0sx-Dy12Vk4jSLbylQTgA_aBjj1TbvP3gfAivF9q8_WR9lYkMxF4POOumzcMq8sfUO90hJgkY3E5E1QO3maEFBJKRygvOcoRfAiMphkLnP1Q8eidWC9zznSS9mAsdm_lM-9v1fh3gRX1fa4qc-FE8r_FgjXqqSTxShxxrdA8A5yJDZvjJ9e1QQl-5um6Td6-mRbLRJIqF9IftecB2QLVo7AaYO1IpahugmvYPumX53dDQ176J2_ThZh1dHTyHKsvagDbLILAH67i48gI1hw0DgiefBhLQ07j7j0Ka_pLl7yyF-272E2kxlxk84R97rWTrGZYZt0dEDbRlFHy1ok_3x-Dw3_sNuxIj8Jpm1KkOCXeLcoi1rs7NmFh0DXZLy7Itfgj1g1bSZ0ZRIHvg5MNnVbVaj1nFeUEmiyTdgoM-0-MbRIgPDBsHVwY5xyVcr5cjzzp0-GaJT_n7Z9caRGH89LYGJaUZNjA_dBnjnG9XpQ0YQvUkrCyO0tXrwGyZn7BtqmNA0JVcb8D09B4UHbMCKZfjQ8TLE3ZVBKfTU-WkRXCZS8k92nY2FN2gZAhG6Y662nBk5VWIFWyb33dKkNdkeC53n6RaUb4sjojOQh6_hJk7S_qJhhlJYlv_DDZhDLkR9EtZM2T3hgljkGqSpWJ3TlJ7n82sWGiFbEDj3XUo68_kI2z8KADQA7zA-HzHSR_8DgX8CY0oHtP7UCIDXyCUzrkx4Kz3dvBJhXjl4NZglns1B8ZGxHSuqPPJYoC3mS7dDALCPAv5GqSOLfCyicrS0" TargetMode="External"/><Relationship Id="rId165" Type="http://schemas.openxmlformats.org/officeDocument/2006/relationships/hyperlink" Target="https://kunskapsstodforvardgivare.se/omraden/psykisk-halsa/stod-i-arbetet/skattningsskalor" TargetMode="External"/><Relationship Id="rId186" Type="http://schemas.openxmlformats.org/officeDocument/2006/relationships/hyperlink" Target="https://slf.se/sfbup/riktlinjer/" TargetMode="External"/><Relationship Id="rId211" Type="http://schemas.openxmlformats.org/officeDocument/2006/relationships/header" Target="header7.xml"/><Relationship Id="rId27" Type="http://schemas.openxmlformats.org/officeDocument/2006/relationships/hyperlink" Target="https://www.medicininstruktioner.se/mi/pef/" TargetMode="External"/><Relationship Id="rId48" Type="http://schemas.openxmlformats.org/officeDocument/2006/relationships/footer" Target="footer2.xml"/><Relationship Id="rId69" Type="http://schemas.openxmlformats.org/officeDocument/2006/relationships/hyperlink" Target="https://www.internetmedicin.se/" TargetMode="External"/><Relationship Id="rId113" Type="http://schemas.openxmlformats.org/officeDocument/2006/relationships/hyperlink" Target="https://www.socialstyrelsen.se/globalassets/sharepoint-dokument/dokument-webb/blankett/blankett-lakarintyg-sarskilt-tandvardsbidrag-sosfs-2012-16-bilaga.pdf" TargetMode="External"/><Relationship Id="rId134" Type="http://schemas.openxmlformats.org/officeDocument/2006/relationships/hyperlink" Target="https://regionblekinge.se/download/18.48224d7718f9eb9d2853de9e/1717501630347/Rekvisition%20av%20l%C3%A4kemedel%20inom%20H%C3%A4lsoval%20Blekinge.pdf" TargetMode="External"/><Relationship Id="rId80" Type="http://schemas.openxmlformats.org/officeDocument/2006/relationships/hyperlink" Target="https://u-prevent.com/accept-terms" TargetMode="External"/><Relationship Id="rId155" Type="http://schemas.openxmlformats.org/officeDocument/2006/relationships/header" Target="header3.xml"/><Relationship Id="rId176" Type="http://schemas.openxmlformats.org/officeDocument/2006/relationships/hyperlink" Target="https://kunskapsstodforvardgivare.se/omraden/psykisk-halsa/stod-i-arbetet/skattningsskalor" TargetMode="External"/><Relationship Id="rId197" Type="http://schemas.openxmlformats.org/officeDocument/2006/relationships/image" Target="media/image30.png"/><Relationship Id="rId201" Type="http://schemas.openxmlformats.org/officeDocument/2006/relationships/hyperlink" Target="https://www.lakemedelsverket.se/sv/behandling-och-forskrivning/behandlingsrekommendationer/sok-behandlingsrekommendationer/lakemedel-vid-langvarig-smarta-hos-barn-och-vuxna--behandlingsrekommendation" TargetMode="External"/><Relationship Id="rId17" Type="http://schemas.openxmlformats.org/officeDocument/2006/relationships/hyperlink" Target="https://www.vgregion.se/s/skaraborgs-sjukhus/vardgivare/sarwebben/" TargetMode="External"/><Relationship Id="rId38" Type="http://schemas.openxmlformats.org/officeDocument/2006/relationships/hyperlink" Target="https://www.umo.se/tobak-alkohol-droger/rokning/" TargetMode="External"/><Relationship Id="rId59" Type="http://schemas.openxmlformats.org/officeDocument/2006/relationships/hyperlink" Target="https://mellanarkiv-offentlig.vgregion.se/alfresco/s/archive/stream/public/v1/source/available/sofia/ssn11800-2140136717-415/surrogate/Diabetes%20typ%202%20(vuxna).pdf" TargetMode="External"/><Relationship Id="rId103" Type="http://schemas.openxmlformats.org/officeDocument/2006/relationships/hyperlink" Target="https://intranatet.ltblekinge.org/teams/PM_och_vardprogram/blekingesjukhuset/hud/_layouts/15/WopiFrame.aspx?sourcedoc=%7b62AEA0FE-410B-49BA-93A7-16571EEA194F%7d&amp;file=Skabbinfektion%20behandling%20patinf.docx&amp;action=default" TargetMode="External"/><Relationship Id="rId124" Type="http://schemas.openxmlformats.org/officeDocument/2006/relationships/hyperlink" Target="http://lakemedelsboken.se/kapitel/mage-tarm/sjukdomar_i_matstrupe_magsack_och_tolvfingertarm.html" TargetMode="External"/><Relationship Id="rId70" Type="http://schemas.openxmlformats.org/officeDocument/2006/relationships/image" Target="media/image23.png"/><Relationship Id="rId91" Type="http://schemas.openxmlformats.org/officeDocument/2006/relationships/hyperlink" Target="https://doi.org/10.1093/eurheartj/ehab309" TargetMode="External"/><Relationship Id="rId145" Type="http://schemas.openxmlformats.org/officeDocument/2006/relationships/hyperlink" Target="http://www.internetmedicin.se/page.aspx?id=1590" TargetMode="External"/><Relationship Id="rId166" Type="http://schemas.openxmlformats.org/officeDocument/2006/relationships/hyperlink" Target="https://www.socialstyrelsen.se/utveckla-verksamhet/evidensbaserad-praktik/metodguiden/kbt-kognitiv-beteendeterapi/" TargetMode="External"/><Relationship Id="rId187" Type="http://schemas.openxmlformats.org/officeDocument/2006/relationships/hyperlink" Target="https://media.kunskapsstod.se/attachment/be0643d9-f3b6-4204-9510-1559163ea4be.pdf" TargetMode="External"/><Relationship Id="rId1" Type="http://schemas.openxmlformats.org/officeDocument/2006/relationships/customXml" Target="../customXml/item1.xml"/><Relationship Id="rId212" Type="http://schemas.openxmlformats.org/officeDocument/2006/relationships/footer" Target="footer7.xml"/><Relationship Id="rId28" Type="http://schemas.openxmlformats.org/officeDocument/2006/relationships/image" Target="media/image9.png"/><Relationship Id="rId49" Type="http://schemas.openxmlformats.org/officeDocument/2006/relationships/image" Target="media/image21.png"/><Relationship Id="rId114" Type="http://schemas.openxmlformats.org/officeDocument/2006/relationships/hyperlink" Target="https://www.socialstyrelsen.se/globalassets/sharepoint-dokument/dokument-webb/blankett/blankett-lakarintyg-langvarig-sjukdom-funktionsnedsattning-tandvard-sosfs-2012-17-bilaga.pdf" TargetMode="External"/><Relationship Id="rId60" Type="http://schemas.openxmlformats.org/officeDocument/2006/relationships/hyperlink" Target="https://vardgivare.skane.se/vardriktlinjer/lakemedel/skanelistan-med-bakgrundsmaterial/endokrina-sjukdomar/typ-2-diabetes" TargetMode="External"/><Relationship Id="rId81" Type="http://schemas.openxmlformats.org/officeDocument/2006/relationships/hyperlink" Target="http://www.heartscore.org/" TargetMode="External"/><Relationship Id="rId135" Type="http://schemas.openxmlformats.org/officeDocument/2006/relationships/hyperlink" Target="https://frax.shef.ac.uk/FRAX/" TargetMode="External"/><Relationship Id="rId156" Type="http://schemas.openxmlformats.org/officeDocument/2006/relationships/header" Target="header4.xml"/><Relationship Id="rId177" Type="http://schemas.openxmlformats.org/officeDocument/2006/relationships/hyperlink" Target="https://www.socialstyrelsen.se/kunskapsstod-och-regler/regler-och-riktlinjer/nationella-riktlinjer/riktlinjer-och-utvarderingar/depression-och-angest/" TargetMode="External"/><Relationship Id="rId198" Type="http://schemas.openxmlformats.org/officeDocument/2006/relationships/image" Target="media/image31.png"/><Relationship Id="rId202" Type="http://schemas.openxmlformats.org/officeDocument/2006/relationships/hyperlink" Target="http://www.socialstyrelsen.se/Lists/Artikelkatalog/Attachments/20644/2017-6-7.pdf" TargetMode="External"/><Relationship Id="rId18" Type="http://schemas.openxmlformats.org/officeDocument/2006/relationships/image" Target="media/image2.png"/><Relationship Id="rId39" Type="http://schemas.openxmlformats.org/officeDocument/2006/relationships/hyperlink" Target="https://www.socialstyrelsen.se/globalassets/sharepoint-dokument/artikelkatalog/nationella-riktlinjer/2020-11-7008.pdf" TargetMode="External"/><Relationship Id="rId50" Type="http://schemas.openxmlformats.org/officeDocument/2006/relationships/hyperlink" Target="https://www.socialstyrelsen.se/globalassets/sharepoint-dokument/artikelkatalog/kunskapsstod/2023-4-8339.pdf" TargetMode="External"/><Relationship Id="rId104" Type="http://schemas.openxmlformats.org/officeDocument/2006/relationships/hyperlink" Target="https://intranatet.ltblekinge.org/teams/PM_och_vardprogram/blekingesjukhuset/hud/SitePages/Startsida.aspx" TargetMode="External"/><Relationship Id="rId125" Type="http://schemas.openxmlformats.org/officeDocument/2006/relationships/hyperlink" Target="https://www.socialstyrelsen.se/globalassets/sharepoint-dokument/artikelkatalog/ovrigt/2017-6-7.pdf" TargetMode="External"/><Relationship Id="rId146" Type="http://schemas.openxmlformats.org/officeDocument/2006/relationships/hyperlink" Target="https://lakemedelsboken.se/kapitel/psykiatri/somnstorningar.html" TargetMode="External"/><Relationship Id="rId167" Type="http://schemas.openxmlformats.org/officeDocument/2006/relationships/hyperlink" Target="https://lakemedelsboken.se/kapitel/psykiatri/angest_och_oro.html" TargetMode="External"/><Relationship Id="rId188" Type="http://schemas.openxmlformats.org/officeDocument/2006/relationships/hyperlink" Target="https://media.kunskapsstod.se/attachment/bab43050-77aa-4980-ac34-5864496abc08.pdf" TargetMode="External"/><Relationship Id="rId71" Type="http://schemas.openxmlformats.org/officeDocument/2006/relationships/hyperlink" Target="https://janusinfo.se/beslutsstod/lakemedelochmiljo.4.72866553160e98a7ddf1d01.html" TargetMode="External"/><Relationship Id="rId92" Type="http://schemas.openxmlformats.org/officeDocument/2006/relationships/hyperlink" Target="https://www.janusinfo.se/behandling/expertradsutlatanden/hjartkarlsjukdomar/hjartkarlsjukdomar/hydroklortiazidfortsattrekommenderattrotsvarningarforhudcancer.5.241cb91b1671ce235df2db2c.html"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0.png"/><Relationship Id="rId40" Type="http://schemas.openxmlformats.org/officeDocument/2006/relationships/image" Target="media/image15.png"/><Relationship Id="rId115" Type="http://schemas.openxmlformats.org/officeDocument/2006/relationships/hyperlink" Target="https://www.socialstyrelsen.se/globalassets/sharepoint-dokument/artikelkatalog/foreskrifter-och-allmanna-rad/2012-12-11.pdf" TargetMode="External"/><Relationship Id="rId136" Type="http://schemas.openxmlformats.org/officeDocument/2006/relationships/hyperlink" Target="https://kunskapsstodforvardgivare.se/omraden/psykisk-halsa/stod-i-arbetet/skattningsskalor" TargetMode="External"/><Relationship Id="rId157" Type="http://schemas.openxmlformats.org/officeDocument/2006/relationships/footer" Target="footer3.xml"/><Relationship Id="rId178" Type="http://schemas.openxmlformats.org/officeDocument/2006/relationships/hyperlink" Target="https://regionblekinge.se/halsa-och-vard/for-vardgivare/vardprogram-demens.html" TargetMode="External"/><Relationship Id="rId61" Type="http://schemas.openxmlformats.org/officeDocument/2006/relationships/hyperlink" Target="https://vardgivare.skane.se/siteassets/1.-vardriktlinjer/lakemedel/riktlinjer/skanelistan/bakgrundsmaterial.pdf" TargetMode="External"/><Relationship Id="rId82" Type="http://schemas.openxmlformats.org/officeDocument/2006/relationships/image" Target="media/image27.png"/><Relationship Id="rId199" Type="http://schemas.openxmlformats.org/officeDocument/2006/relationships/image" Target="media/image32.png"/><Relationship Id="rId203" Type="http://schemas.openxmlformats.org/officeDocument/2006/relationships/hyperlink" Target="https://www.lakemedelsverket.se/sv/behandling-och-forskrivning/behandlingsrekommendationer/sok-behandlingsrekommendationer/lakemedel-vid-smarta-i-livets-slutske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wmf"/></Relationships>
</file>

<file path=word/_rels/header2.xml.rels><?xml version="1.0" encoding="UTF-8" standalone="yes"?>
<Relationships xmlns="http://schemas.openxmlformats.org/package/2006/relationships"><Relationship Id="rId1" Type="http://schemas.openxmlformats.org/officeDocument/2006/relationships/image" Target="media/image20.wmf"/></Relationships>
</file>

<file path=word/_rels/header6.xml.rels><?xml version="1.0" encoding="UTF-8" standalone="yes"?>
<Relationships xmlns="http://schemas.openxmlformats.org/package/2006/relationships"><Relationship Id="rId1" Type="http://schemas.openxmlformats.org/officeDocument/2006/relationships/image" Target="media/image20.wmf"/></Relationships>
</file>

<file path=word/_rels/header7.xml.rels><?xml version="1.0" encoding="UTF-8" standalone="yes"?>
<Relationships xmlns="http://schemas.openxmlformats.org/package/2006/relationships"><Relationship Id="rId1" Type="http://schemas.openxmlformats.org/officeDocument/2006/relationships/image" Target="media/image20.wmf"/></Relationships>
</file>

<file path=word/theme/theme1.xml><?xml version="1.0" encoding="utf-8"?>
<a:theme xmlns:a="http://schemas.openxmlformats.org/drawingml/2006/main" name="Office Theme">
  <a:themeElements>
    <a:clrScheme name="Region Blekinge">
      <a:dk1>
        <a:sysClr val="windowText" lastClr="000000"/>
      </a:dk1>
      <a:lt1>
        <a:sysClr val="window" lastClr="FFFFFF"/>
      </a:lt1>
      <a:dk2>
        <a:srgbClr val="003D7C"/>
      </a:dk2>
      <a:lt2>
        <a:srgbClr val="FFFFFF"/>
      </a:lt2>
      <a:accent1>
        <a:srgbClr val="00A6E2"/>
      </a:accent1>
      <a:accent2>
        <a:srgbClr val="003D7C"/>
      </a:accent2>
      <a:accent3>
        <a:srgbClr val="98C21D"/>
      </a:accent3>
      <a:accent4>
        <a:srgbClr val="2D934F"/>
      </a:accent4>
      <a:accent5>
        <a:srgbClr val="D7007F"/>
      </a:accent5>
      <a:accent6>
        <a:srgbClr val="F18700"/>
      </a:accent6>
      <a:hlink>
        <a:srgbClr val="6E368C"/>
      </a:hlink>
      <a:folHlink>
        <a:srgbClr val="E31836"/>
      </a:folHlink>
    </a:clrScheme>
    <a:fontScheme name="Region Blekinge">
      <a:majorFont>
        <a:latin typeface="Corbe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F877D-4EDA-4265-BB3A-8F36E9A1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230</Pages>
  <Words>76773</Words>
  <Characters>406902</Characters>
  <Application>Microsoft Office Word</Application>
  <DocSecurity>0</DocSecurity>
  <Lines>3390</Lines>
  <Paragraphs>965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 Monica</dc:creator>
  <cp:keywords/>
  <dc:description/>
  <cp:lastModifiedBy>Klow, Daniella</cp:lastModifiedBy>
  <cp:revision>2</cp:revision>
  <cp:lastPrinted>2024-04-04T09:24:00Z</cp:lastPrinted>
  <dcterms:created xsi:type="dcterms:W3CDTF">2026-06-25T05:19:00Z</dcterms:created>
  <dcterms:modified xsi:type="dcterms:W3CDTF">2026-06-25T05:19:00Z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ac6341-7359-42b1-877b-46cac6ea067b_Enabled">
    <vt:lpwstr>true</vt:lpwstr>
  </property>
  <property fmtid="{D5CDD505-2E9C-101B-9397-08002B2CF9AE}" pid="3" name="MSIP_Label_fbac6341-7359-42b1-877b-46cac6ea067b_SetDate">
    <vt:lpwstr>2022-04-11T09:29:35Z</vt:lpwstr>
  </property>
  <property fmtid="{D5CDD505-2E9C-101B-9397-08002B2CF9AE}" pid="4" name="MSIP_Label_fbac6341-7359-42b1-877b-46cac6ea067b_Method">
    <vt:lpwstr>Standard</vt:lpwstr>
  </property>
  <property fmtid="{D5CDD505-2E9C-101B-9397-08002B2CF9AE}" pid="5" name="MSIP_Label_fbac6341-7359-42b1-877b-46cac6ea067b_Name">
    <vt:lpwstr>Internt</vt:lpwstr>
  </property>
  <property fmtid="{D5CDD505-2E9C-101B-9397-08002B2CF9AE}" pid="6" name="MSIP_Label_fbac6341-7359-42b1-877b-46cac6ea067b_SiteId">
    <vt:lpwstr>b864d79d-1d58-48a3-b396-10684dbf5445</vt:lpwstr>
  </property>
  <property fmtid="{D5CDD505-2E9C-101B-9397-08002B2CF9AE}" pid="7" name="MSIP_Label_fbac6341-7359-42b1-877b-46cac6ea067b_ActionId">
    <vt:lpwstr>0d27109f-5087-437b-bbd9-886a77823076</vt:lpwstr>
  </property>
  <property fmtid="{D5CDD505-2E9C-101B-9397-08002B2CF9AE}" pid="8" name="MSIP_Label_fbac6341-7359-42b1-877b-46cac6ea067b_ContentBits">
    <vt:lpwstr>0</vt:lpwstr>
  </property>
  <property fmtid="{D5CDD505-2E9C-101B-9397-08002B2CF9AE}" pid="9" name="sipTrackRevision">
    <vt:lpwstr>false</vt:lpwstr>
  </property>
</Properties>
</file>