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5DC85" w14:textId="77777777" w:rsidR="00B452E3" w:rsidRPr="005F434E" w:rsidRDefault="00B452E3" w:rsidP="00B452E3">
      <w:pPr>
        <w:rPr>
          <w:rFonts w:ascii="Corbel" w:eastAsiaTheme="majorEastAsia" w:hAnsi="Corbel" w:cstheme="majorBidi"/>
          <w:b/>
          <w:bCs/>
          <w:sz w:val="36"/>
          <w:szCs w:val="36"/>
        </w:rPr>
      </w:pPr>
      <w:r w:rsidRPr="005F434E">
        <w:rPr>
          <w:rFonts w:ascii="Corbel" w:eastAsiaTheme="majorEastAsia" w:hAnsi="Corbel" w:cstheme="majorBidi"/>
          <w:b/>
          <w:bCs/>
          <w:color w:val="1788FF" w:themeColor="text2" w:themeTint="99"/>
          <w:sz w:val="36"/>
          <w:szCs w:val="36"/>
        </w:rPr>
        <w:t xml:space="preserve">Striverdi respimat har slutat tillhandahållas </w:t>
      </w:r>
    </w:p>
    <w:p w14:paraId="0F8855D0" w14:textId="77777777" w:rsidR="004D031A" w:rsidRDefault="004D031A" w:rsidP="00824C50"/>
    <w:p w14:paraId="063E7417" w14:textId="77777777" w:rsidR="00B452E3" w:rsidRPr="005F434E" w:rsidRDefault="00B452E3" w:rsidP="00B452E3">
      <w:pPr>
        <w:rPr>
          <w:rFonts w:asciiTheme="majorHAnsi" w:hAnsiTheme="majorHAnsi"/>
          <w:b/>
          <w:bCs/>
          <w:sz w:val="28"/>
          <w:szCs w:val="28"/>
        </w:rPr>
      </w:pPr>
      <w:r w:rsidRPr="005F434E">
        <w:rPr>
          <w:rFonts w:asciiTheme="majorHAnsi" w:hAnsiTheme="majorHAnsi"/>
          <w:b/>
          <w:bCs/>
          <w:sz w:val="28"/>
          <w:szCs w:val="28"/>
        </w:rPr>
        <w:t>Striverdi Respimat har slutat tillhandahållas och nedan finns information om vad man bör tänka på vid alternativ behandling.</w:t>
      </w:r>
    </w:p>
    <w:p w14:paraId="4CED51A2" w14:textId="77777777" w:rsidR="00B452E3" w:rsidRDefault="00B452E3" w:rsidP="00824C50"/>
    <w:p w14:paraId="33697725" w14:textId="77777777" w:rsidR="00B452E3" w:rsidRPr="005F434E" w:rsidRDefault="00B452E3" w:rsidP="00B452E3">
      <w:pPr>
        <w:rPr>
          <w:sz w:val="24"/>
          <w:szCs w:val="24"/>
        </w:rPr>
      </w:pPr>
      <w:r w:rsidRPr="005F434E">
        <w:rPr>
          <w:sz w:val="24"/>
          <w:szCs w:val="24"/>
        </w:rPr>
        <w:t xml:space="preserve">Det kan finnas förpackningar kvar på apotek ytterligare en tid, kontrollera lagerstatus på enskild apotek via </w:t>
      </w:r>
      <w:hyperlink r:id="rId8" w:history="1">
        <w:r w:rsidRPr="005F434E">
          <w:rPr>
            <w:rStyle w:val="Hyperlnk"/>
            <w:rFonts w:eastAsiaTheme="majorEastAsia"/>
            <w:sz w:val="24"/>
            <w:szCs w:val="24"/>
          </w:rPr>
          <w:t>fass.se</w:t>
        </w:r>
      </w:hyperlink>
      <w:r w:rsidRPr="005F434E">
        <w:rPr>
          <w:sz w:val="24"/>
          <w:szCs w:val="24"/>
        </w:rPr>
        <w:t xml:space="preserve">.  </w:t>
      </w:r>
    </w:p>
    <w:p w14:paraId="700C91F7" w14:textId="77777777" w:rsidR="00B452E3" w:rsidRPr="005F434E" w:rsidRDefault="00B452E3" w:rsidP="00B452E3">
      <w:pPr>
        <w:rPr>
          <w:sz w:val="24"/>
          <w:szCs w:val="24"/>
        </w:rPr>
      </w:pPr>
    </w:p>
    <w:p w14:paraId="2D48B488" w14:textId="77777777" w:rsidR="00B452E3" w:rsidRPr="005F434E" w:rsidRDefault="00B452E3" w:rsidP="00B452E3">
      <w:pPr>
        <w:rPr>
          <w:sz w:val="24"/>
          <w:szCs w:val="24"/>
        </w:rPr>
      </w:pPr>
      <w:r w:rsidRPr="005F434E">
        <w:rPr>
          <w:sz w:val="24"/>
          <w:szCs w:val="24"/>
        </w:rPr>
        <w:t xml:space="preserve">Det finns andra långverkande beta-2-stimulerande läkemedel, men de tillhandahålls i annan inhalator. Vid byte till innan inhalator bör ställningstagande göras till om patienten är i fortsatt behov av en sprayinhalator samt om det är aktuellt med byte till en kombinationsinhalator. </w:t>
      </w:r>
    </w:p>
    <w:p w14:paraId="59428C5D" w14:textId="77777777" w:rsidR="00B452E3" w:rsidRPr="005F434E" w:rsidRDefault="00B452E3" w:rsidP="00B452E3">
      <w:pPr>
        <w:rPr>
          <w:sz w:val="24"/>
          <w:szCs w:val="24"/>
        </w:rPr>
      </w:pPr>
    </w:p>
    <w:p w14:paraId="690FA626" w14:textId="77777777" w:rsidR="00B452E3" w:rsidRPr="005F434E" w:rsidRDefault="00B452E3" w:rsidP="00B452E3">
      <w:pPr>
        <w:rPr>
          <w:sz w:val="24"/>
          <w:szCs w:val="24"/>
        </w:rPr>
      </w:pPr>
      <w:r w:rsidRPr="005F434E">
        <w:rPr>
          <w:sz w:val="24"/>
          <w:szCs w:val="24"/>
        </w:rPr>
        <w:t xml:space="preserve">Observera att behandling med kombination av olika typer av inhalatorer kan öka risken för användarfel. </w:t>
      </w:r>
    </w:p>
    <w:p w14:paraId="1865DBE5" w14:textId="77777777" w:rsidR="00B452E3" w:rsidRPr="005F434E" w:rsidRDefault="00B452E3" w:rsidP="00B452E3">
      <w:pPr>
        <w:rPr>
          <w:sz w:val="24"/>
          <w:szCs w:val="24"/>
        </w:rPr>
      </w:pPr>
    </w:p>
    <w:p w14:paraId="16B19CBC" w14:textId="77777777" w:rsidR="00B452E3" w:rsidRPr="00197A22" w:rsidRDefault="00B452E3" w:rsidP="00B452E3">
      <w:r w:rsidRPr="005F434E">
        <w:rPr>
          <w:sz w:val="24"/>
          <w:szCs w:val="24"/>
        </w:rPr>
        <w:t xml:space="preserve">Den uppdaterade inhalationskartan finns tillgänglig </w:t>
      </w:r>
      <w:hyperlink r:id="rId9" w:history="1">
        <w:r w:rsidRPr="005F434E">
          <w:rPr>
            <w:rStyle w:val="Hyperlnk"/>
            <w:rFonts w:eastAsiaTheme="majorEastAsia"/>
            <w:sz w:val="24"/>
            <w:szCs w:val="24"/>
          </w:rPr>
          <w:t>här</w:t>
        </w:r>
      </w:hyperlink>
      <w:r>
        <w:t xml:space="preserve">. </w:t>
      </w:r>
    </w:p>
    <w:p w14:paraId="36D6A925" w14:textId="77777777" w:rsidR="00B452E3" w:rsidRPr="00197A22" w:rsidRDefault="00B452E3" w:rsidP="00B452E3"/>
    <w:p w14:paraId="6423C9E7" w14:textId="77777777" w:rsidR="00B452E3" w:rsidRDefault="00B452E3" w:rsidP="00B452E3"/>
    <w:p w14:paraId="4C059E79" w14:textId="32692136" w:rsidR="00B452E3" w:rsidRPr="0097732D" w:rsidRDefault="00B452E3" w:rsidP="00B452E3"/>
    <w:p w14:paraId="0E9D75F5" w14:textId="1FC001DC" w:rsidR="00B452E3" w:rsidRPr="005F434E" w:rsidRDefault="005F434E" w:rsidP="00B452E3">
      <w:pPr>
        <w:spacing w:after="200" w:line="276" w:lineRule="auto"/>
        <w:rPr>
          <w:i/>
          <w:iCs/>
          <w:szCs w:val="24"/>
        </w:rPr>
      </w:pPr>
      <w:r>
        <w:rPr>
          <w:i/>
          <w:iCs/>
          <w:szCs w:val="24"/>
        </w:rPr>
        <w:t>Faktaansvarig:</w:t>
      </w:r>
      <w:r>
        <w:rPr>
          <w:i/>
          <w:iCs/>
          <w:szCs w:val="24"/>
        </w:rPr>
        <w:br/>
      </w:r>
      <w:r w:rsidR="00B452E3" w:rsidRPr="005F434E">
        <w:rPr>
          <w:i/>
          <w:iCs/>
          <w:szCs w:val="24"/>
        </w:rPr>
        <w:t>Linn Svensson, klinisk farmaceut</w:t>
      </w:r>
      <w:r>
        <w:rPr>
          <w:i/>
          <w:iCs/>
          <w:szCs w:val="24"/>
        </w:rPr>
        <w:t>, Läkemedelsenheten</w:t>
      </w:r>
    </w:p>
    <w:p w14:paraId="49C2DDFE" w14:textId="77777777" w:rsidR="00B452E3" w:rsidRDefault="00B452E3" w:rsidP="00B452E3">
      <w:pPr>
        <w:rPr>
          <w:b/>
          <w:bCs/>
        </w:rPr>
      </w:pPr>
    </w:p>
    <w:p w14:paraId="61E51CB1" w14:textId="77777777" w:rsidR="00B452E3" w:rsidRPr="00824C50" w:rsidRDefault="00B452E3" w:rsidP="00824C50"/>
    <w:sectPr w:rsidR="00B452E3" w:rsidRPr="00824C50" w:rsidSect="00824C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ACC8" w14:textId="77777777" w:rsidR="006B7886" w:rsidRDefault="006B7886">
      <w:r>
        <w:separator/>
      </w:r>
    </w:p>
    <w:p w14:paraId="405945BB" w14:textId="77777777" w:rsidR="006B7886" w:rsidRDefault="006B7886"/>
  </w:endnote>
  <w:endnote w:type="continuationSeparator" w:id="0">
    <w:p w14:paraId="70798C61" w14:textId="77777777" w:rsidR="006B7886" w:rsidRDefault="006B7886">
      <w:r>
        <w:continuationSeparator/>
      </w:r>
    </w:p>
    <w:p w14:paraId="020B545C" w14:textId="77777777" w:rsidR="006B7886" w:rsidRDefault="006B7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3CB1597F" w14:textId="77777777" w:rsidTr="00CE1A69">
      <w:trPr>
        <w:tblHeader/>
      </w:trPr>
      <w:tc>
        <w:tcPr>
          <w:tcW w:w="6946" w:type="dxa"/>
          <w:vAlign w:val="bottom"/>
        </w:tcPr>
        <w:p w14:paraId="49337A28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56E224F9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AC32C55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31E5AC85" w14:textId="77777777" w:rsidTr="00F62FFA">
      <w:trPr>
        <w:tblHeader/>
      </w:trPr>
      <w:tc>
        <w:tcPr>
          <w:tcW w:w="6946" w:type="dxa"/>
          <w:vAlign w:val="bottom"/>
        </w:tcPr>
        <w:p w14:paraId="6D0808C1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6844C926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3182B81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F6EC" w14:textId="77777777" w:rsidR="006B7886" w:rsidRDefault="006B7886">
      <w:r>
        <w:separator/>
      </w:r>
    </w:p>
  </w:footnote>
  <w:footnote w:type="continuationSeparator" w:id="0">
    <w:p w14:paraId="6FBA0345" w14:textId="77777777" w:rsidR="006B7886" w:rsidRDefault="006B7886" w:rsidP="007B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5DD9B64C" w14:textId="77777777" w:rsidTr="00612AD4">
      <w:trPr>
        <w:tblHeader/>
      </w:trPr>
      <w:tc>
        <w:tcPr>
          <w:tcW w:w="6579" w:type="dxa"/>
        </w:tcPr>
        <w:p w14:paraId="505442B2" w14:textId="77777777" w:rsidR="00213C44" w:rsidRDefault="00213C44" w:rsidP="00213C44"/>
      </w:tc>
      <w:tc>
        <w:tcPr>
          <w:tcW w:w="2627" w:type="dxa"/>
        </w:tcPr>
        <w:p w14:paraId="4B8F91D0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3ACABDAC" wp14:editId="0EDB42F5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433645E" w14:textId="77777777" w:rsidR="00A85088" w:rsidRDefault="00A85088" w:rsidP="00824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88CB1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0FA855D0" w14:textId="77777777" w:rsidTr="00612AD4">
      <w:trPr>
        <w:tblHeader/>
      </w:trPr>
      <w:tc>
        <w:tcPr>
          <w:tcW w:w="6579" w:type="dxa"/>
        </w:tcPr>
        <w:p w14:paraId="72AA21B0" w14:textId="77777777" w:rsidR="005144CF" w:rsidRDefault="005144CF" w:rsidP="005144CF"/>
      </w:tc>
      <w:tc>
        <w:tcPr>
          <w:tcW w:w="2627" w:type="dxa"/>
        </w:tcPr>
        <w:p w14:paraId="03DB5068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CA471D2" wp14:editId="1BAF3D57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7F0D099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7C7F54B8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B452E3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9B7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3D9E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453B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34E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B7886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2E3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6E2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540E18"/>
  <w15:chartTrackingRefBased/>
  <w15:docId w15:val="{2CCAFEE9-3B05-4F93-9A4A-0C532F07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52E3"/>
    <w:pPr>
      <w:spacing w:after="0" w:line="240" w:lineRule="auto"/>
    </w:pPr>
    <w:rPr>
      <w:rFonts w:ascii="Garamond" w:eastAsia="Times New Roman" w:hAnsi="Garamond"/>
      <w:kern w:val="0"/>
      <w:szCs w:val="20"/>
      <w:lang w:val="sv-SE"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after="120"/>
      <w:outlineLvl w:val="0"/>
    </w:pPr>
    <w:rPr>
      <w:rFonts w:asciiTheme="majorHAnsi" w:eastAsiaTheme="majorEastAsia" w:hAnsiTheme="majorHAnsi"/>
      <w:b/>
      <w:bCs/>
      <w:kern w:val="2"/>
      <w:sz w:val="36"/>
      <w:szCs w:val="28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/>
      <w:outlineLvl w:val="1"/>
    </w:pPr>
    <w:rPr>
      <w:rFonts w:asciiTheme="majorHAnsi" w:eastAsiaTheme="majorEastAsia" w:hAnsiTheme="majorHAnsi"/>
      <w:b/>
      <w:bCs/>
      <w:kern w:val="2"/>
      <w:sz w:val="28"/>
      <w:szCs w:val="26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/>
      <w:outlineLvl w:val="2"/>
    </w:pPr>
    <w:rPr>
      <w:rFonts w:asciiTheme="majorHAnsi" w:eastAsiaTheme="majorEastAsia" w:hAnsiTheme="majorHAnsi"/>
      <w:b/>
      <w:bCs/>
      <w:kern w:val="2"/>
      <w:sz w:val="24"/>
      <w:szCs w:val="22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/>
      <w:outlineLvl w:val="3"/>
    </w:pPr>
    <w:rPr>
      <w:rFonts w:asciiTheme="majorHAnsi" w:eastAsiaTheme="minorHAnsi" w:hAnsiTheme="majorHAnsi"/>
      <w:b/>
      <w:bCs/>
      <w:iCs/>
      <w:kern w:val="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after="120" w:line="300" w:lineRule="atLeast"/>
      <w:outlineLvl w:val="4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after="120" w:line="300" w:lineRule="atLeast"/>
      <w:outlineLvl w:val="5"/>
    </w:pPr>
    <w:rPr>
      <w:rFonts w:asciiTheme="minorHAnsi" w:eastAsiaTheme="minorHAnsi" w:hAnsiTheme="minorHAnsi"/>
      <w:iCs/>
      <w:kern w:val="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after="120" w:line="300" w:lineRule="atLeast"/>
      <w:outlineLvl w:val="6"/>
    </w:pPr>
    <w:rPr>
      <w:rFonts w:asciiTheme="minorHAnsi" w:eastAsiaTheme="majorEastAsia" w:hAnsiTheme="minorHAnsi"/>
      <w:iCs/>
      <w:kern w:val="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 w:after="12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 w:after="12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line="200" w:lineRule="atLeast"/>
    </w:pPr>
    <w:rPr>
      <w:rFonts w:asciiTheme="majorHAnsi" w:eastAsiaTheme="minorHAnsi" w:hAnsiTheme="majorHAnsi"/>
      <w:kern w:val="2"/>
      <w:sz w:val="16"/>
      <w:szCs w:val="22"/>
      <w:lang w:eastAsia="en-US"/>
      <w14:ligatures w14:val="standardContextual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spacing w:after="120" w:line="260" w:lineRule="atLeast"/>
      <w:ind w:left="72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uiPriority w:val="59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 w:after="120" w:line="260" w:lineRule="atLeast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spacing w:after="120" w:line="260" w:lineRule="atLeast"/>
      <w:ind w:left="22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spacing w:after="120" w:line="260" w:lineRule="atLeast"/>
      <w:ind w:left="44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Fotnotstext">
    <w:name w:val="footnote text"/>
    <w:basedOn w:val="Normal"/>
    <w:link w:val="FotnotstextChar"/>
    <w:uiPriority w:val="44"/>
    <w:semiHidden/>
    <w:rsid w:val="00ED1157"/>
    <w:pPr>
      <w:spacing w:after="120" w:line="260" w:lineRule="atLeast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spacing w:after="120" w:line="260" w:lineRule="atLeast"/>
      <w:ind w:left="66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 w:line="260" w:lineRule="atLeast"/>
      <w:ind w:left="80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spacing w:after="120" w:line="260" w:lineRule="atLeast"/>
      <w:contextualSpacing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/>
    </w:pPr>
    <w:rPr>
      <w:rFonts w:asciiTheme="minorHAnsi" w:eastAsiaTheme="minorHAnsi" w:hAnsiTheme="minorHAnsi"/>
      <w:iCs/>
      <w:kern w:val="2"/>
      <w:szCs w:val="18"/>
      <w:lang w:eastAsia="en-US"/>
      <w14:ligatures w14:val="standardContextual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rPr>
      <w:rFonts w:asciiTheme="majorHAnsi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B452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44"/>
    <w:rsid w:val="00B452E3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B452E3"/>
    <w:pPr>
      <w:numPr>
        <w:ilvl w:val="1"/>
      </w:numPr>
      <w:spacing w:after="160" w:line="260" w:lineRule="atLeas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B452E3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B452E3"/>
    <w:pPr>
      <w:spacing w:before="160" w:after="160" w:line="260" w:lineRule="atLeast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44"/>
    <w:rsid w:val="00B452E3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B452E3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B452E3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 w:line="260" w:lineRule="atLeast"/>
      <w:ind w:left="864" w:right="864"/>
      <w:jc w:val="center"/>
    </w:pPr>
    <w:rPr>
      <w:rFonts w:asciiTheme="minorHAnsi" w:eastAsiaTheme="minorHAnsi" w:hAnsiTheme="minorHAnsi"/>
      <w:i/>
      <w:iCs/>
      <w:color w:val="007BA9" w:themeColor="accent1" w:themeShade="BF"/>
      <w:kern w:val="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B452E3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B452E3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ss.se/health/product/20120525000041/stock-statu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gionblekinge.se/download/18.564794a419ed43cacf9ecdd9/1783060964610/Inhalationskarta_2026_juli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852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2026-07-09T07:08:00Z</dcterms:created>
  <dcterms:modified xsi:type="dcterms:W3CDTF">2026-07-09T07:31:00Z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2026-07-09T07:10:14Z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6fb28eb6-0800-44ed-9fae-77b0f8117588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