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263E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1788FF" w:themeColor="text2" w:themeTint="99"/>
          <w:sz w:val="36"/>
          <w:szCs w:val="36"/>
        </w:rPr>
      </w:pPr>
      <w:r w:rsidRPr="00C47247">
        <w:rPr>
          <w:rFonts w:asciiTheme="majorHAnsi" w:hAnsiTheme="majorHAnsi" w:cs="Arial"/>
          <w:b/>
          <w:bCs/>
          <w:color w:val="1788FF" w:themeColor="text2" w:themeTint="99"/>
          <w:sz w:val="36"/>
          <w:szCs w:val="36"/>
        </w:rPr>
        <w:t>Värmebölja -</w:t>
      </w:r>
      <w:r w:rsidRPr="00C47247">
        <w:rPr>
          <w:rFonts w:asciiTheme="majorHAnsi" w:hAnsiTheme="majorHAnsi"/>
          <w:b/>
          <w:bCs/>
          <w:color w:val="1788FF" w:themeColor="text2" w:themeTint="99"/>
          <w:sz w:val="36"/>
          <w:szCs w:val="36"/>
        </w:rPr>
        <w:t xml:space="preserve"> </w:t>
      </w:r>
      <w:r w:rsidRPr="00C47247">
        <w:rPr>
          <w:rFonts w:asciiTheme="majorHAnsi" w:hAnsiTheme="majorHAnsi" w:cs="Arial"/>
          <w:b/>
          <w:bCs/>
          <w:color w:val="1788FF" w:themeColor="text2" w:themeTint="99"/>
          <w:sz w:val="36"/>
          <w:szCs w:val="36"/>
        </w:rPr>
        <w:t>Tillfälligt uppehåll i läkemedelsbehandling</w:t>
      </w:r>
    </w:p>
    <w:p w14:paraId="3B54E94C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ajorHAnsi" w:hAnsiTheme="majorHAnsi" w:cs="Arial"/>
          <w:b/>
          <w:bCs/>
          <w:color w:val="1788FF" w:themeColor="text2" w:themeTint="99"/>
          <w:sz w:val="36"/>
          <w:szCs w:val="36"/>
        </w:rPr>
      </w:pPr>
      <w:r w:rsidRPr="00C47247">
        <w:rPr>
          <w:rFonts w:asciiTheme="majorHAnsi" w:hAnsiTheme="majorHAnsi" w:cs="Arial"/>
          <w:b/>
          <w:bCs/>
          <w:color w:val="1788FF" w:themeColor="text2" w:themeTint="99"/>
          <w:sz w:val="36"/>
          <w:szCs w:val="36"/>
        </w:rPr>
        <w:t>vid akuta tillstånd med risk för eller tecken på intorkning</w:t>
      </w:r>
    </w:p>
    <w:p w14:paraId="60139CD6" w14:textId="77777777" w:rsidR="00D44757" w:rsidRPr="00C47247" w:rsidRDefault="00D44757" w:rsidP="00824C50">
      <w:pPr>
        <w:rPr>
          <w:b/>
          <w:bCs/>
        </w:rPr>
      </w:pPr>
    </w:p>
    <w:p w14:paraId="393DEAC2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i/>
          <w:iCs/>
          <w:color w:val="000000"/>
          <w:sz w:val="24"/>
          <w:szCs w:val="24"/>
        </w:rPr>
      </w:pPr>
      <w:r w:rsidRPr="00C47247"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  <w:t xml:space="preserve">Denna information riktar sig till personal inom hälso- och sjukvården samt kommunal verksamhet. </w:t>
      </w:r>
    </w:p>
    <w:p w14:paraId="30D77A52" w14:textId="77777777" w:rsidR="00C47247" w:rsidRPr="00C47247" w:rsidRDefault="00C47247" w:rsidP="00C47247">
      <w:pPr>
        <w:rPr>
          <w:rFonts w:asciiTheme="majorHAnsi" w:hAnsiTheme="majorHAnsi"/>
          <w:b/>
          <w:bCs/>
          <w:sz w:val="28"/>
          <w:szCs w:val="28"/>
        </w:rPr>
      </w:pPr>
    </w:p>
    <w:p w14:paraId="557C5F73" w14:textId="77777777" w:rsidR="00C47247" w:rsidRPr="00C47247" w:rsidRDefault="00C47247" w:rsidP="00C47247">
      <w:pPr>
        <w:rPr>
          <w:rFonts w:asciiTheme="majorHAnsi" w:hAnsiTheme="majorHAnsi"/>
          <w:b/>
          <w:bCs/>
          <w:sz w:val="28"/>
          <w:szCs w:val="28"/>
        </w:rPr>
      </w:pPr>
      <w:r w:rsidRPr="00C47247">
        <w:rPr>
          <w:rFonts w:asciiTheme="majorHAnsi" w:hAnsiTheme="majorHAnsi" w:cs="Arial"/>
          <w:b/>
          <w:bCs/>
          <w:color w:val="000000"/>
          <w:sz w:val="28"/>
          <w:szCs w:val="28"/>
        </w:rPr>
        <w:t>När en patient riskerar att bli dehydrerad kan läkemedelsbehandlingen behöva ses över eftersom vissa läkemedel kan bli olämpliga.</w:t>
      </w:r>
    </w:p>
    <w:p w14:paraId="1763ED7F" w14:textId="77777777" w:rsidR="00D44757" w:rsidRPr="001F17E0" w:rsidRDefault="00D44757" w:rsidP="00D4475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F9ACC85" w14:textId="77777777" w:rsidR="00D44757" w:rsidRPr="00C47247" w:rsidRDefault="00D44757" w:rsidP="00D44757">
      <w:pPr>
        <w:rPr>
          <w:rFonts w:asciiTheme="minorHAnsi" w:hAnsiTheme="minorHAnsi" w:cs="Arial"/>
          <w:color w:val="000000"/>
          <w:sz w:val="24"/>
          <w:szCs w:val="24"/>
        </w:rPr>
      </w:pPr>
      <w:r w:rsidRPr="00C47247">
        <w:rPr>
          <w:rFonts w:asciiTheme="minorHAnsi" w:hAnsiTheme="minorHAnsi" w:cs="Arial"/>
          <w:color w:val="000000"/>
          <w:sz w:val="24"/>
          <w:szCs w:val="24"/>
        </w:rPr>
        <w:t>Intorkning innebär en ökad risk för njursvikt vilket kan medföra att läkemedel ackumuleras i kroppen och därmed öka risken för biverkningar samt intoxikation.</w:t>
      </w:r>
      <w:r w:rsidRPr="00C47247">
        <w:rPr>
          <w:rFonts w:asciiTheme="minorHAnsi" w:hAnsiTheme="minorHAnsi" w:cs="Arial"/>
          <w:sz w:val="24"/>
          <w:szCs w:val="24"/>
        </w:rPr>
        <w:t xml:space="preserve"> </w:t>
      </w:r>
      <w:r w:rsidRPr="00C47247">
        <w:rPr>
          <w:rFonts w:asciiTheme="minorHAnsi" w:hAnsiTheme="minorHAnsi" w:cs="Arial"/>
          <w:color w:val="000000"/>
          <w:sz w:val="24"/>
          <w:szCs w:val="24"/>
        </w:rPr>
        <w:t xml:space="preserve">Vissa läkemedel kan också öka risken för njursvikt vid intorkning. Därför är det viktigt att förebygga dehydrering samt identifiera personer som är dehydrerade. </w:t>
      </w:r>
    </w:p>
    <w:p w14:paraId="20A4EAAD" w14:textId="77777777" w:rsidR="00D44757" w:rsidRPr="00C47247" w:rsidRDefault="00D44757" w:rsidP="00D44757">
      <w:pPr>
        <w:rPr>
          <w:rFonts w:asciiTheme="minorHAnsi" w:hAnsiTheme="minorHAnsi" w:cs="Arial"/>
          <w:sz w:val="24"/>
          <w:szCs w:val="24"/>
        </w:rPr>
      </w:pPr>
    </w:p>
    <w:p w14:paraId="71CBB919" w14:textId="77777777" w:rsidR="00D44757" w:rsidRPr="00C47247" w:rsidRDefault="00D44757" w:rsidP="00D44757">
      <w:pPr>
        <w:rPr>
          <w:rFonts w:asciiTheme="minorHAnsi" w:hAnsiTheme="minorHAnsi" w:cs="Arial"/>
          <w:b/>
          <w:bCs/>
          <w:color w:val="000000"/>
          <w:sz w:val="24"/>
          <w:szCs w:val="24"/>
        </w:rPr>
      </w:pPr>
      <w:r w:rsidRPr="00C47247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Åtgärder för personal </w:t>
      </w:r>
    </w:p>
    <w:p w14:paraId="2F88F483" w14:textId="77777777" w:rsidR="00D44757" w:rsidRPr="00C47247" w:rsidRDefault="00D44757" w:rsidP="00D44757">
      <w:pPr>
        <w:rPr>
          <w:rFonts w:asciiTheme="minorHAnsi" w:hAnsiTheme="minorHAnsi" w:cs="Arial"/>
          <w:color w:val="000000"/>
          <w:sz w:val="24"/>
          <w:szCs w:val="24"/>
        </w:rPr>
      </w:pPr>
      <w:r w:rsidRPr="00C47247">
        <w:rPr>
          <w:rFonts w:asciiTheme="minorHAnsi" w:hAnsiTheme="minorHAnsi" w:cs="Arial"/>
          <w:color w:val="000000"/>
          <w:sz w:val="24"/>
          <w:szCs w:val="24"/>
        </w:rPr>
        <w:t>- att som vårdpersonal försöka minska risken för dehydrering genom lämpliga omvårdnadsåtgärder</w:t>
      </w:r>
    </w:p>
    <w:p w14:paraId="341905F4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  <w:r w:rsidRPr="00C47247">
        <w:rPr>
          <w:rFonts w:asciiTheme="minorHAnsi" w:hAnsiTheme="minorHAnsi" w:cs="Arial"/>
          <w:sz w:val="24"/>
          <w:szCs w:val="24"/>
        </w:rPr>
        <w:t>- att som sjuksköterska identifiera riskläkemedel vid dehydrering och kontakta läkare</w:t>
      </w:r>
    </w:p>
    <w:p w14:paraId="3F063C9B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  <w:r w:rsidRPr="00C47247">
        <w:rPr>
          <w:rFonts w:asciiTheme="minorHAnsi" w:hAnsiTheme="minorHAnsi" w:cs="Arial"/>
          <w:sz w:val="24"/>
          <w:szCs w:val="24"/>
        </w:rPr>
        <w:t>- att som läkare avgöra och besluta om tillfälligt uppehåll eller dosjustering, uppföljning och tid för återinsättning</w:t>
      </w:r>
    </w:p>
    <w:p w14:paraId="6D4FCD6A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</w:p>
    <w:p w14:paraId="298843CF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  <w:r w:rsidRPr="00C47247">
        <w:rPr>
          <w:rFonts w:asciiTheme="minorHAnsi" w:hAnsiTheme="minorHAnsi" w:cs="Arial"/>
          <w:sz w:val="24"/>
          <w:szCs w:val="24"/>
        </w:rPr>
        <w:t xml:space="preserve">Enligt de regionala rekommendationerna från terapigrupperna och läkare på njurmedicin bör patienter som står på </w:t>
      </w:r>
      <w:r w:rsidRPr="00C47247">
        <w:rPr>
          <w:rFonts w:asciiTheme="minorHAnsi" w:hAnsiTheme="minorHAnsi" w:cs="Arial"/>
          <w:b/>
          <w:bCs/>
          <w:sz w:val="24"/>
          <w:szCs w:val="24"/>
        </w:rPr>
        <w:t>diuretika, metformin</w:t>
      </w:r>
      <w:r w:rsidRPr="00C47247">
        <w:rPr>
          <w:rFonts w:asciiTheme="minorHAnsi" w:hAnsiTheme="minorHAnsi" w:cs="Arial"/>
          <w:sz w:val="24"/>
          <w:szCs w:val="24"/>
        </w:rPr>
        <w:t xml:space="preserve">, </w:t>
      </w:r>
      <w:r w:rsidRPr="00C47247">
        <w:rPr>
          <w:rFonts w:asciiTheme="minorHAnsi" w:hAnsiTheme="minorHAnsi" w:cs="Arial"/>
          <w:b/>
          <w:bCs/>
          <w:sz w:val="24"/>
          <w:szCs w:val="24"/>
        </w:rPr>
        <w:t>SGLT2-hämmare</w:t>
      </w:r>
      <w:r w:rsidRPr="00C47247">
        <w:rPr>
          <w:rFonts w:asciiTheme="minorHAnsi" w:hAnsiTheme="minorHAnsi" w:cs="Arial"/>
          <w:sz w:val="24"/>
          <w:szCs w:val="24"/>
        </w:rPr>
        <w:t xml:space="preserve">, </w:t>
      </w:r>
      <w:r w:rsidRPr="00C47247">
        <w:rPr>
          <w:rFonts w:asciiTheme="minorHAnsi" w:hAnsiTheme="minorHAnsi" w:cs="Arial"/>
          <w:b/>
          <w:bCs/>
          <w:sz w:val="24"/>
          <w:szCs w:val="24"/>
        </w:rPr>
        <w:t>NSAID</w:t>
      </w:r>
      <w:r w:rsidRPr="00C47247">
        <w:rPr>
          <w:rFonts w:asciiTheme="minorHAnsi" w:hAnsiTheme="minorHAnsi" w:cs="Arial"/>
          <w:sz w:val="24"/>
          <w:szCs w:val="24"/>
        </w:rPr>
        <w:t xml:space="preserve"> (exkl. låg-dos ASA) och/eller </w:t>
      </w:r>
      <w:r w:rsidRPr="00C47247">
        <w:rPr>
          <w:rFonts w:asciiTheme="minorHAnsi" w:hAnsiTheme="minorHAnsi" w:cs="Arial"/>
          <w:b/>
          <w:bCs/>
          <w:sz w:val="24"/>
          <w:szCs w:val="24"/>
        </w:rPr>
        <w:t>ACE-hämmare/ARB</w:t>
      </w:r>
      <w:r w:rsidRPr="00C47247">
        <w:rPr>
          <w:rFonts w:asciiTheme="minorHAnsi" w:hAnsiTheme="minorHAnsi" w:cs="Arial"/>
          <w:sz w:val="24"/>
          <w:szCs w:val="24"/>
        </w:rPr>
        <w:t xml:space="preserve"> vara välinformerade om att preparaten tillfälligt ska sättas ut vid dehydrering. I mallarna för NSAID, metformin och SGLT2-hämmare har tillägg gjorts i ”notera vid administrering” angående tablettuppehåll vid vätskebrist. </w:t>
      </w:r>
    </w:p>
    <w:p w14:paraId="6B9E300B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</w:p>
    <w:p w14:paraId="2EA5F9A7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  <w:r w:rsidRPr="00C47247">
        <w:rPr>
          <w:rFonts w:asciiTheme="minorHAnsi" w:hAnsiTheme="minorHAnsi" w:cs="Arial"/>
          <w:sz w:val="24"/>
          <w:szCs w:val="24"/>
        </w:rPr>
        <w:t>I de fall patienten står på läkemedel med smalt terapeutiskt fönster, till exempel litium och Digoxin, och där längre avbrott i behandlingen kan vara oönskad bör patienten alltid kontakta sjukvården för att diskutera hur de ska förfara i situationer med risk för dehydrering (</w:t>
      </w:r>
      <w:hyperlink r:id="rId8" w:history="1">
        <w:r w:rsidRPr="00C47247">
          <w:rPr>
            <w:rStyle w:val="Hyperlnk"/>
            <w:rFonts w:asciiTheme="minorHAnsi" w:eastAsiaTheme="majorEastAsia" w:hAnsiTheme="minorHAnsi" w:cs="Arial"/>
            <w:sz w:val="24"/>
            <w:szCs w:val="24"/>
          </w:rPr>
          <w:t>Läkemedel som kräver noggrant övervägande</w:t>
        </w:r>
      </w:hyperlink>
      <w:r w:rsidRPr="00C47247">
        <w:rPr>
          <w:rFonts w:asciiTheme="minorHAnsi" w:hAnsiTheme="minorHAnsi" w:cs="Arial"/>
          <w:sz w:val="24"/>
          <w:szCs w:val="24"/>
        </w:rPr>
        <w:t xml:space="preserve">). </w:t>
      </w:r>
    </w:p>
    <w:p w14:paraId="306745A0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4"/>
          <w:szCs w:val="24"/>
        </w:rPr>
      </w:pPr>
    </w:p>
    <w:p w14:paraId="04E6C952" w14:textId="77777777" w:rsidR="00D44757" w:rsidRPr="00C47247" w:rsidRDefault="00D44757" w:rsidP="00D44757">
      <w:pPr>
        <w:autoSpaceDE w:val="0"/>
        <w:autoSpaceDN w:val="0"/>
        <w:adjustRightInd w:val="0"/>
        <w:rPr>
          <w:rFonts w:asciiTheme="minorHAnsi" w:hAnsiTheme="minorHAnsi" w:cs="Arial"/>
          <w:sz w:val="24"/>
          <w:szCs w:val="24"/>
        </w:rPr>
      </w:pPr>
      <w:r w:rsidRPr="00C47247">
        <w:rPr>
          <w:rFonts w:asciiTheme="minorHAnsi" w:hAnsiTheme="minorHAnsi" w:cs="Arial"/>
          <w:sz w:val="24"/>
          <w:szCs w:val="24"/>
        </w:rPr>
        <w:t xml:space="preserve">Observera att rekommendationerna inte ersätter en individuell bedömning av patientens sammantagna läkemedelsbehandling. </w:t>
      </w:r>
    </w:p>
    <w:p w14:paraId="46294B63" w14:textId="77777777" w:rsidR="00D44757" w:rsidRPr="00C47247" w:rsidRDefault="00D44757" w:rsidP="00824C50">
      <w:pPr>
        <w:rPr>
          <w:rFonts w:asciiTheme="minorHAnsi" w:hAnsiTheme="minorHAnsi"/>
          <w:sz w:val="24"/>
          <w:szCs w:val="24"/>
        </w:rPr>
      </w:pPr>
    </w:p>
    <w:p w14:paraId="11FDE9EB" w14:textId="77777777" w:rsidR="00D44757" w:rsidRPr="00C47247" w:rsidRDefault="00D44757" w:rsidP="00824C50">
      <w:pPr>
        <w:rPr>
          <w:rFonts w:asciiTheme="minorHAnsi" w:hAnsiTheme="minorHAnsi"/>
          <w:sz w:val="24"/>
          <w:szCs w:val="24"/>
        </w:rPr>
      </w:pPr>
    </w:p>
    <w:p w14:paraId="2DB5BF44" w14:textId="77777777" w:rsidR="00C47247" w:rsidRDefault="00C47247" w:rsidP="00D44757">
      <w:pPr>
        <w:rPr>
          <w:rFonts w:asciiTheme="minorHAnsi" w:hAnsiTheme="minorHAnsi" w:cs="Arial"/>
          <w:i/>
          <w:iCs/>
          <w:szCs w:val="22"/>
        </w:rPr>
      </w:pPr>
      <w:r>
        <w:rPr>
          <w:rFonts w:asciiTheme="minorHAnsi" w:hAnsiTheme="minorHAnsi" w:cs="Arial"/>
          <w:i/>
          <w:iCs/>
          <w:szCs w:val="22"/>
        </w:rPr>
        <w:t>Faktaansvarig:</w:t>
      </w:r>
    </w:p>
    <w:p w14:paraId="1B581995" w14:textId="62925F14" w:rsidR="00D44757" w:rsidRPr="00C47247" w:rsidRDefault="00D44757" w:rsidP="00D44757">
      <w:pPr>
        <w:rPr>
          <w:rFonts w:asciiTheme="minorHAnsi" w:hAnsiTheme="minorHAnsi" w:cs="Arial"/>
          <w:i/>
          <w:iCs/>
          <w:szCs w:val="22"/>
        </w:rPr>
      </w:pPr>
      <w:r w:rsidRPr="00C47247">
        <w:rPr>
          <w:rFonts w:asciiTheme="minorHAnsi" w:hAnsiTheme="minorHAnsi" w:cs="Arial"/>
          <w:i/>
          <w:iCs/>
          <w:szCs w:val="22"/>
        </w:rPr>
        <w:t>Linn Svensson, Klinisk farmaceut</w:t>
      </w:r>
      <w:r w:rsidR="00C47247">
        <w:rPr>
          <w:rFonts w:asciiTheme="minorHAnsi" w:hAnsiTheme="minorHAnsi" w:cs="Arial"/>
          <w:i/>
          <w:iCs/>
          <w:szCs w:val="22"/>
        </w:rPr>
        <w:t xml:space="preserve"> Läkemedelsenheten</w:t>
      </w:r>
    </w:p>
    <w:p w14:paraId="03595907" w14:textId="3856229B" w:rsidR="00D44757" w:rsidRPr="00C47247" w:rsidRDefault="00D44757" w:rsidP="00824C50">
      <w:pPr>
        <w:rPr>
          <w:rFonts w:ascii="Arial" w:hAnsi="Arial" w:cs="Arial"/>
        </w:rPr>
      </w:pPr>
    </w:p>
    <w:sectPr w:rsidR="00D44757" w:rsidRPr="00C47247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D123" w14:textId="77777777" w:rsidR="00937ABB" w:rsidRDefault="00937ABB">
      <w:r>
        <w:separator/>
      </w:r>
    </w:p>
    <w:p w14:paraId="2BF9EEA1" w14:textId="77777777" w:rsidR="00937ABB" w:rsidRDefault="00937ABB"/>
  </w:endnote>
  <w:endnote w:type="continuationSeparator" w:id="0">
    <w:p w14:paraId="0E042CD4" w14:textId="77777777" w:rsidR="00937ABB" w:rsidRDefault="00937ABB">
      <w:r>
        <w:continuationSeparator/>
      </w:r>
    </w:p>
    <w:p w14:paraId="51386954" w14:textId="77777777" w:rsidR="00937ABB" w:rsidRDefault="00937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00858A25" w14:textId="77777777" w:rsidTr="00CE1A69">
      <w:trPr>
        <w:tblHeader/>
      </w:trPr>
      <w:tc>
        <w:tcPr>
          <w:tcW w:w="6946" w:type="dxa"/>
          <w:vAlign w:val="bottom"/>
        </w:tcPr>
        <w:p w14:paraId="1209DC47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F544FC9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E1162CB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140C659C" w14:textId="77777777" w:rsidTr="00F62FFA">
      <w:trPr>
        <w:tblHeader/>
      </w:trPr>
      <w:tc>
        <w:tcPr>
          <w:tcW w:w="6946" w:type="dxa"/>
          <w:vAlign w:val="bottom"/>
        </w:tcPr>
        <w:p w14:paraId="0A75BB5E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1A1B793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AA2D808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1EC0" w14:textId="77777777" w:rsidR="00937ABB" w:rsidRDefault="00937ABB">
      <w:r>
        <w:separator/>
      </w:r>
    </w:p>
  </w:footnote>
  <w:footnote w:type="continuationSeparator" w:id="0">
    <w:p w14:paraId="2C0D96ED" w14:textId="77777777" w:rsidR="00937ABB" w:rsidRDefault="00937ABB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7F306639" w14:textId="77777777" w:rsidTr="00612AD4">
      <w:trPr>
        <w:tblHeader/>
      </w:trPr>
      <w:tc>
        <w:tcPr>
          <w:tcW w:w="6579" w:type="dxa"/>
        </w:tcPr>
        <w:p w14:paraId="605E7DB0" w14:textId="77777777" w:rsidR="00213C44" w:rsidRDefault="00213C44" w:rsidP="00213C44"/>
      </w:tc>
      <w:tc>
        <w:tcPr>
          <w:tcW w:w="2627" w:type="dxa"/>
        </w:tcPr>
        <w:p w14:paraId="2408C313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AD1B871" wp14:editId="4A9D8DB5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CE8CFE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8727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4D9C3228" w14:textId="77777777" w:rsidTr="00612AD4">
      <w:trPr>
        <w:tblHeader/>
      </w:trPr>
      <w:tc>
        <w:tcPr>
          <w:tcW w:w="6579" w:type="dxa"/>
        </w:tcPr>
        <w:p w14:paraId="3A19C969" w14:textId="77777777" w:rsidR="005144CF" w:rsidRDefault="005144CF" w:rsidP="005144CF"/>
      </w:tc>
      <w:tc>
        <w:tcPr>
          <w:tcW w:w="2627" w:type="dxa"/>
        </w:tcPr>
        <w:p w14:paraId="0A50821C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9523D9C" wp14:editId="03124FE2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3CF508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9911F34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D44757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144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453B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ABB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247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757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6E2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5935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690661"/>
  <w15:chartTrackingRefBased/>
  <w15:docId w15:val="{7F5A231B-B3AB-48C8-8879-0B57BFD5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757"/>
    <w:pPr>
      <w:spacing w:after="0" w:line="240" w:lineRule="auto"/>
    </w:pPr>
    <w:rPr>
      <w:rFonts w:ascii="Garamond" w:eastAsia="Times New Roman" w:hAnsi="Garamond"/>
      <w:kern w:val="0"/>
      <w:szCs w:val="20"/>
      <w:lang w:val="sv-SE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after="120"/>
      <w:outlineLvl w:val="0"/>
    </w:pPr>
    <w:rPr>
      <w:rFonts w:asciiTheme="majorHAnsi" w:eastAsiaTheme="majorEastAsia" w:hAnsiTheme="majorHAnsi"/>
      <w:b/>
      <w:bCs/>
      <w:kern w:val="2"/>
      <w:sz w:val="36"/>
      <w:szCs w:val="28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kern w:val="2"/>
      <w:sz w:val="28"/>
      <w:szCs w:val="26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kern w:val="2"/>
      <w:sz w:val="24"/>
      <w:szCs w:val="22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eastAsiaTheme="minorHAnsi" w:hAnsiTheme="majorHAnsi"/>
      <w:b/>
      <w:bCs/>
      <w:iCs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after="120" w:line="300" w:lineRule="atLeast"/>
      <w:outlineLvl w:val="4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after="120" w:line="300" w:lineRule="atLeast"/>
      <w:outlineLvl w:val="5"/>
    </w:pPr>
    <w:rPr>
      <w:rFonts w:asciiTheme="minorHAnsi" w:eastAsiaTheme="minorHAnsi" w:hAnsiTheme="minorHAnsi"/>
      <w:iCs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after="120" w:line="300" w:lineRule="atLeast"/>
      <w:outlineLvl w:val="6"/>
    </w:pPr>
    <w:rPr>
      <w:rFonts w:asciiTheme="minorHAnsi" w:eastAsiaTheme="majorEastAsia" w:hAnsiTheme="minorHAnsi"/>
      <w:iCs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 w:after="12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 w:after="12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eastAsiaTheme="minorHAnsi" w:hAnsiTheme="majorHAnsi"/>
      <w:kern w:val="2"/>
      <w:sz w:val="16"/>
      <w:szCs w:val="22"/>
      <w:lang w:eastAsia="en-US"/>
      <w14:ligatures w14:val="standardContextual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spacing w:after="120" w:line="260" w:lineRule="atLeast"/>
      <w:ind w:left="72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uiPriority w:val="59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 w:after="120" w:line="260" w:lineRule="atLeast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spacing w:after="120" w:line="260" w:lineRule="atLeast"/>
      <w:ind w:left="22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spacing w:after="120" w:line="260" w:lineRule="atLeast"/>
      <w:ind w:left="44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pPr>
      <w:spacing w:after="120" w:line="260" w:lineRule="atLeast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spacing w:after="120" w:line="260" w:lineRule="atLeast"/>
      <w:ind w:left="66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 w:line="260" w:lineRule="atLeast"/>
      <w:ind w:left="80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spacing w:after="120" w:line="260" w:lineRule="atLeast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rFonts w:asciiTheme="minorHAnsi" w:eastAsiaTheme="minorHAnsi" w:hAnsiTheme="minorHAnsi"/>
      <w:iCs/>
      <w:kern w:val="2"/>
      <w:szCs w:val="18"/>
      <w:lang w:eastAsia="en-US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D44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D44757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D44757"/>
    <w:pPr>
      <w:numPr>
        <w:ilvl w:val="1"/>
      </w:numPr>
      <w:spacing w:after="160" w:line="26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D44757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D44757"/>
    <w:pPr>
      <w:spacing w:before="160" w:after="160" w:line="26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D44757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D44757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D44757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/>
      <w:i/>
      <w:iCs/>
      <w:color w:val="007BA9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D44757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D44757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blekinge.se/halsa-och-vard/for-vardgivare/lakemedel/rekommenderade-lakemedel/riktlinjer-och-ovrig-information/lakemedel-som-kraver-noggrant-overvagand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2026-07-09T06:58:00Z</dcterms:created>
  <dcterms:modified xsi:type="dcterms:W3CDTF">2026-07-09T07:20:00Z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2026-07-09T07:00:00Z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decbe537-5104-4926-b1b4-f218649251b8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