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F596" w14:textId="77777777" w:rsidR="00BE2213" w:rsidRPr="00CC2584" w:rsidRDefault="00BE2213" w:rsidP="00BE2213">
      <w:pPr>
        <w:rPr>
          <w:rFonts w:ascii="Corbel" w:eastAsiaTheme="majorEastAsia" w:hAnsi="Corbel" w:cstheme="majorBidi"/>
          <w:b/>
          <w:bCs/>
          <w:sz w:val="36"/>
          <w:szCs w:val="36"/>
        </w:rPr>
      </w:pPr>
      <w:r w:rsidRPr="00CC2584">
        <w:rPr>
          <w:rFonts w:ascii="Corbel" w:eastAsiaTheme="majorEastAsia" w:hAnsi="Corbel" w:cstheme="majorBidi"/>
          <w:b/>
          <w:bCs/>
          <w:color w:val="1788FF" w:themeColor="text2" w:themeTint="99"/>
          <w:sz w:val="36"/>
          <w:szCs w:val="36"/>
        </w:rPr>
        <w:t>Waran utgår ur läkemedelsförmånen</w:t>
      </w:r>
    </w:p>
    <w:p w14:paraId="374FD894" w14:textId="77777777" w:rsidR="004D031A" w:rsidRDefault="004D031A" w:rsidP="00824C50"/>
    <w:p w14:paraId="03CF47BC" w14:textId="77777777" w:rsidR="00BE2213" w:rsidRDefault="00BE2213" w:rsidP="00824C50"/>
    <w:p w14:paraId="0A35A95C" w14:textId="07296DA5" w:rsidR="00BE2213" w:rsidRPr="00CC2584" w:rsidRDefault="00BE2213" w:rsidP="00824C50">
      <w:pPr>
        <w:rPr>
          <w:rFonts w:asciiTheme="majorHAnsi" w:hAnsiTheme="majorHAnsi"/>
          <w:b/>
          <w:bCs/>
          <w:sz w:val="28"/>
          <w:szCs w:val="28"/>
        </w:rPr>
      </w:pPr>
      <w:r w:rsidRPr="00CC2584">
        <w:rPr>
          <w:rFonts w:asciiTheme="majorHAnsi" w:hAnsiTheme="majorHAnsi"/>
          <w:b/>
          <w:bCs/>
          <w:sz w:val="28"/>
          <w:szCs w:val="28"/>
        </w:rPr>
        <w:t xml:space="preserve">Från och med 1 juli 2026 utgår Waran (warfarin 2,5 mg), blå tabletter, ur läkemedelsförmånen på begäran av företaget. Åtgärd kan behövas enligt nedan. </w:t>
      </w:r>
    </w:p>
    <w:p w14:paraId="579A4677" w14:textId="77777777" w:rsidR="00BE2213" w:rsidRDefault="00BE2213" w:rsidP="00824C50"/>
    <w:p w14:paraId="47ED5B14" w14:textId="77777777" w:rsidR="00BE2213" w:rsidRPr="00CC2584" w:rsidRDefault="00BE2213" w:rsidP="00BE2213">
      <w:pPr>
        <w:rPr>
          <w:sz w:val="24"/>
          <w:szCs w:val="24"/>
        </w:rPr>
      </w:pPr>
      <w:r w:rsidRPr="00CC2584">
        <w:rPr>
          <w:sz w:val="24"/>
          <w:szCs w:val="24"/>
        </w:rPr>
        <w:t>Waran kommer att finnas kvar på den svenska marknaden, men patienten får betala hela kostnaden själv, eftersom läkemedlet inte ingår längre i högkostnadsskyddet.</w:t>
      </w:r>
    </w:p>
    <w:p w14:paraId="644F2895" w14:textId="77777777" w:rsidR="00BE2213" w:rsidRPr="00CC2584" w:rsidRDefault="00BE2213" w:rsidP="00BE2213">
      <w:pPr>
        <w:rPr>
          <w:sz w:val="24"/>
          <w:szCs w:val="24"/>
        </w:rPr>
      </w:pPr>
    </w:p>
    <w:p w14:paraId="3D9D1701" w14:textId="08AF1EBF" w:rsidR="00BE2213" w:rsidRPr="00CC2584" w:rsidRDefault="00BE2213" w:rsidP="00BE2213">
      <w:pPr>
        <w:rPr>
          <w:b/>
          <w:bCs/>
          <w:sz w:val="24"/>
          <w:szCs w:val="24"/>
          <w:u w:val="single"/>
        </w:rPr>
      </w:pPr>
      <w:r w:rsidRPr="00CC2584">
        <w:rPr>
          <w:b/>
          <w:bCs/>
          <w:sz w:val="24"/>
          <w:szCs w:val="24"/>
          <w:u w:val="single"/>
        </w:rPr>
        <w:t>Behandlingsalternativ</w:t>
      </w:r>
      <w:r w:rsidR="00CC2584">
        <w:rPr>
          <w:b/>
          <w:bCs/>
          <w:sz w:val="24"/>
          <w:szCs w:val="24"/>
          <w:u w:val="single"/>
        </w:rPr>
        <w:t>:</w:t>
      </w:r>
    </w:p>
    <w:p w14:paraId="4E884CAA" w14:textId="77777777" w:rsidR="00BE2213" w:rsidRPr="00CC2584" w:rsidRDefault="00BE2213" w:rsidP="00BE2213">
      <w:pPr>
        <w:rPr>
          <w:sz w:val="24"/>
          <w:szCs w:val="24"/>
        </w:rPr>
      </w:pPr>
      <w:r w:rsidRPr="00CC2584">
        <w:rPr>
          <w:sz w:val="24"/>
          <w:szCs w:val="24"/>
        </w:rPr>
        <w:t xml:space="preserve">Warfarin Orion (warfarin 2,5 mg), vita tabletter, ingår fortsatt i förmånen. </w:t>
      </w:r>
      <w:r w:rsidRPr="00CC2584">
        <w:rPr>
          <w:sz w:val="24"/>
          <w:szCs w:val="24"/>
          <w:u w:val="single"/>
        </w:rPr>
        <w:t>Nytt recept krävs</w:t>
      </w:r>
      <w:r w:rsidRPr="00CC2584">
        <w:rPr>
          <w:sz w:val="24"/>
          <w:szCs w:val="24"/>
        </w:rPr>
        <w:t xml:space="preserve"> då Waran och Warfarin Orion inte är utbytbara på apotek. Receptförnyelse kan ske då patient eller apotek kontaktar förskrivaren. </w:t>
      </w:r>
      <w:r w:rsidRPr="00CC2584">
        <w:rPr>
          <w:b/>
          <w:bCs/>
          <w:sz w:val="24"/>
          <w:szCs w:val="24"/>
        </w:rPr>
        <w:t>Informera AK-mottagningen</w:t>
      </w:r>
      <w:r w:rsidRPr="00CC2584">
        <w:rPr>
          <w:sz w:val="24"/>
          <w:szCs w:val="24"/>
        </w:rPr>
        <w:t xml:space="preserve"> vid receptförnyelse via Messengerfunktionen eller via konsultremiss i Cosmic, för ställningstagande till om ett nytt PK-prov behöver tas.</w:t>
      </w:r>
    </w:p>
    <w:p w14:paraId="5DF204A6" w14:textId="77777777" w:rsidR="00BE2213" w:rsidRPr="00CC2584" w:rsidRDefault="00BE2213" w:rsidP="00BE2213">
      <w:pPr>
        <w:rPr>
          <w:sz w:val="24"/>
          <w:szCs w:val="24"/>
        </w:rPr>
      </w:pPr>
    </w:p>
    <w:p w14:paraId="28A94DEA" w14:textId="77777777" w:rsidR="00BE2213" w:rsidRPr="00CC2584" w:rsidRDefault="00BE2213" w:rsidP="00BE2213">
      <w:pPr>
        <w:rPr>
          <w:sz w:val="24"/>
          <w:szCs w:val="24"/>
        </w:rPr>
      </w:pPr>
      <w:r w:rsidRPr="00CC2584">
        <w:rPr>
          <w:sz w:val="24"/>
          <w:szCs w:val="24"/>
        </w:rPr>
        <w:t>Vid bytet till Warfarin Orion, det är viktigt att informera patienten om att tabletten saknar den blåa färgämnet till skillnad från Waran. För att minska risken för förväxling, bra att tipsa patienter med dosett om att ha en separat dosett eller ett separat fack till de vita warfarin-tabletterna för att inte blanda ihop med övrig medicinering och lättare kunna identifiera tabletterna vid behov av akut dosändring.</w:t>
      </w:r>
    </w:p>
    <w:p w14:paraId="021EDC48" w14:textId="77777777" w:rsidR="00BE2213" w:rsidRPr="00CC2584" w:rsidRDefault="00BE2213" w:rsidP="00BE2213">
      <w:pPr>
        <w:rPr>
          <w:sz w:val="24"/>
          <w:szCs w:val="24"/>
        </w:rPr>
      </w:pPr>
    </w:p>
    <w:p w14:paraId="74F57A90" w14:textId="77777777" w:rsidR="00BE2213" w:rsidRPr="00CC2584" w:rsidRDefault="00BE2213" w:rsidP="00BE2213">
      <w:pPr>
        <w:rPr>
          <w:sz w:val="24"/>
          <w:szCs w:val="24"/>
        </w:rPr>
      </w:pPr>
      <w:r w:rsidRPr="00CC2584">
        <w:rPr>
          <w:sz w:val="24"/>
          <w:szCs w:val="24"/>
        </w:rPr>
        <w:t xml:space="preserve">För patienter som önskar att stå kvar på Waran 2,5 mg (blå tablett) och är beredda att betala hela kostnaden själva krävs ingen åtgärd. </w:t>
      </w:r>
    </w:p>
    <w:p w14:paraId="086BE04D" w14:textId="77777777" w:rsidR="00BE2213" w:rsidRPr="00CC2584" w:rsidRDefault="00BE2213" w:rsidP="00BE2213">
      <w:pPr>
        <w:rPr>
          <w:sz w:val="24"/>
          <w:szCs w:val="24"/>
        </w:rPr>
      </w:pPr>
    </w:p>
    <w:p w14:paraId="2D88A970" w14:textId="77777777" w:rsidR="00BE2213" w:rsidRPr="00CC2584" w:rsidRDefault="00BE2213" w:rsidP="00BE2213">
      <w:pPr>
        <w:rPr>
          <w:sz w:val="24"/>
          <w:szCs w:val="24"/>
        </w:rPr>
      </w:pPr>
      <w:r w:rsidRPr="00CC2584">
        <w:rPr>
          <w:sz w:val="24"/>
          <w:szCs w:val="24"/>
        </w:rPr>
        <w:t xml:space="preserve">Informera patienten om att det är fri prissättning på läkemedel som inte ingår i förmån, vilket innebär att priset kan variera mellan apotekskedjorna och över tid. </w:t>
      </w:r>
    </w:p>
    <w:p w14:paraId="6ED901C1" w14:textId="77777777" w:rsidR="00BE2213" w:rsidRPr="00CC2584" w:rsidRDefault="00BE2213" w:rsidP="00BE2213">
      <w:pPr>
        <w:rPr>
          <w:b/>
          <w:bCs/>
          <w:sz w:val="24"/>
          <w:szCs w:val="24"/>
        </w:rPr>
      </w:pPr>
    </w:p>
    <w:p w14:paraId="162541AD" w14:textId="77777777" w:rsidR="00BE2213" w:rsidRPr="00CC2584" w:rsidRDefault="00BE2213" w:rsidP="00BE2213">
      <w:pPr>
        <w:rPr>
          <w:sz w:val="24"/>
          <w:szCs w:val="24"/>
        </w:rPr>
      </w:pPr>
      <w:r w:rsidRPr="00CC2584">
        <w:rPr>
          <w:sz w:val="24"/>
          <w:szCs w:val="24"/>
        </w:rPr>
        <w:t>Läkemedelsenheten har tagit fram ett patientinformationsblad som kan användas vid kontakt med patienten ”</w:t>
      </w:r>
      <w:hyperlink r:id="rId8" w:history="1">
        <w:r w:rsidRPr="00CC2584">
          <w:rPr>
            <w:rStyle w:val="Hyperlnk"/>
            <w:rFonts w:eastAsiaTheme="majorEastAsia"/>
            <w:sz w:val="24"/>
            <w:szCs w:val="24"/>
          </w:rPr>
          <w:t>Till dig som medicinerar med Waran 2,5 mg</w:t>
        </w:r>
      </w:hyperlink>
      <w:r w:rsidRPr="00CC2584">
        <w:rPr>
          <w:sz w:val="24"/>
          <w:szCs w:val="24"/>
        </w:rPr>
        <w:t xml:space="preserve">”. Dokumentet har även skickats till apoteken i Blekinge för att kunna ges till patienter vid receptexpedition. </w:t>
      </w:r>
    </w:p>
    <w:p w14:paraId="2E55475D" w14:textId="77777777" w:rsidR="00BE2213" w:rsidRPr="00CC2584" w:rsidRDefault="00BE2213" w:rsidP="00BE2213">
      <w:pPr>
        <w:rPr>
          <w:sz w:val="24"/>
          <w:szCs w:val="24"/>
        </w:rPr>
      </w:pPr>
    </w:p>
    <w:p w14:paraId="7F1B4163" w14:textId="10FD7BDD" w:rsidR="00BE2213" w:rsidRPr="00CC2584" w:rsidRDefault="00CC2584" w:rsidP="00BE2213">
      <w:pPr>
        <w:spacing w:after="200" w:line="276" w:lineRule="auto"/>
        <w:rPr>
          <w:i/>
          <w:iCs/>
          <w:szCs w:val="24"/>
        </w:rPr>
      </w:pPr>
      <w:r>
        <w:rPr>
          <w:i/>
          <w:iCs/>
          <w:szCs w:val="24"/>
        </w:rPr>
        <w:t>Faktaansvarig:</w:t>
      </w:r>
      <w:r>
        <w:rPr>
          <w:i/>
          <w:iCs/>
          <w:szCs w:val="24"/>
        </w:rPr>
        <w:br/>
      </w:r>
      <w:r w:rsidR="00BE2213" w:rsidRPr="00CC2584">
        <w:rPr>
          <w:i/>
          <w:iCs/>
          <w:szCs w:val="24"/>
        </w:rPr>
        <w:t>Hala</w:t>
      </w:r>
      <w:r w:rsidRPr="00CC2584">
        <w:rPr>
          <w:i/>
          <w:iCs/>
          <w:szCs w:val="24"/>
        </w:rPr>
        <w:t>h</w:t>
      </w:r>
      <w:r w:rsidR="00BE2213" w:rsidRPr="00CC2584">
        <w:rPr>
          <w:i/>
          <w:iCs/>
          <w:szCs w:val="24"/>
        </w:rPr>
        <w:t xml:space="preserve"> Adil, leg apotekare</w:t>
      </w:r>
      <w:r w:rsidRPr="00CC2584">
        <w:rPr>
          <w:i/>
          <w:iCs/>
          <w:szCs w:val="24"/>
        </w:rPr>
        <w:t>, Läkemedelsenheten</w:t>
      </w:r>
    </w:p>
    <w:p w14:paraId="6B516975" w14:textId="77777777" w:rsidR="00BE2213" w:rsidRPr="00824C50" w:rsidRDefault="00BE2213" w:rsidP="00824C50"/>
    <w:sectPr w:rsidR="00BE2213" w:rsidRPr="00824C50" w:rsidSect="00824C50">
      <w:headerReference w:type="default" r:id="rId9"/>
      <w:footerReference w:type="default" r:id="rId10"/>
      <w:headerReference w:type="first" r:id="rId11"/>
      <w:footerReference w:type="first" r:id="rId12"/>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0A17D" w14:textId="77777777" w:rsidR="00F52D10" w:rsidRDefault="00F52D10">
      <w:r>
        <w:separator/>
      </w:r>
    </w:p>
    <w:p w14:paraId="29D00883" w14:textId="77777777" w:rsidR="00F52D10" w:rsidRDefault="00F52D10"/>
  </w:endnote>
  <w:endnote w:type="continuationSeparator" w:id="0">
    <w:p w14:paraId="25AA5B57" w14:textId="77777777" w:rsidR="00F52D10" w:rsidRDefault="00F52D10">
      <w:r>
        <w:continuationSeparator/>
      </w:r>
    </w:p>
    <w:p w14:paraId="137EDC7E" w14:textId="77777777" w:rsidR="00F52D10" w:rsidRDefault="00F52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7A7EEF3C" w14:textId="77777777" w:rsidTr="00CE1A69">
      <w:trPr>
        <w:tblHeader/>
      </w:trPr>
      <w:tc>
        <w:tcPr>
          <w:tcW w:w="6946" w:type="dxa"/>
          <w:vAlign w:val="bottom"/>
        </w:tcPr>
        <w:p w14:paraId="284527AD" w14:textId="77777777" w:rsidR="005E2F84" w:rsidRPr="00213C44" w:rsidRDefault="005E2F84" w:rsidP="005229A3">
          <w:pPr>
            <w:pStyle w:val="Sidfot"/>
          </w:pPr>
        </w:p>
      </w:tc>
      <w:tc>
        <w:tcPr>
          <w:tcW w:w="990" w:type="dxa"/>
          <w:tcMar>
            <w:left w:w="284" w:type="dxa"/>
            <w:right w:w="0" w:type="dxa"/>
          </w:tcMar>
          <w:vAlign w:val="bottom"/>
        </w:tcPr>
        <w:p w14:paraId="000FD585"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72ACB92C"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6029D1B7" w14:textId="77777777" w:rsidTr="00F62FFA">
      <w:trPr>
        <w:tblHeader/>
      </w:trPr>
      <w:tc>
        <w:tcPr>
          <w:tcW w:w="6946" w:type="dxa"/>
          <w:vAlign w:val="bottom"/>
        </w:tcPr>
        <w:p w14:paraId="456D7AA4" w14:textId="77777777" w:rsidR="00A85088" w:rsidRPr="00213C44" w:rsidRDefault="00A85088" w:rsidP="005229A3">
          <w:pPr>
            <w:pStyle w:val="Sidfot"/>
          </w:pPr>
        </w:p>
      </w:tc>
      <w:tc>
        <w:tcPr>
          <w:tcW w:w="990" w:type="dxa"/>
          <w:tcMar>
            <w:left w:w="284" w:type="dxa"/>
            <w:right w:w="0" w:type="dxa"/>
          </w:tcMar>
          <w:vAlign w:val="bottom"/>
        </w:tcPr>
        <w:p w14:paraId="1406B3BB"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3F5F4FF1"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14B5" w14:textId="77777777" w:rsidR="00F52D10" w:rsidRDefault="00F52D10">
      <w:r>
        <w:separator/>
      </w:r>
    </w:p>
  </w:footnote>
  <w:footnote w:type="continuationSeparator" w:id="0">
    <w:p w14:paraId="43C04BED" w14:textId="77777777" w:rsidR="00F52D10" w:rsidRDefault="00F52D10" w:rsidP="007B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0BA7AA39" w14:textId="77777777" w:rsidTr="00612AD4">
      <w:trPr>
        <w:tblHeader/>
      </w:trPr>
      <w:tc>
        <w:tcPr>
          <w:tcW w:w="6579" w:type="dxa"/>
        </w:tcPr>
        <w:p w14:paraId="0269666C" w14:textId="77777777" w:rsidR="00213C44" w:rsidRDefault="00213C44" w:rsidP="00213C44"/>
      </w:tc>
      <w:tc>
        <w:tcPr>
          <w:tcW w:w="2627" w:type="dxa"/>
        </w:tcPr>
        <w:p w14:paraId="208AE609" w14:textId="77777777" w:rsidR="00213C44" w:rsidRDefault="00213C44" w:rsidP="00213C44">
          <w:pPr>
            <w:pStyle w:val="Sidhuvud"/>
            <w:jc w:val="right"/>
            <w:rPr>
              <w:sz w:val="2"/>
              <w:szCs w:val="2"/>
            </w:rPr>
          </w:pPr>
          <w:r>
            <w:rPr>
              <w:noProof/>
            </w:rPr>
            <w:drawing>
              <wp:inline distT="0" distB="0" distL="0" distR="0" wp14:anchorId="0396F9AA" wp14:editId="51F49199">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3A3A0F5B" w14:textId="77777777" w:rsidR="00A85088" w:rsidRDefault="00A85088" w:rsidP="00824C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250D"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501A5A3A" w14:textId="77777777" w:rsidTr="00612AD4">
      <w:trPr>
        <w:tblHeader/>
      </w:trPr>
      <w:tc>
        <w:tcPr>
          <w:tcW w:w="6579" w:type="dxa"/>
        </w:tcPr>
        <w:p w14:paraId="156241FC" w14:textId="77777777" w:rsidR="005144CF" w:rsidRDefault="005144CF" w:rsidP="005144CF"/>
      </w:tc>
      <w:tc>
        <w:tcPr>
          <w:tcW w:w="2627" w:type="dxa"/>
        </w:tcPr>
        <w:p w14:paraId="758A2780" w14:textId="77777777" w:rsidR="005144CF" w:rsidRDefault="005144CF" w:rsidP="005144CF">
          <w:pPr>
            <w:pStyle w:val="Sidhuvud"/>
            <w:jc w:val="right"/>
            <w:rPr>
              <w:sz w:val="2"/>
              <w:szCs w:val="2"/>
            </w:rPr>
          </w:pPr>
          <w:r>
            <w:rPr>
              <w:noProof/>
            </w:rPr>
            <w:drawing>
              <wp:inline distT="0" distB="0" distL="0" distR="0" wp14:anchorId="2E82862E" wp14:editId="60626641">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1E043F4F" w14:textId="77777777" w:rsidR="00A85088" w:rsidRPr="00D86CD5" w:rsidRDefault="00A85088" w:rsidP="0022235C">
    <w:pPr>
      <w:pStyle w:val="Sidhuvud"/>
      <w:rPr>
        <w:sz w:val="2"/>
        <w:szCs w:val="2"/>
      </w:rPr>
    </w:pPr>
  </w:p>
  <w:p w14:paraId="23FD842E"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302539921">
    <w:abstractNumId w:val="2"/>
  </w:num>
  <w:num w:numId="2" w16cid:durableId="204415290">
    <w:abstractNumId w:val="3"/>
  </w:num>
  <w:num w:numId="3" w16cid:durableId="1146244211">
    <w:abstractNumId w:val="0"/>
  </w:num>
  <w:num w:numId="4" w16cid:durableId="752748881">
    <w:abstractNumId w:val="25"/>
  </w:num>
  <w:num w:numId="5" w16cid:durableId="98569369">
    <w:abstractNumId w:val="21"/>
  </w:num>
  <w:num w:numId="6" w16cid:durableId="1421683701">
    <w:abstractNumId w:val="9"/>
  </w:num>
  <w:num w:numId="7" w16cid:durableId="995106224">
    <w:abstractNumId w:val="15"/>
  </w:num>
  <w:num w:numId="8" w16cid:durableId="1083337400">
    <w:abstractNumId w:val="31"/>
  </w:num>
  <w:num w:numId="9" w16cid:durableId="835266125">
    <w:abstractNumId w:val="6"/>
  </w:num>
  <w:num w:numId="10" w16cid:durableId="272708347">
    <w:abstractNumId w:val="39"/>
  </w:num>
  <w:num w:numId="11" w16cid:durableId="347561856">
    <w:abstractNumId w:val="8"/>
  </w:num>
  <w:num w:numId="12" w16cid:durableId="1346596490">
    <w:abstractNumId w:val="5"/>
  </w:num>
  <w:num w:numId="13" w16cid:durableId="1562861561">
    <w:abstractNumId w:val="11"/>
  </w:num>
  <w:num w:numId="14" w16cid:durableId="2091191268">
    <w:abstractNumId w:val="49"/>
  </w:num>
  <w:num w:numId="15" w16cid:durableId="1202478148">
    <w:abstractNumId w:val="30"/>
  </w:num>
  <w:num w:numId="16" w16cid:durableId="2007123465">
    <w:abstractNumId w:val="20"/>
  </w:num>
  <w:num w:numId="17" w16cid:durableId="603458679">
    <w:abstractNumId w:val="35"/>
  </w:num>
  <w:num w:numId="18" w16cid:durableId="633412869">
    <w:abstractNumId w:val="42"/>
  </w:num>
  <w:num w:numId="19" w16cid:durableId="1314868529">
    <w:abstractNumId w:val="8"/>
  </w:num>
  <w:num w:numId="20" w16cid:durableId="53089411">
    <w:abstractNumId w:val="39"/>
  </w:num>
  <w:num w:numId="21" w16cid:durableId="1532105569">
    <w:abstractNumId w:val="47"/>
  </w:num>
  <w:num w:numId="22" w16cid:durableId="203031548">
    <w:abstractNumId w:val="22"/>
  </w:num>
  <w:num w:numId="23" w16cid:durableId="461923440">
    <w:abstractNumId w:val="0"/>
  </w:num>
  <w:num w:numId="24" w16cid:durableId="1375740127">
    <w:abstractNumId w:val="48"/>
  </w:num>
  <w:num w:numId="25" w16cid:durableId="508787946">
    <w:abstractNumId w:val="33"/>
  </w:num>
  <w:num w:numId="26" w16cid:durableId="407458164">
    <w:abstractNumId w:val="23"/>
  </w:num>
  <w:num w:numId="27" w16cid:durableId="1663317022">
    <w:abstractNumId w:val="50"/>
  </w:num>
  <w:num w:numId="28" w16cid:durableId="1284769555">
    <w:abstractNumId w:val="32"/>
  </w:num>
  <w:num w:numId="29" w16cid:durableId="1656377242">
    <w:abstractNumId w:val="34"/>
  </w:num>
  <w:num w:numId="30" w16cid:durableId="232667246">
    <w:abstractNumId w:val="14"/>
  </w:num>
  <w:num w:numId="31" w16cid:durableId="548689903">
    <w:abstractNumId w:val="41"/>
  </w:num>
  <w:num w:numId="32" w16cid:durableId="825631211">
    <w:abstractNumId w:val="10"/>
  </w:num>
  <w:num w:numId="33" w16cid:durableId="907764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0312301">
    <w:abstractNumId w:val="26"/>
  </w:num>
  <w:num w:numId="35" w16cid:durableId="709845686">
    <w:abstractNumId w:val="38"/>
  </w:num>
  <w:num w:numId="36" w16cid:durableId="2101171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BE2213"/>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727"/>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1741B"/>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453B"/>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213"/>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584"/>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6E2"/>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2D10"/>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5821C4"/>
  <w15:chartTrackingRefBased/>
  <w15:docId w15:val="{D4D15866-2B8B-4E2D-91DF-076C7DE2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213"/>
    <w:pPr>
      <w:spacing w:after="0" w:line="240" w:lineRule="auto"/>
    </w:pPr>
    <w:rPr>
      <w:rFonts w:ascii="Garamond" w:eastAsia="Times New Roman" w:hAnsi="Garamond"/>
      <w:kern w:val="0"/>
      <w:szCs w:val="20"/>
      <w:lang w:val="sv-SE" w:eastAsia="sv-SE"/>
      <w14:ligatures w14:val="none"/>
    </w:rPr>
  </w:style>
  <w:style w:type="paragraph" w:styleId="Rubrik1">
    <w:name w:val="heading 1"/>
    <w:basedOn w:val="Normal"/>
    <w:next w:val="Normal"/>
    <w:link w:val="Rubrik1Char"/>
    <w:uiPriority w:val="2"/>
    <w:qFormat/>
    <w:rsid w:val="00A370B3"/>
    <w:pPr>
      <w:keepNext/>
      <w:spacing w:before="600" w:after="120"/>
      <w:outlineLvl w:val="0"/>
    </w:pPr>
    <w:rPr>
      <w:rFonts w:asciiTheme="majorHAnsi" w:eastAsiaTheme="majorEastAsia" w:hAnsiTheme="majorHAnsi"/>
      <w:b/>
      <w:bCs/>
      <w:kern w:val="2"/>
      <w:sz w:val="36"/>
      <w:szCs w:val="28"/>
      <w:lang w:eastAsia="en-US"/>
      <w14:ligatures w14:val="standardContextual"/>
    </w:rPr>
  </w:style>
  <w:style w:type="paragraph" w:styleId="Rubrik2">
    <w:name w:val="heading 2"/>
    <w:basedOn w:val="Normal"/>
    <w:next w:val="Normal"/>
    <w:link w:val="Rubrik2Char"/>
    <w:uiPriority w:val="2"/>
    <w:qFormat/>
    <w:rsid w:val="00A370B3"/>
    <w:pPr>
      <w:keepNext/>
      <w:spacing w:before="360" w:after="80"/>
      <w:outlineLvl w:val="1"/>
    </w:pPr>
    <w:rPr>
      <w:rFonts w:asciiTheme="majorHAnsi" w:eastAsiaTheme="majorEastAsia" w:hAnsiTheme="majorHAnsi"/>
      <w:b/>
      <w:bCs/>
      <w:kern w:val="2"/>
      <w:sz w:val="28"/>
      <w:szCs w:val="26"/>
      <w:lang w:eastAsia="en-US"/>
      <w14:ligatures w14:val="standardContextual"/>
    </w:rPr>
  </w:style>
  <w:style w:type="paragraph" w:styleId="Rubrik3">
    <w:name w:val="heading 3"/>
    <w:basedOn w:val="Normal"/>
    <w:next w:val="Normal"/>
    <w:link w:val="Rubrik3Char"/>
    <w:uiPriority w:val="2"/>
    <w:qFormat/>
    <w:rsid w:val="00A370B3"/>
    <w:pPr>
      <w:keepNext/>
      <w:spacing w:before="360" w:after="40"/>
      <w:outlineLvl w:val="2"/>
    </w:pPr>
    <w:rPr>
      <w:rFonts w:asciiTheme="majorHAnsi" w:eastAsiaTheme="majorEastAsia" w:hAnsiTheme="majorHAnsi"/>
      <w:b/>
      <w:bCs/>
      <w:kern w:val="2"/>
      <w:sz w:val="24"/>
      <w:szCs w:val="22"/>
      <w:lang w:eastAsia="en-US"/>
      <w14:ligatures w14:val="standardContextual"/>
    </w:rPr>
  </w:style>
  <w:style w:type="paragraph" w:styleId="Rubrik4">
    <w:name w:val="heading 4"/>
    <w:basedOn w:val="Normal"/>
    <w:next w:val="Normal"/>
    <w:link w:val="Rubrik4Char"/>
    <w:uiPriority w:val="2"/>
    <w:rsid w:val="001A2E30"/>
    <w:pPr>
      <w:keepNext/>
      <w:spacing w:before="360" w:after="40"/>
      <w:outlineLvl w:val="3"/>
    </w:pPr>
    <w:rPr>
      <w:rFonts w:asciiTheme="majorHAnsi" w:eastAsiaTheme="minorHAnsi" w:hAnsiTheme="majorHAnsi"/>
      <w:b/>
      <w:bCs/>
      <w:iCs/>
      <w:kern w:val="2"/>
      <w:szCs w:val="22"/>
      <w:lang w:eastAsia="en-US"/>
      <w14:ligatures w14:val="standardContextual"/>
    </w:rPr>
  </w:style>
  <w:style w:type="paragraph" w:styleId="Rubrik5">
    <w:name w:val="heading 5"/>
    <w:basedOn w:val="Normal"/>
    <w:next w:val="Normal"/>
    <w:link w:val="Rubrik5Char"/>
    <w:uiPriority w:val="2"/>
    <w:semiHidden/>
    <w:rsid w:val="00FA4EB3"/>
    <w:pPr>
      <w:keepNext/>
      <w:spacing w:before="120" w:after="120" w:line="300" w:lineRule="atLeast"/>
      <w:outlineLvl w:val="4"/>
    </w:pPr>
    <w:rPr>
      <w:rFonts w:asciiTheme="minorHAnsi" w:eastAsiaTheme="minorHAnsi" w:hAnsiTheme="minorHAnsi"/>
      <w:kern w:val="2"/>
      <w:szCs w:val="22"/>
      <w:lang w:eastAsia="en-US"/>
      <w14:ligatures w14:val="standardContextual"/>
    </w:rPr>
  </w:style>
  <w:style w:type="paragraph" w:styleId="Rubrik6">
    <w:name w:val="heading 6"/>
    <w:basedOn w:val="Normal"/>
    <w:next w:val="Normal"/>
    <w:link w:val="Rubrik6Char"/>
    <w:uiPriority w:val="2"/>
    <w:semiHidden/>
    <w:rsid w:val="00FA4EB3"/>
    <w:pPr>
      <w:keepNext/>
      <w:spacing w:before="120" w:after="120" w:line="300" w:lineRule="atLeast"/>
      <w:outlineLvl w:val="5"/>
    </w:pPr>
    <w:rPr>
      <w:rFonts w:asciiTheme="minorHAnsi" w:eastAsiaTheme="minorHAnsi" w:hAnsiTheme="minorHAnsi"/>
      <w:iCs/>
      <w:kern w:val="2"/>
      <w:szCs w:val="22"/>
      <w:lang w:eastAsia="en-US"/>
      <w14:ligatures w14:val="standardContextual"/>
    </w:rPr>
  </w:style>
  <w:style w:type="paragraph" w:styleId="Rubrik7">
    <w:name w:val="heading 7"/>
    <w:basedOn w:val="Normal"/>
    <w:next w:val="Normal"/>
    <w:link w:val="Rubrik7Char"/>
    <w:uiPriority w:val="2"/>
    <w:semiHidden/>
    <w:rsid w:val="00FA4EB3"/>
    <w:pPr>
      <w:keepNext/>
      <w:spacing w:before="120" w:after="120" w:line="300" w:lineRule="atLeast"/>
      <w:outlineLvl w:val="6"/>
    </w:pPr>
    <w:rPr>
      <w:rFonts w:asciiTheme="minorHAnsi" w:eastAsiaTheme="majorEastAsia" w:hAnsiTheme="minorHAnsi"/>
      <w:iCs/>
      <w:kern w:val="2"/>
      <w:szCs w:val="22"/>
      <w:lang w:eastAsia="en-US"/>
      <w14:ligatures w14:val="standardContextual"/>
    </w:rPr>
  </w:style>
  <w:style w:type="paragraph" w:styleId="Rubrik8">
    <w:name w:val="heading 8"/>
    <w:basedOn w:val="Normal"/>
    <w:next w:val="Normal"/>
    <w:link w:val="Rubrik8Char"/>
    <w:semiHidden/>
    <w:unhideWhenUsed/>
    <w:qFormat/>
    <w:rsid w:val="00FA4EB3"/>
    <w:pPr>
      <w:keepNext/>
      <w:keepLines/>
      <w:spacing w:before="200" w:after="120" w:line="260" w:lineRule="atLeast"/>
      <w:outlineLvl w:val="7"/>
    </w:pPr>
    <w:rPr>
      <w:rFonts w:asciiTheme="majorHAnsi" w:eastAsiaTheme="majorEastAsia" w:hAnsiTheme="majorHAnsi" w:cstheme="majorBidi"/>
      <w:color w:val="404040" w:themeColor="text1" w:themeTint="BF"/>
      <w:kern w:val="2"/>
      <w:szCs w:val="22"/>
      <w:lang w:eastAsia="en-US"/>
      <w14:ligatures w14:val="standardContextual"/>
    </w:rPr>
  </w:style>
  <w:style w:type="paragraph" w:styleId="Rubrik9">
    <w:name w:val="heading 9"/>
    <w:basedOn w:val="Normal"/>
    <w:next w:val="Normal"/>
    <w:link w:val="Rubrik9Char"/>
    <w:uiPriority w:val="44"/>
    <w:semiHidden/>
    <w:qFormat/>
    <w:rsid w:val="007F2AB9"/>
    <w:pPr>
      <w:keepNext/>
      <w:keepLines/>
      <w:numPr>
        <w:ilvl w:val="8"/>
        <w:numId w:val="16"/>
      </w:numPr>
      <w:spacing w:before="200" w:after="120" w:line="260" w:lineRule="atLeast"/>
      <w:outlineLvl w:val="8"/>
    </w:pPr>
    <w:rPr>
      <w:rFonts w:asciiTheme="majorHAnsi" w:eastAsiaTheme="majorEastAsia" w:hAnsiTheme="majorHAnsi" w:cstheme="majorBidi"/>
      <w:i/>
      <w:iCs/>
      <w:color w:val="404040" w:themeColor="text1" w:themeTint="BF"/>
      <w:kern w:val="2"/>
      <w:szCs w:val="2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pPr>
    <w:rPr>
      <w:rFonts w:asciiTheme="majorHAnsi" w:eastAsiaTheme="minorHAnsi" w:hAnsiTheme="majorHAnsi"/>
      <w:kern w:val="2"/>
      <w:szCs w:val="22"/>
      <w:lang w:eastAsia="en-US"/>
      <w14:ligatures w14:val="standardContextual"/>
    </w:rPr>
  </w:style>
  <w:style w:type="paragraph" w:styleId="Sidfot">
    <w:name w:val="footer"/>
    <w:basedOn w:val="Normal"/>
    <w:link w:val="SidfotChar"/>
    <w:uiPriority w:val="6"/>
    <w:rsid w:val="005229A3"/>
    <w:pPr>
      <w:tabs>
        <w:tab w:val="center" w:pos="4536"/>
        <w:tab w:val="right" w:pos="9072"/>
      </w:tabs>
      <w:spacing w:line="200" w:lineRule="atLeast"/>
    </w:pPr>
    <w:rPr>
      <w:rFonts w:asciiTheme="majorHAnsi" w:eastAsiaTheme="minorHAnsi" w:hAnsiTheme="majorHAnsi"/>
      <w:kern w:val="2"/>
      <w:sz w:val="16"/>
      <w:szCs w:val="22"/>
      <w:lang w:eastAsia="en-US"/>
      <w14:ligatures w14:val="standardContextual"/>
    </w:rPr>
  </w:style>
  <w:style w:type="character" w:styleId="Hyperlnk">
    <w:name w:val="Hyperlink"/>
    <w:basedOn w:val="Standardstycketeckensnitt"/>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spacing w:after="120" w:line="260" w:lineRule="atLeast"/>
      <w:ind w:left="720"/>
    </w:pPr>
    <w:rPr>
      <w:rFonts w:asciiTheme="minorHAnsi" w:eastAsiaTheme="minorHAnsi" w:hAnsiTheme="minorHAnsi"/>
      <w:kern w:val="2"/>
      <w:szCs w:val="22"/>
      <w:lang w:eastAsia="en-US"/>
      <w14:ligatures w14:val="standardContextual"/>
    </w:r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uiPriority w:val="59"/>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after="120" w:line="260" w:lineRule="atLeast"/>
    </w:pPr>
    <w:rPr>
      <w:rFonts w:asciiTheme="majorHAnsi" w:eastAsiaTheme="minorHAnsi" w:hAnsiTheme="majorHAnsi"/>
      <w:kern w:val="2"/>
      <w:szCs w:val="22"/>
      <w:lang w:eastAsia="en-US"/>
      <w14:ligatures w14:val="standardContextual"/>
    </w:rPr>
  </w:style>
  <w:style w:type="paragraph" w:styleId="Innehll2">
    <w:name w:val="toc 2"/>
    <w:basedOn w:val="Normal"/>
    <w:next w:val="Normal"/>
    <w:autoRedefine/>
    <w:uiPriority w:val="5"/>
    <w:semiHidden/>
    <w:rsid w:val="00CD2461"/>
    <w:pPr>
      <w:spacing w:after="120" w:line="260" w:lineRule="atLeast"/>
      <w:ind w:left="220"/>
    </w:pPr>
    <w:rPr>
      <w:rFonts w:asciiTheme="majorHAnsi" w:eastAsiaTheme="minorHAnsi" w:hAnsiTheme="majorHAnsi"/>
      <w:kern w:val="2"/>
      <w:szCs w:val="22"/>
      <w:lang w:eastAsia="en-US"/>
      <w14:ligatures w14:val="standardContextual"/>
    </w:rPr>
  </w:style>
  <w:style w:type="paragraph" w:styleId="Innehll3">
    <w:name w:val="toc 3"/>
    <w:basedOn w:val="Normal"/>
    <w:next w:val="Normal"/>
    <w:autoRedefine/>
    <w:uiPriority w:val="5"/>
    <w:semiHidden/>
    <w:rsid w:val="00CD2461"/>
    <w:pPr>
      <w:spacing w:after="120" w:line="260" w:lineRule="atLeast"/>
      <w:ind w:left="440"/>
    </w:pPr>
    <w:rPr>
      <w:rFonts w:asciiTheme="majorHAnsi" w:eastAsiaTheme="minorHAnsi" w:hAnsiTheme="majorHAnsi"/>
      <w:kern w:val="2"/>
      <w:szCs w:val="22"/>
      <w:lang w:eastAsia="en-US"/>
      <w14:ligatures w14:val="standardContextual"/>
    </w:rPr>
  </w:style>
  <w:style w:type="paragraph" w:styleId="Fotnotstext">
    <w:name w:val="footnote text"/>
    <w:basedOn w:val="Normal"/>
    <w:link w:val="FotnotstextChar"/>
    <w:uiPriority w:val="44"/>
    <w:semiHidden/>
    <w:rsid w:val="00ED1157"/>
    <w:pPr>
      <w:spacing w:after="120" w:line="260" w:lineRule="atLeast"/>
    </w:pPr>
    <w:rPr>
      <w:rFonts w:asciiTheme="minorHAnsi" w:eastAsiaTheme="minorHAnsi" w:hAnsiTheme="minorHAnsi"/>
      <w:kern w:val="2"/>
      <w:szCs w:val="22"/>
      <w:lang w:eastAsia="en-US"/>
      <w14:ligatures w14:val="standardContextual"/>
    </w:rPr>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spacing w:after="120" w:line="260" w:lineRule="atLeast"/>
      <w:ind w:left="660"/>
    </w:pPr>
    <w:rPr>
      <w:rFonts w:asciiTheme="minorHAnsi" w:eastAsiaTheme="minorHAnsi" w:hAnsiTheme="minorHAnsi"/>
      <w:kern w:val="2"/>
      <w:szCs w:val="22"/>
      <w:lang w:eastAsia="en-US"/>
      <w14:ligatures w14:val="standardContextual"/>
    </w:rPr>
  </w:style>
  <w:style w:type="paragraph" w:styleId="Innehll5">
    <w:name w:val="toc 5"/>
    <w:basedOn w:val="Normal"/>
    <w:next w:val="Normal"/>
    <w:autoRedefine/>
    <w:uiPriority w:val="4"/>
    <w:semiHidden/>
    <w:rsid w:val="00FA4EB3"/>
    <w:pPr>
      <w:spacing w:after="100" w:line="260" w:lineRule="atLeast"/>
      <w:ind w:left="800"/>
    </w:pPr>
    <w:rPr>
      <w:rFonts w:asciiTheme="minorHAnsi" w:eastAsiaTheme="minorHAnsi" w:hAnsiTheme="minorHAnsi"/>
      <w:kern w:val="2"/>
      <w:szCs w:val="22"/>
      <w:lang w:eastAsia="en-US"/>
      <w14:ligatures w14:val="standardContextual"/>
    </w:r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spacing w:after="120" w:line="260" w:lineRule="atLeast"/>
      <w:contextualSpacing/>
    </w:pPr>
    <w:rPr>
      <w:rFonts w:asciiTheme="minorHAnsi" w:eastAsiaTheme="minorHAnsi" w:hAnsiTheme="minorHAnsi"/>
      <w:kern w:val="2"/>
      <w:szCs w:val="22"/>
      <w:lang w:eastAsia="en-US"/>
      <w14:ligatures w14:val="standardContextual"/>
    </w:r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pPr>
    <w:rPr>
      <w:rFonts w:asciiTheme="minorHAnsi" w:eastAsiaTheme="minorHAnsi" w:hAnsiTheme="minorHAnsi"/>
      <w:iCs/>
      <w:kern w:val="2"/>
      <w:szCs w:val="18"/>
      <w:lang w:eastAsia="en-US"/>
      <w14:ligatures w14:val="standardContextual"/>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rPr>
      <w:rFonts w:asciiTheme="majorHAnsi" w:hAnsiTheme="majorHAnsi"/>
      <w:sz w:val="14"/>
      <w:szCs w:val="16"/>
    </w:rPr>
  </w:style>
  <w:style w:type="paragraph" w:styleId="Rubrik">
    <w:name w:val="Title"/>
    <w:basedOn w:val="Normal"/>
    <w:next w:val="Normal"/>
    <w:link w:val="RubrikChar"/>
    <w:uiPriority w:val="44"/>
    <w:rsid w:val="00BE22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RubrikChar">
    <w:name w:val="Rubrik Char"/>
    <w:basedOn w:val="Standardstycketeckensnitt"/>
    <w:link w:val="Rubrik"/>
    <w:uiPriority w:val="44"/>
    <w:rsid w:val="00BE2213"/>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BE2213"/>
    <w:pPr>
      <w:numPr>
        <w:ilvl w:val="1"/>
      </w:numPr>
      <w:spacing w:after="160" w:line="260" w:lineRule="atLeas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44"/>
    <w:rsid w:val="00BE2213"/>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BE2213"/>
    <w:pPr>
      <w:spacing w:before="160" w:after="160" w:line="260" w:lineRule="atLeast"/>
      <w:jc w:val="center"/>
    </w:pPr>
    <w:rPr>
      <w:rFonts w:asciiTheme="minorHAnsi" w:eastAsiaTheme="minorHAnsi" w:hAnsiTheme="minorHAnsi"/>
      <w:i/>
      <w:iCs/>
      <w:color w:val="404040" w:themeColor="text1" w:themeTint="BF"/>
      <w:kern w:val="2"/>
      <w:szCs w:val="22"/>
      <w:lang w:eastAsia="en-US"/>
      <w14:ligatures w14:val="standardContextual"/>
    </w:rPr>
  </w:style>
  <w:style w:type="character" w:customStyle="1" w:styleId="CitatChar">
    <w:name w:val="Citat Char"/>
    <w:basedOn w:val="Standardstycketeckensnitt"/>
    <w:link w:val="Citat"/>
    <w:uiPriority w:val="44"/>
    <w:rsid w:val="00BE2213"/>
    <w:rPr>
      <w:i/>
      <w:iCs/>
      <w:color w:val="404040" w:themeColor="text1" w:themeTint="BF"/>
      <w:lang w:val="sv-SE"/>
    </w:rPr>
  </w:style>
  <w:style w:type="character" w:styleId="Starkbetoning">
    <w:name w:val="Intense Emphasis"/>
    <w:basedOn w:val="Standardstycketeckensnitt"/>
    <w:uiPriority w:val="44"/>
    <w:rsid w:val="00BE2213"/>
    <w:rPr>
      <w:i/>
      <w:iCs/>
      <w:color w:val="007BA9" w:themeColor="accent1" w:themeShade="BF"/>
    </w:rPr>
  </w:style>
  <w:style w:type="paragraph" w:styleId="Starktcitat">
    <w:name w:val="Intense Quote"/>
    <w:basedOn w:val="Normal"/>
    <w:next w:val="Normal"/>
    <w:link w:val="StarktcitatChar"/>
    <w:uiPriority w:val="44"/>
    <w:rsid w:val="00BE2213"/>
    <w:pPr>
      <w:pBdr>
        <w:top w:val="single" w:sz="4" w:space="10" w:color="007BA9" w:themeColor="accent1" w:themeShade="BF"/>
        <w:bottom w:val="single" w:sz="4" w:space="10" w:color="007BA9" w:themeColor="accent1" w:themeShade="BF"/>
      </w:pBdr>
      <w:spacing w:before="360" w:after="360" w:line="260" w:lineRule="atLeast"/>
      <w:ind w:left="864" w:right="864"/>
      <w:jc w:val="center"/>
    </w:pPr>
    <w:rPr>
      <w:rFonts w:asciiTheme="minorHAnsi" w:eastAsiaTheme="minorHAnsi" w:hAnsiTheme="minorHAnsi"/>
      <w:i/>
      <w:iCs/>
      <w:color w:val="007BA9" w:themeColor="accent1" w:themeShade="BF"/>
      <w:kern w:val="2"/>
      <w:szCs w:val="22"/>
      <w:lang w:eastAsia="en-US"/>
      <w14:ligatures w14:val="standardContextual"/>
    </w:rPr>
  </w:style>
  <w:style w:type="character" w:customStyle="1" w:styleId="StarktcitatChar">
    <w:name w:val="Starkt citat Char"/>
    <w:basedOn w:val="Standardstycketeckensnitt"/>
    <w:link w:val="Starktcitat"/>
    <w:uiPriority w:val="44"/>
    <w:rsid w:val="00BE2213"/>
    <w:rPr>
      <w:i/>
      <w:iCs/>
      <w:color w:val="007BA9" w:themeColor="accent1" w:themeShade="BF"/>
      <w:lang w:val="sv-SE"/>
    </w:rPr>
  </w:style>
  <w:style w:type="character" w:styleId="Starkreferens">
    <w:name w:val="Intense Reference"/>
    <w:basedOn w:val="Standardstycketeckensnitt"/>
    <w:uiPriority w:val="44"/>
    <w:rsid w:val="00BE2213"/>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mverkanblekinge.se/download/18.6b6d7bf19ed44ea63dcd6da/1782998028538/Patientinfo%20Wara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305</Words>
  <Characters>1620</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Klow, Daniella</dc:creator>
  <cp:keywords/>
  <dc:description/>
  <cp:lastModifiedBy>Klow, Daniella</cp:lastModifiedBy>
  <cp:revision>2</cp:revision>
  <cp:lastPrinted>2020-06-04T14:53:00Z</cp:lastPrinted>
  <dcterms:created xsi:type="dcterms:W3CDTF">2026-07-09T07:02:00Z</dcterms:created>
  <dcterms:modified xsi:type="dcterms:W3CDTF">2026-07-09T07:25:00Z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2026-07-09T07:03:39Z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fdb91c22-21d4-42a3-9ae9-f08e7737312d</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